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12.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pPr>
        <w:pStyle w:val="ThesisParagraphText"/>
      </w:pPr>
      <w:r>
        <w:t>A substantial body of machine learning research has addressed the IPPP and adjacent receivables-prediction problems, employing models such as Logistic Regression, Random Forest, XGBoost, LightGBM,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Hussein [9] confirmed that modern boosting algorithms such as XGBoost and LightGBM significantly outperform conventional statistical baselines in loan default prediction.</w:t>
      </w:r>
    </w:p>
    <w:p>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pPr>
        <w:pStyle w:val="ThesisParagraphText"/>
      </w:pPr>
      <w:r>
        <w:t>Table 1.1 summarizes the most directly comparable invoice payment prediction studies, the datasets and models they employed, their reported performance, and the principal limitation each leaves unaddressed.</w:t>
      </w:r>
    </w:p>
    <w:p>
      <w:pPr>
        <w:pStyle w:val="Caption"/>
      </w:pPr>
      <w:r>
        <w:t>Table 1.1. Summary of existing machine learning approaches to invoice payment prediction.</w:t>
      </w:r>
    </w:p>
    <w:tbl>
      <w:tblPr>
        <w:tblStyle w:val="TableGridLight"/>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Type</w:t>
            </w:r>
          </w:p>
        </w:tc>
        <w:tc>
          <w:tcPr>
            <w:tcW w:type="dxa" w:w="1728"/>
          </w:tcPr>
          <w:p>
            <w:r>
              <w:rPr>
                <w:b/>
              </w:rPr>
              <w:t>Models Used</w:t>
            </w:r>
          </w:p>
        </w:tc>
        <w:tc>
          <w:tcPr>
            <w:tcW w:type="dxa" w:w="1728"/>
          </w:tcPr>
          <w:p>
            <w:r>
              <w:rPr>
                <w:b/>
              </w:rPr>
              <w:t>Best Accuracy / F1</w:t>
            </w:r>
          </w:p>
        </w:tc>
        <w:tc>
          <w:tcPr>
            <w:tcW w:type="dxa" w:w="1728"/>
          </w:tcPr>
          <w:p>
            <w:r>
              <w:rPr>
                <w:b/>
              </w:rPr>
              <w:t>Key Limitation</w:t>
            </w:r>
          </w:p>
        </w:tc>
      </w:tr>
      <w:tr>
        <w:tc>
          <w:tcPr>
            <w:tcW w:type="dxa" w:w="1728"/>
          </w:tcPr>
          <w:p>
            <w:r>
              <w:t>Moore &amp; van Vuuren (2020) [4]</w:t>
            </w:r>
          </w:p>
        </w:tc>
        <w:tc>
          <w:tcPr>
            <w:tcW w:type="dxa" w:w="1728"/>
          </w:tcPr>
          <w:p>
            <w:r>
              <w:t>Corporate customer invoices</w:t>
            </w:r>
          </w:p>
        </w:tc>
        <w:tc>
          <w:tcPr>
            <w:tcW w:type="dxa" w:w="1728"/>
          </w:tcPr>
          <w:p>
            <w:r>
              <w:t>Survival analysis + ML (MIPP framework)</w:t>
            </w:r>
          </w:p>
        </w:tc>
        <w:tc>
          <w:tcPr>
            <w:tcW w:type="dxa" w:w="1728"/>
          </w:tcPr>
          <w:p>
            <w:r>
              <w:t>Time-to-payment estimates; bracket-level F1 not reported</w:t>
            </w:r>
          </w:p>
        </w:tc>
        <w:tc>
          <w:tcPr>
            <w:tcW w:type="dxa" w:w="1728"/>
          </w:tcPr>
          <w:p>
            <w:r>
              <w:t>Aggregate customer features; no ordinal target</w:t>
            </w:r>
          </w:p>
        </w:tc>
      </w:tr>
      <w:tr>
        <w:tc>
          <w:tcPr>
            <w:tcW w:type="dxa" w:w="1728"/>
          </w:tcPr>
          <w:p>
            <w:r>
              <w:t>Schoonbee et al. (2021) [5]</w:t>
            </w:r>
          </w:p>
        </w:tc>
        <w:tc>
          <w:tcPr>
            <w:tcW w:type="dxa" w:w="1728"/>
          </w:tcPr>
          <w:p>
            <w:r>
              <w:t>Educational institution invoices (South Africa)</w:t>
            </w:r>
          </w:p>
        </w:tc>
        <w:tc>
          <w:tcPr>
            <w:tcW w:type="dxa" w:w="1728"/>
          </w:tcPr>
          <w:p>
            <w:r>
              <w:t>Logistic Regression, Random Forest, XGBoost, Neural Networks</w:t>
            </w:r>
          </w:p>
        </w:tc>
        <w:tc>
          <w:tcPr>
            <w:tcW w:type="dxa" w:w="1728"/>
          </w:tcPr>
          <w:p>
            <w:r>
              <w:t>Accuracy ≈ 80–85%</w:t>
            </w:r>
          </w:p>
        </w:tc>
        <w:tc>
          <w:tcPr>
            <w:tcW w:type="dxa" w:w="1728"/>
          </w:tcPr>
          <w:p>
            <w:r>
              <w:t>Broad student-level features; single-stage classifiers only</w:t>
            </w:r>
          </w:p>
        </w:tc>
      </w:tr>
      <w:tr>
        <w:tc>
          <w:tcPr>
            <w:tcW w:type="dxa" w:w="1728"/>
          </w:tcPr>
          <w:p>
            <w:r>
              <w:t>Mugorobin et al. (2020) [3]</w:t>
            </w:r>
          </w:p>
        </w:tc>
        <w:tc>
          <w:tcPr>
            <w:tcW w:type="dxa" w:w="1728"/>
          </w:tcPr>
          <w:p>
            <w:r>
              <w:t>School tuition fee records</w:t>
            </w:r>
          </w:p>
        </w:tc>
        <w:tc>
          <w:tcPr>
            <w:tcW w:type="dxa" w:w="1728"/>
          </w:tcPr>
          <w:p>
            <w:r>
              <w:t>Rule-based estimation with classification</w:t>
            </w:r>
          </w:p>
        </w:tc>
        <w:tc>
          <w:tcPr>
            <w:tcW w:type="dxa" w:w="1728"/>
          </w:tcPr>
          <w:p>
            <w:r>
              <w:t>Not reported on standardized metrics</w:t>
            </w:r>
          </w:p>
        </w:tc>
        <w:tc>
          <w:tcPr>
            <w:tcW w:type="dxa" w:w="1728"/>
          </w:tcPr>
          <w:p>
            <w:r>
              <w:t>Heuristic system; no ensemble benchmarking</w:t>
            </w:r>
          </w:p>
        </w:tc>
      </w:tr>
      <w:tr>
        <w:tc>
          <w:tcPr>
            <w:tcW w:type="dxa" w:w="1728"/>
          </w:tcPr>
          <w:p>
            <w:r>
              <w:t>Martikainen (2023) [6]</w:t>
            </w:r>
          </w:p>
        </w:tc>
        <w:tc>
          <w:tcPr>
            <w:tcW w:type="dxa" w:w="1728"/>
          </w:tcPr>
          <w:p>
            <w:r>
              <w:t>B2B sales invoices (Finland)</w:t>
            </w:r>
          </w:p>
        </w:tc>
        <w:tc>
          <w:tcPr>
            <w:tcW w:type="dxa" w:w="1728"/>
          </w:tcPr>
          <w:p>
            <w:r>
              <w:t>Logistic Regression, statistical learning</w:t>
            </w:r>
          </w:p>
        </w:tc>
        <w:tc>
          <w:tcPr>
            <w:tcW w:type="dxa" w:w="1728"/>
          </w:tcPr>
          <w:p>
            <w:r>
              <w:t>Moderate discrimination (AUC-based)</w:t>
            </w:r>
          </w:p>
        </w:tc>
        <w:tc>
          <w:tcPr>
            <w:tcW w:type="dxa" w:w="1728"/>
          </w:tcPr>
          <w:p>
            <w:r>
              <w:t>Few classifiers; no class-imbalance treatment</w:t>
            </w:r>
          </w:p>
        </w:tc>
      </w:tr>
      <w:tr>
        <w:tc>
          <w:tcPr>
            <w:tcW w:type="dxa" w:w="1728"/>
          </w:tcPr>
          <w:p>
            <w:r>
              <w:t>Cheong (2022) [7]</w:t>
            </w:r>
          </w:p>
        </w:tc>
        <w:tc>
          <w:tcPr>
            <w:tcW w:type="dxa" w:w="1728"/>
          </w:tcPr>
          <w:p>
            <w:r>
              <w:t>Corporate accounts receivable</w:t>
            </w:r>
          </w:p>
        </w:tc>
        <w:tc>
          <w:tcPr>
            <w:tcW w:type="dxa" w:w="1728"/>
          </w:tcPr>
          <w:p>
            <w:r>
              <w:t>Customer-level gradient boosting</w:t>
            </w:r>
          </w:p>
        </w:tc>
        <w:tc>
          <w:tcPr>
            <w:tcW w:type="dxa" w:w="1728"/>
          </w:tcPr>
          <w:p>
            <w:r>
              <w:t>Reduced intervention actions; per-class F1 not reported</w:t>
            </w:r>
          </w:p>
        </w:tc>
        <w:tc>
          <w:tcPr>
            <w:tcW w:type="dxa" w:w="1728"/>
          </w:tcPr>
          <w:p>
            <w:r>
              <w:t>Customer-level aggregation; no line-item granularity</w:t>
            </w:r>
          </w:p>
        </w:tc>
      </w:tr>
    </w:tbl>
    <w:p>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5F1C6D54" w14:textId="1DD436CE" w:rsidR="004E5146" w:rsidRPr="00FD0F64" w:rsidRDefault="004E5146" w:rsidP="004E5146">
      <w:pPr>
        <w:pStyle w:val="Heading2"/>
        <w:numPr>
          <w:ilvl w:val="1"/>
          <w:numId w:val="20"/>
        </w:numPr>
      </w:pPr>
      <w:r>
        <w:t>1.1 Context of the Study</w:t>
      </w:r>
    </w:p>
    <w:p w14:paraId="634E3D7C" w14:textId="36C85627" w:rsidR="004E5146" w:rsidRPr="00FD0F64" w:rsidRDefault="007373EE" w:rsidP="004E5146">
      <w:pPr>
        <w:pStyle w:val="ThesisParagraphText"/>
      </w:pPr>
      <w:r w:rsidRPr="00FD0F64">
        <w:t>Existing IPPP research has largely focused on corporate trade credit and retail contexts [4, 6, 10]</w:t>
      </w:r>
      <w:r w:rsidR="003B2172" w:rsidRPr="00FD0F64"/>
      <w:r w:rsidRPr="00FD0F64">
        <w:t xml:space="preserve">,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r>
        <w:t>1.2 The Problem, Gap, or Opportunity</w:t>
      </w:r>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r>
        <w:t>1.3 Research Questions</w:t>
      </w:r>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pPr>
        <w:pStyle w:val="Heading2"/>
      </w:pPr>
      <w:r>
        <w:t>1.5 Significance of the Study</w:t>
      </w:r>
    </w:p>
    <w:p>
      <w:pPr>
        <w:pStyle w:val="ThesisParagraphText"/>
      </w:pPr>
      <w:r>
        <w:t>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pPr>
        <w:pStyle w:val="Heading2"/>
      </w:pPr>
      <w:r>
        <w:t>1.6 Alignment with United Nations Sustainable Development Goals</w:t>
      </w:r>
    </w:p>
    <w:p>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2FD6F282" w14:textId="37EDFB73" w:rsidR="008F6B74" w:rsidRPr="00FD0F64" w:rsidRDefault="008F6B74" w:rsidP="008F6B74">
      <w:pPr>
        <w:pStyle w:val="Heading2"/>
      </w:pPr>
      <w:r>
        <w:t>1.7 Scope and Limitations</w:t>
      </w:r>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[11], which bars schools from denying students access to examinations due to unpaid tuition. While the law 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pPr>
        <w:pStyle w:val="ThesisParagraphText"/>
      </w:pPr>
      <w:r>
        <w:t>Table 2.1 summarizes the institution's bad debts expense, student balances, and Days Sales Outstanding across school years 2019–2025, documenting the receivables trend that motivates this study.</w:t>
      </w:r>
    </w:p>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t>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highlighting the role of digitization and transaction-level granularity in improving payment behavior analysis.</w:t>
      </w:r>
    </w:p>
    <w:p>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[31]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[24, 25].</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[11, 17, 18, 19, 20, 23].</w:t>
      </w:r>
      <w:r w:rsidR="00A8011D" w:rsidRPr="00FD0F64">
        <w:t xml:space="preserve"> </w:t>
      </w:r>
      <w:r w:rsidR="00A8011D" w:rsidRPr="00FD0F64">
        <w:rPr>
          <w:b/>
          <w:bCs/>
        </w:rPr>
        <w:t>(c)</w:t>
      </w:r>
      <w:r w:rsidRPr="00FD0F64">
        <w:t xml:space="preserve"> Behavioral and transactional variables: historical arrears, frequency of late payments [3, 11, 16]</w:t>
      </w:r>
      <w:r w:rsidRPr="00FD0F64">
        <w:t>.</w:t>
      </w:r>
      <w:r w:rsidR="00042C36" w:rsidRPr="00FD0F64">
        <w:t xml:space="preserve"> </w:t>
      </w:r>
      <w:r w:rsidR="00042C36" w:rsidRPr="00FD0F64">
        <w:rPr>
          <w:b/>
          <w:bCs/>
        </w:rPr>
        <w:t>(d)</w:t>
      </w:r>
      <w:r w:rsidRPr="00FD0F64">
        <w:t xml:space="preserve"> Policy and contextual variables: RA 11984 compliance, macroeconomic shocks [11, 21, 22, 26].</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pPr>
        <w:pStyle w:val="ThesisParagraphText"/>
      </w:pPr>
      <w:r>
        <w:t>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t>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pPr/>
      <w:r>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Schoonbee et al. [5] demonstrated decision-support value in an educational context; this study extends that logic to category-level invoices in a Philippine private school.</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r w:rsidR="00B046CE" w:rsidRPr="00FD0F64">
        <w:br w:type="page"/>
      </w:r>
    </w:p>
    <w:p>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pPr>
        <w:pStyle w:val="Heading2"/>
      </w:pPr>
      <w:r>
        <w:t>2.13 Comparative Analysis of Existing Technologies</w:t>
      </w:r>
    </w:p>
    <w:p>
      <w:pPr>
        <w:pStyle w:val="ThesisParagraphText"/>
      </w:pPr>
      <w:r>
        <w:t>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judged. Table 2.2 consolidates the eight studies most relevant to the IPPP, spanning educational, corporate, and consumer-credit domains.</w:t>
      </w:r>
    </w:p>
    <w:p>
      <w:pPr>
        <w:pStyle w:val="Caption"/>
      </w:pPr>
      <w:r>
        <w:t>Table 2.2. Comparative analysis of existing invoice payment prediction and related studies.</w:t>
      </w:r>
    </w:p>
    <w:tbl>
      <w:tblPr>
        <w:tblStyle w:val="TableGridLight"/>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Study</w:t>
            </w:r>
          </w:p>
        </w:tc>
        <w:tc>
          <w:tcPr>
            <w:tcW w:type="dxa" w:w="1234"/>
          </w:tcPr>
          <w:p>
            <w:r>
              <w:rPr>
                <w:b/>
              </w:rPr>
              <w:t>Year</w:t>
            </w:r>
          </w:p>
        </w:tc>
        <w:tc>
          <w:tcPr>
            <w:tcW w:type="dxa" w:w="1234"/>
          </w:tcPr>
          <w:p>
            <w:r>
              <w:rPr>
                <w:b/>
              </w:rPr>
              <w:t>Domain</w:t>
            </w:r>
          </w:p>
        </w:tc>
        <w:tc>
          <w:tcPr>
            <w:tcW w:type="dxa" w:w="1234"/>
          </w:tcPr>
          <w:p>
            <w:r>
              <w:rPr>
                <w:b/>
              </w:rPr>
              <w:t>Method</w:t>
            </w:r>
          </w:p>
        </w:tc>
        <w:tc>
          <w:tcPr>
            <w:tcW w:type="dxa" w:w="1234"/>
          </w:tcPr>
          <w:p>
            <w:r>
              <w:rPr>
                <w:b/>
              </w:rPr>
              <w:t>Features Used</w:t>
            </w:r>
          </w:p>
        </w:tc>
        <w:tc>
          <w:tcPr>
            <w:tcW w:type="dxa" w:w="1234"/>
          </w:tcPr>
          <w:p>
            <w:r>
              <w:rPr>
                <w:b/>
              </w:rPr>
              <w:t>Performance Metrics</w:t>
            </w:r>
          </w:p>
        </w:tc>
        <w:tc>
          <w:tcPr>
            <w:tcW w:type="dxa" w:w="1234"/>
          </w:tcPr>
          <w:p>
            <w:r>
              <w:rPr>
                <w:b/>
              </w:rPr>
              <w:t>Limitations</w:t>
            </w:r>
          </w:p>
        </w:tc>
      </w:tr>
      <w:tr>
        <w:tc>
          <w:tcPr>
            <w:tcW w:type="dxa" w:w="1234"/>
          </w:tcPr>
          <w:p>
            <w:r>
              <w:t>Schoonbee et al. [5]</w:t>
            </w:r>
          </w:p>
        </w:tc>
        <w:tc>
          <w:tcPr>
            <w:tcW w:type="dxa" w:w="1234"/>
          </w:tcPr>
          <w:p>
            <w:r>
              <w:t>2021</w:t>
            </w:r>
          </w:p>
        </w:tc>
        <w:tc>
          <w:tcPr>
            <w:tcW w:type="dxa" w:w="1234"/>
          </w:tcPr>
          <w:p>
            <w:r>
              <w:t>Educational invoices (South Africa)</w:t>
            </w:r>
          </w:p>
        </w:tc>
        <w:tc>
          <w:tcPr>
            <w:tcW w:type="dxa" w:w="1234"/>
          </w:tcPr>
          <w:p>
            <w:r>
              <w:t>LR, RF, XGBoost, NN decision support</w:t>
            </w:r>
          </w:p>
        </w:tc>
        <w:tc>
          <w:tcPr>
            <w:tcW w:type="dxa" w:w="1234"/>
          </w:tcPr>
          <w:p>
            <w:r>
              <w:t>Student-level payment history, demographics</w:t>
            </w:r>
          </w:p>
        </w:tc>
        <w:tc>
          <w:tcPr>
            <w:tcW w:type="dxa" w:w="1234"/>
          </w:tcPr>
          <w:p>
            <w:r>
              <w:t>Accuracy ≈ 80–85%</w:t>
            </w:r>
          </w:p>
        </w:tc>
        <w:tc>
          <w:tcPr>
            <w:tcW w:type="dxa" w:w="1234"/>
          </w:tcPr>
          <w:p>
            <w:r>
              <w:t>Aggregate features; nominal targets</w:t>
            </w:r>
          </w:p>
        </w:tc>
      </w:tr>
      <w:tr>
        <w:tc>
          <w:tcPr>
            <w:tcW w:type="dxa" w:w="1234"/>
          </w:tcPr>
          <w:p>
            <w:r>
              <w:t>Moore &amp; van Vuuren [4]</w:t>
            </w:r>
          </w:p>
        </w:tc>
        <w:tc>
          <w:tcPr>
            <w:tcW w:type="dxa" w:w="1234"/>
          </w:tcPr>
          <w:p>
            <w:r>
              <w:t>2020</w:t>
            </w:r>
          </w:p>
        </w:tc>
        <w:tc>
          <w:tcPr>
            <w:tcW w:type="dxa" w:w="1234"/>
          </w:tcPr>
          <w:p>
            <w:r>
              <w:t>Customer invoices</w:t>
            </w:r>
          </w:p>
        </w:tc>
        <w:tc>
          <w:tcPr>
            <w:tcW w:type="dxa" w:w="1234"/>
          </w:tcPr>
          <w:p>
            <w:r>
              <w:t>Survival analysis + ML (MIPP)</w:t>
            </w:r>
          </w:p>
        </w:tc>
        <w:tc>
          <w:tcPr>
            <w:tcW w:type="dxa" w:w="1234"/>
          </w:tcPr>
          <w:p>
            <w:r>
              <w:t>Invoice history, customer attributes</w:t>
            </w:r>
          </w:p>
        </w:tc>
        <w:tc>
          <w:tcPr>
            <w:tcW w:type="dxa" w:w="1234"/>
          </w:tcPr>
          <w:p>
            <w:r>
              <w:t>Time-to-payment estimates</w:t>
            </w:r>
          </w:p>
        </w:tc>
        <w:tc>
          <w:tcPr>
            <w:tcW w:type="dxa" w:w="1234"/>
          </w:tcPr>
          <w:p>
            <w:r>
              <w:t>No ordinal brackets; no resampling study</w:t>
            </w:r>
          </w:p>
        </w:tc>
      </w:tr>
      <w:tr>
        <w:tc>
          <w:tcPr>
            <w:tcW w:type="dxa" w:w="1234"/>
          </w:tcPr>
          <w:p>
            <w:r>
              <w:t>Mugorobin et al. [3]</w:t>
            </w:r>
          </w:p>
        </w:tc>
        <w:tc>
          <w:tcPr>
            <w:tcW w:type="dxa" w:w="1234"/>
          </w:tcPr>
          <w:p>
            <w:r>
              <w:t>2020</w:t>
            </w:r>
          </w:p>
        </w:tc>
        <w:tc>
          <w:tcPr>
            <w:tcW w:type="dxa" w:w="1234"/>
          </w:tcPr>
          <w:p>
            <w:r>
              <w:t>School tuition (Indonesia)</w:t>
            </w:r>
          </w:p>
        </w:tc>
        <w:tc>
          <w:tcPr>
            <w:tcW w:type="dxa" w:w="1234"/>
          </w:tcPr>
          <w:p>
            <w:r>
              <w:t>Rule-based estimation with classification</w:t>
            </w:r>
          </w:p>
        </w:tc>
        <w:tc>
          <w:tcPr>
            <w:tcW w:type="dxa" w:w="1234"/>
          </w:tcPr>
          <w:p>
            <w:r>
              <w:t>Tuition payment timeliness records</w:t>
            </w:r>
          </w:p>
        </w:tc>
        <w:tc>
          <w:tcPr>
            <w:tcW w:type="dxa" w:w="1234"/>
          </w:tcPr>
          <w:p>
            <w:r>
              <w:t>Accuracy on small institutional sample</w:t>
            </w:r>
          </w:p>
        </w:tc>
        <w:tc>
          <w:tcPr>
            <w:tcW w:type="dxa" w:w="1234"/>
          </w:tcPr>
          <w:p>
            <w:r>
              <w:t>Heuristic; no ensemble benchmarking</w:t>
            </w:r>
          </w:p>
        </w:tc>
      </w:tr>
      <w:tr>
        <w:tc>
          <w:tcPr>
            <w:tcW w:type="dxa" w:w="1234"/>
          </w:tcPr>
          <w:p>
            <w:r>
              <w:t>Martikainen [6]</w:t>
            </w:r>
          </w:p>
        </w:tc>
        <w:tc>
          <w:tcPr>
            <w:tcW w:type="dxa" w:w="1234"/>
          </w:tcPr>
          <w:p>
            <w:r>
              <w:t>2023</w:t>
            </w:r>
          </w:p>
        </w:tc>
        <w:tc>
          <w:tcPr>
            <w:tcW w:type="dxa" w:w="1234"/>
          </w:tcPr>
          <w:p>
            <w:r>
              <w:t>B2B sales invoices (Finland)</w:t>
            </w:r>
          </w:p>
        </w:tc>
        <w:tc>
          <w:tcPr>
            <w:tcW w:type="dxa" w:w="1234"/>
          </w:tcPr>
          <w:p>
            <w:r>
              <w:t>Statistical learning, logistic regression</w:t>
            </w:r>
          </w:p>
        </w:tc>
        <w:tc>
          <w:tcPr>
            <w:tcW w:type="dxa" w:w="1234"/>
          </w:tcPr>
          <w:p>
            <w:r>
              <w:t>Invoice and customer attributes</w:t>
            </w:r>
          </w:p>
        </w:tc>
        <w:tc>
          <w:tcPr>
            <w:tcW w:type="dxa" w:w="1234"/>
          </w:tcPr>
          <w:p>
            <w:r>
              <w:t>Moderate AUC discrimination</w:t>
            </w:r>
          </w:p>
        </w:tc>
        <w:tc>
          <w:tcPr>
            <w:tcW w:type="dxa" w:w="1234"/>
          </w:tcPr>
          <w:p>
            <w:r>
              <w:t>Few classifiers; imbalance untreated</w:t>
            </w:r>
          </w:p>
        </w:tc>
      </w:tr>
      <w:tr>
        <w:tc>
          <w:tcPr>
            <w:tcW w:type="dxa" w:w="1234"/>
          </w:tcPr>
          <w:p>
            <w:r>
              <w:t>Cheong [7]</w:t>
            </w:r>
          </w:p>
        </w:tc>
        <w:tc>
          <w:tcPr>
            <w:tcW w:type="dxa" w:w="1234"/>
          </w:tcPr>
          <w:p>
            <w:r>
              <w:t>2022</w:t>
            </w:r>
          </w:p>
        </w:tc>
        <w:tc>
          <w:tcPr>
            <w:tcW w:type="dxa" w:w="1234"/>
          </w:tcPr>
          <w:p>
            <w:r>
              <w:t>Corporate accounts receivable</w:t>
            </w:r>
          </w:p>
        </w:tc>
        <w:tc>
          <w:tcPr>
            <w:tcW w:type="dxa" w:w="1234"/>
          </w:tcPr>
          <w:p>
            <w:r>
              <w:t>Customer-level gradient boosting</w:t>
            </w:r>
          </w:p>
        </w:tc>
        <w:tc>
          <w:tcPr>
            <w:tcW w:type="dxa" w:w="1234"/>
          </w:tcPr>
          <w:p>
            <w:r>
              <w:t>Customer payment history, segmentation</w:t>
            </w:r>
          </w:p>
        </w:tc>
        <w:tc>
          <w:tcPr>
            <w:tcW w:type="dxa" w:w="1234"/>
          </w:tcPr>
          <w:p>
            <w:r>
              <w:t>Reduction in unnecessary interventions</w:t>
            </w:r>
          </w:p>
        </w:tc>
        <w:tc>
          <w:tcPr>
            <w:tcW w:type="dxa" w:w="1234"/>
          </w:tcPr>
          <w:p>
            <w:r>
              <w:t>Customer aggregation; no line-item detail</w:t>
            </w:r>
          </w:p>
        </w:tc>
      </w:tr>
      <w:tr>
        <w:tc>
          <w:tcPr>
            <w:tcW w:type="dxa" w:w="1234"/>
          </w:tcPr>
          <w:p>
            <w:r>
              <w:t>Appel et al. [8]</w:t>
            </w:r>
          </w:p>
        </w:tc>
        <w:tc>
          <w:tcPr>
            <w:tcW w:type="dxa" w:w="1234"/>
          </w:tcPr>
          <w:p>
            <w:r>
              <w:t>2021</w:t>
            </w:r>
          </w:p>
        </w:tc>
        <w:tc>
          <w:tcPr>
            <w:tcW w:type="dxa" w:w="1234"/>
          </w:tcPr>
          <w:p>
            <w:r>
              <w:t>Corporate accounts receivable</w:t>
            </w:r>
          </w:p>
        </w:tc>
        <w:tc>
          <w:tcPr>
            <w:tcW w:type="dxa" w:w="1234"/>
          </w:tcPr>
          <w:p>
            <w:r>
              <w:t>Supervised ML on transaction histories</w:t>
            </w:r>
          </w:p>
        </w:tc>
        <w:tc>
          <w:tcPr>
            <w:tcW w:type="dxa" w:w="1234"/>
          </w:tcPr>
          <w:p>
            <w:r>
              <w:t>Transaction history, customer segmentation</w:t>
            </w:r>
          </w:p>
        </w:tc>
        <w:tc>
          <w:tcPr>
            <w:tcW w:type="dxa" w:w="1234"/>
          </w:tcPr>
          <w:p>
            <w:r>
              <w:t>Precision on overdue-account detection</w:t>
            </w:r>
          </w:p>
        </w:tc>
        <w:tc>
          <w:tcPr>
            <w:tcW w:type="dxa" w:w="1234"/>
          </w:tcPr>
          <w:p>
            <w:r>
              <w:t>Corporate context; binary target</w:t>
            </w:r>
          </w:p>
        </w:tc>
      </w:tr>
      <w:tr>
        <w:tc>
          <w:tcPr>
            <w:tcW w:type="dxa" w:w="1234"/>
          </w:tcPr>
          <w:p>
            <w:r>
              <w:t>Thuy et al. [23]</w:t>
            </w:r>
          </w:p>
        </w:tc>
        <w:tc>
          <w:tcPr>
            <w:tcW w:type="dxa" w:w="1234"/>
          </w:tcPr>
          <w:p>
            <w:r>
              <w:t>2025</w:t>
            </w:r>
          </w:p>
        </w:tc>
        <w:tc>
          <w:tcPr>
            <w:tcW w:type="dxa" w:w="1234"/>
          </w:tcPr>
          <w:p>
            <w:r>
              <w:t>Student credit scoring (Vietnam)</w:t>
            </w:r>
          </w:p>
        </w:tc>
        <w:tc>
          <w:tcPr>
            <w:tcW w:type="dxa" w:w="1234"/>
          </w:tcPr>
          <w:p>
            <w:r>
              <w:t>ML vs. deep learning comparison</w:t>
            </w:r>
          </w:p>
        </w:tc>
        <w:tc>
          <w:tcPr>
            <w:tcW w:type="dxa" w:w="1234"/>
          </w:tcPr>
          <w:p>
            <w:r>
              <w:t>Academic, demographic, financial features</w:t>
            </w:r>
          </w:p>
        </w:tc>
        <w:tc>
          <w:tcPr>
            <w:tcW w:type="dxa" w:w="1234"/>
          </w:tcPr>
          <w:p>
            <w:r>
              <w:t>ML ensembles competitive with deep learning</w:t>
            </w:r>
          </w:p>
        </w:tc>
        <w:tc>
          <w:tcPr>
            <w:tcW w:type="dxa" w:w="1234"/>
          </w:tcPr>
          <w:p>
            <w:r>
              <w:t>Credit scoring, not invoice-level prediction</w:t>
            </w:r>
          </w:p>
        </w:tc>
      </w:tr>
      <w:tr>
        <w:tc>
          <w:tcPr>
            <w:tcW w:type="dxa" w:w="1234"/>
          </w:tcPr>
          <w:p>
            <w:r>
              <w:t>Abbas &amp; Hussein [9]</w:t>
            </w:r>
          </w:p>
        </w:tc>
        <w:tc>
          <w:tcPr>
            <w:tcW w:type="dxa" w:w="1234"/>
          </w:tcPr>
          <w:p>
            <w:r>
              <w:t>2024</w:t>
            </w:r>
          </w:p>
        </w:tc>
        <w:tc>
          <w:tcPr>
            <w:tcW w:type="dxa" w:w="1234"/>
          </w:tcPr>
          <w:p>
            <w:r>
              <w:t>Consumer loan default</w:t>
            </w:r>
          </w:p>
        </w:tc>
        <w:tc>
          <w:tcPr>
            <w:tcW w:type="dxa" w:w="1234"/>
          </w:tcPr>
          <w:p>
            <w:r>
              <w:t>XGBoost, LightGBM</w:t>
            </w:r>
          </w:p>
        </w:tc>
        <w:tc>
          <w:tcPr>
            <w:tcW w:type="dxa" w:w="1234"/>
          </w:tcPr>
          <w:p>
            <w:r>
              <w:t>Borrower financial attributes</w:t>
            </w:r>
          </w:p>
        </w:tc>
        <w:tc>
          <w:tcPr>
            <w:tcW w:type="dxa" w:w="1234"/>
          </w:tcPr>
          <w:p>
            <w:r>
              <w:t>Boosting outperforms statistical baselines</w:t>
            </w:r>
          </w:p>
        </w:tc>
        <w:tc>
          <w:tcPr>
            <w:tcW w:type="dxa" w:w="1234"/>
          </w:tcPr>
          <w:p>
            <w:r>
              <w:t>Default prediction; no payment-delay granularity</w:t>
            </w:r>
          </w:p>
        </w:tc>
      </w:tr>
    </w:tbl>
    <w:p>
      <w:pPr>
        <w:pStyle w:val="ThesisParagraphText"/>
      </w:pPr>
      <w:r>
        <w:t>Four patterns emerge from Table 2.2. First, tree-based ensembles and boosting algorithms are the consistent performance leaders across every domain in which they were tested, displacing both classical statistical models and, in the most recent comparison [23],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[31]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including three ordinal and six two-stage designs, across seven balancing strategies and two feature regimes on category-level educational invoices.</w:t>
      </w:r>
    </w:p>
    <w:p w14:paraId="555C201D" w14:textId="3D60433E" w:rsidR="00B66C9B" w:rsidRPr="00FD0F64" w:rsidRDefault="00B046CE" w:rsidP="002C3DB6">
      <w:pPr>
        <w:pStyle w:val="Heading2"/>
      </w:pPr>
      <w:r>
        <w:t>2.14 Theoretical Framework</w:t>
      </w:r>
    </w:p>
    <w:p>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pPr>
        <w:pStyle w:val="NoSpacing"/>
      </w:pPr>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67A2B76E" w14:textId="03E8FF55" w:rsidR="002C3DB6" w:rsidRPr="00FD0F64" w:rsidRDefault="00DB6188" w:rsidP="00DB6188">
      <w:pPr>
        <w:pStyle w:val="Caption"/>
      </w:pPr>
      <w:r>
        <w:t>Figure 2.1: Conceptual Framework.</w:t>
      </w:r>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pPr>
        <w:pStyle w:val="Heading2"/>
      </w:pPr>
      <w:r>
        <w:t>3.1 Research Design</w:t>
      </w:r>
    </w:p>
    <w:p w14:paraId="1A0E09DC" w14:textId="77A9CEB0"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[27].</w:t>
      </w:r>
    </w:p>
    <w:p>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57A3CB09" w14:textId="3BD3FE3C" w:rsidR="007B369A" w:rsidRPr="00FD0F64" w:rsidRDefault="007B369A" w:rsidP="007B369A">
      <w:pPr>
        <w:pStyle w:val="Heading2"/>
      </w:pPr>
      <w:r>
        <w:t>3.2 Data Acquisition and Preprocessing</w:t>
      </w:r>
    </w:p>
    <w:p w14:paraId="3A687D8B" w14:textId="4674E123"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6FDF1562" w14:textId="300199C6" w:rsidR="00A24C5D" w:rsidRPr="00FD0F64" w:rsidRDefault="00047818" w:rsidP="009613E6">
      <w:pPr>
        <w:pStyle w:val="ThesisParagraphText"/>
      </w:pPr>
      <w:r>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2C8ADA50" w14:textId="1E3B001F"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CF438CA" w14:textId="76ABE279" w:rsidR="0081578F" w:rsidRDefault="0081578F" w:rsidP="0081578F">
      <w:pPr>
        <w:pStyle w:val="Caption"/>
      </w:pPr>
      <w:r>
        <w:t>Figure 3.1: Entity-relationship diagram (ERD) of the institutional dataset.</w:t>
      </w:r>
    </w:p>
    <w:p>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7766B07C" w14:textId="77777777" w:rsidR="0081578F" w:rsidRPr="0081578F" w:rsidRDefault="0081578F" w:rsidP="0081578F"/>
    <w:bookmarkEnd w:id="57"/>
    <w:p>
      <w:pPr>
        <w:pStyle w:val="ThesisParagraphText"/>
      </w:pPr>
      <w:r>
        <w:t>Figure 3.2 presents the Level-1 data flow diagram (DFD) of the pre-processing component, which transforms the three raw institutional exports into the analysis-ready credit sales dataset.</w:t>
      </w:r>
    </w:p>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r>
        <w:t>Figure 3.2: Level-1 DFD of the Pre-Processing component.</w:t>
      </w:r>
    </w:p>
    <w:p>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 a property that supports the auditability objectives discussed in Section 3.7.</w:t>
      </w:r>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pPr>
        <w:pStyle w:val="ThesisParagraphText"/>
      </w:pPr>
      <w:r>
        <w:t>Table 3.1 presents the data dictionary for the Transactions table, detailing each attribute's format and role in the preprocessing pipeline.</w:t>
      </w:r>
    </w:p>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 the central innovation of this study — while school_year and the pseudonymized student identifier allow behavioral features to be accumulated across a student's enrollment history.</w:t>
      </w:r>
    </w:p>
    <w:p>
      <w:pPr>
        <w:pStyle w:val="ThesisParagraphText"/>
      </w:pPr>
      <w:r>
        <w:t>Table 3.2 presents the data dictionary for the Categories table, detailing each attribute's format and role in the preprocessing pipeline.</w:t>
      </w:r>
    </w:p>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pPr>
        <w:pStyle w:val="ThesisParagraphText"/>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pPr>
        <w:pStyle w:val="ThesisParagraphText"/>
      </w:pPr>
      <w:r>
        <w:t>Table 3.3 presents the data dictionary for the Credit Sales Fact Table, the consolidated analysis-ready view produced by the preprocessing pipeline.</w:t>
      </w:r>
    </w:p>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r>
        <w:t>3.3 Granular Feature Engineering</w:t>
      </w:r>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r>
        <w:t>3.4 Survival-Analysis-Derived Features</w:t>
      </w:r>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r>
        <w:t>3.5 Model Architectures</w:t>
      </w:r>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[12]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pPr>
        <w:pStyle w:val="ThesisParagraphText"/>
      </w:pPr>
      <w:r>
        <w:t>Figure 3.3 presents the Level-1 DFD of the modelling component, covering class balancing, model training, and hyperparameter search across the three model families.</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r>
        <w:t>Figure 3.3: Level-1 DFD of the Modelling component.</w:t>
      </w:r>
    </w:p>
    <w:p>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pPr>
        <w:pStyle w:val="ThesisParagraphText"/>
      </w:pPr>
      <w:r>
        <w:t>The following table presents the hyperparameter grid searched for the base classifier configurations.</w:t>
      </w:r>
    </w:p>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pPr>
        <w:pStyle w:val="ThesisParagraphText"/>
      </w:pPr>
      <w:r>
        <w:t>The following table presents the hyperparameter grid searched for the ordinal classifier configurations.</w:t>
      </w:r>
    </w:p>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pPr>
        <w:pStyle w:val="ThesisParagraphText"/>
      </w:pPr>
      <w:r>
        <w:t>The following table presents the hyperparameter grids searched for the two-stage model configurations, covering both the binary first stage and the multi-class second stage.</w:t>
      </w:r>
    </w:p>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18AA3110"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pPr>
        <w:pStyle w:val="ThesisParagraphText"/>
      </w:pPr>
      <w:r>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r>
        <w:t>3.6 Experimental Design and Evaluation</w:t>
      </w:r>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pPr>
        <w:pStyle w:val="ThesisParagraphText"/>
      </w:pPr>
      <w:r>
        <w:t>Figure 3.4 illustrates the distribution of the four payment brackets across the 6,527 training records used in this study.</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r>
        <w:t>Figure 3.4: Distribution of payment statuses.</w:t>
      </w:r>
    </w:p>
    <w:p>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[43], Borderline-SMOTE [44], SMOTE-Tomek [45], and threshold-based hybrid undersampling — and that motivates macro-averaged F1, which weights all four classes equally, as the primary evaluation metric, consistent with standard practice in imbalanced classification [46].</w:t>
      </w:r>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r>
        <w:t>Figure 3.5: Level-1 DFD of the Analysis component.</w:t>
      </w:r>
    </w:p>
    <w:p>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pPr>
        <w:pStyle w:val="Heading2"/>
      </w:pPr>
      <w:r>
        <w:t>3.7 Ethical Considerations</w:t>
      </w:r>
    </w:p>
    <w:p>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pPr>
        <w:pStyle w:val="Heading3"/>
      </w:pPr>
      <w:r>
        <w:t>3.7.1 Data Privacy</w:t>
      </w:r>
    </w:p>
    <w:p>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pPr>
        <w:pStyle w:val="Heading3"/>
      </w:pPr>
      <w:r>
        <w:t>3.7.2 Ethical Use of Predictions</w:t>
      </w:r>
    </w:p>
    <w:p>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56DF4E3D" w14:textId="31B2FF81" w:rsidR="00C60A0D" w:rsidRPr="00FD0F64" w:rsidRDefault="00A61B0A" w:rsidP="009E2EBD">
      <w:pPr>
        <w:pStyle w:val="Heading2"/>
      </w:pPr>
      <w:r>
        <w:t>4.1 RQ1 — Performance of Ensemble Architectures vs. Base Classifiers</w:t>
      </w:r>
    </w:p>
    <w:p>
      <w:pPr>
        <w:pStyle w:val="ThesisParagraphText"/>
      </w:pPr>
      <w:r>
        <w:t>Table 4.1 presents the peak macro-F1 and ROC-AUC scores for each model family under the enhanced feature regime, identifying the best individual model and resampling strategy per family.</w:t>
      </w:r>
    </w:p>
    <w:p w14:paraId="2CD1ACA3" w14:textId="4ADAA9D1" w:rsidR="006E4711" w:rsidRPr="00FD0F64" w:rsidRDefault="009E2EBD" w:rsidP="009279BE">
      <w:pPr>
        <w:pStyle w:val="Caption"/>
        <w:spacing w:before="120"/>
        <w:ind w:firstLine="0"/>
        <w:jc w:val="center"/>
        <w:rPr>
          <w:b/>
          <w:bCs/>
        </w:rPr>
      </w:pPr>
      <w:r w:rsidRPr="00FD0F64">
        <w:rPr>
          <w:b/>
          <w:bCs/>
        </w:rPr>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r>
        <w:t>Figure 4.1: Ordinal &amp; Two-Stage Variants vs. Base Classifiers (lift in F1 and AUC metrics).</w:t>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pPr>
        <w:pStyle w:val="Heading2"/>
      </w:pPr>
      <w:r>
        <w:t>4.2 RQ2 — Impact of Survival-Analysis-Derived Features</w:t>
      </w: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7051C6A1" w14:textId="6E3EDDAA" w:rsidR="005F23C8" w:rsidRDefault="008C7907" w:rsidP="005C54DC">
      <w:pPr>
        <w:pStyle w:val="Heading2"/>
      </w:pPr>
      <w:r>
        <w:t>4.3 RQ3 — Effect of Class-Balancing Strategies on Model Performance</w:t>
      </w:r>
    </w:p>
    <w:p>
      <w:pPr>
        <w:pStyle w:val="ThesisParagraphText"/>
      </w:pPr>
      <w:r>
        <w:t>Figure 4.2 presents macro-F1 distributions across all model types and balancing strategies under the enhanced feature regime.</w:t>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r>
        <w:t>Figure 4.2: F1 Macro by Model &amp; Balance Strategy (enhanced features).</w:t>
      </w:r>
    </w:p>
    <w:p>
      <w:pPr>
        <w:pStyle w:val="ThesisParagraphText"/>
      </w:pPr>
      <w:r>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 strategy selection matters most for precisely the models least able to compensate internally.</w:t>
      </w:r>
    </w:p>
    <w:p w14:paraId="0038DAAF" w14:textId="77777777" w:rsidR="007449D1" w:rsidRPr="007449D1" w:rsidRDefault="007449D1" w:rsidP="003C0AEA">
      <w:pPr>
        <w:ind w:firstLine="0"/>
      </w:pPr>
    </w:p>
    <w:p>
      <w:pPr>
        <w:pStyle w:val="ThesisParagraphText"/>
      </w:pPr>
      <w:r>
        <w:t>Figure 4.3 presents ROC-AUC distributions across all model types and balancing strategies under the enhanced feature regime.</w:t>
      </w: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r>
        <w:t>Figure 4.3: AUC Macro by Model &amp; Balance Strategy (enhanced features).</w:t>
      </w:r>
    </w:p>
    <w:p>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300EC5AA" w14:textId="77777777" w:rsidR="00C250D5" w:rsidRPr="00FD0F64" w:rsidRDefault="00C250D5" w:rsidP="00EB1BF6">
      <w:pPr>
        <w:pStyle w:val="ThesisParagraphText"/>
        <w:ind w:firstLine="0"/>
      </w:pPr>
    </w:p>
    <w:p>
      <w:pPr>
        <w:pStyle w:val="ThesisParagraphText"/>
      </w:pPr>
      <w:r>
        <w:t>Figure 4.4 presents macro-F1 distributions by model and balancing strategy under the baseline feature regime, that is, without the five survival-analysis-derived features.</w:t>
      </w: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r>
        <w:t>Figure 4.4: F1 Macro by Model &amp; Balance Strategy (baseline features).</w:t>
      </w:r>
    </w:p>
    <w:p>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Borderline-SMOTE leads in both — indicating that resampling choice and feature regime act as largely independent levers.</w:t>
      </w:r>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01D3AF48" w14:textId="7369323A" w:rsidR="00A174DA" w:rsidRDefault="00A174DA" w:rsidP="00437D43">
      <w:pPr>
        <w:ind w:firstLine="0"/>
      </w:pPr>
    </w:p>
    <w:p w14:paraId="3F23B96A" w14:textId="11343088" w:rsidR="00550E91" w:rsidRPr="00FD0F64" w:rsidRDefault="00550E91" w:rsidP="005C54DC">
      <w:pPr>
        <w:pStyle w:val="Heading2"/>
      </w:pPr>
      <w:r>
        <w:t>4.4 Metric Convergence and Model Selection Criteria</w:t>
      </w:r>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pPr>
        <w:pStyle w:val="ThesisParagraphText"/>
      </w:pPr>
      <w:r>
        <w:t>Figure 4.7 presents ROC curves for the top-performing models, plotting the trade-off between true positive rate and false positive rate across classification thresholds.</w:t>
      </w: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r>
        <w:t>Figure 4.7: ROC Curves for Top Models.</w:t>
      </w:r>
    </w:p>
    <w:p>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525EE84C" w14:textId="77777777" w:rsidR="00A174DA" w:rsidRPr="00A174DA" w:rsidRDefault="00A174DA" w:rsidP="00A174DA"/>
    <w:p>
      <w:pPr>
        <w:pStyle w:val="ThesisParagraphText"/>
      </w:pPr>
      <w:r>
        <w:t>Figure 4.8 presents the confusion matrices of the top three models, detailing classification performance per payment bracket.</w:t>
      </w:r>
    </w:p>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r>
        <w:t>Figure 4.8: Confusion Matrices for Top 3 Models.</w:t>
      </w:r>
    </w:p>
    <w:p>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 misclassifications land one bracket away rather than at the opposite extreme — which moderates their operational cost, since an invoice flagged one bracket early still receives an intervention.</w:t>
      </w:r>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pPr>
        <w:pStyle w:val="Heading2"/>
      </w:pPr>
      <w:r>
        <w:t>4.5 RQ4 — Granular Feature Contribution</w:t>
      </w:r>
    </w:p>
    <w:p>
      <w:pPr>
        <w:pStyle w:val="ThesisParagraphText"/>
      </w:pPr>
      <w:r>
        <w:t>Figures 4.5 and 4.6 present feature importance scores aggregated across model types, revealing which variables most consistently drive payment bracket predictions.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r>
        <w:t>Figure 4.5: Feature Importance across Model Types (1 of 2).</w:t>
      </w:r>
    </w:p>
    <w:p>
      <w:pPr>
        <w:pStyle w:val="ThesisParagraphText"/>
      </w:pPr>
      <w:r>
        <w:t>Figure 4.5 covers the first half of the model types, where the same small set of behavioral variables already heads every ranking. Figure 4.6 continues the ranking with the remaining model types, allowing the cross-family comparison discussed below.</w:t>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r>
        <w:t>Figure 4.6: Feature Importance across Model Types (2 of 2).</w:t>
      </w:r>
    </w:p>
    <w:p>
      <w:pPr>
        <w:pStyle w:val="ThesisParagraphText"/>
      </w:pPr>
      <w:r>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pPr>
        <w:pStyle w:val="Heading2"/>
      </w:pPr>
      <w:r>
        <w:t>4.6 Prototype Demonstration</w:t>
      </w:r>
    </w:p>
    <w:p>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 [Screenshot placeholder: insert captures of each screen once the application is running.]</w:t>
      </w:r>
    </w:p>
    <w:p>
      <w:pPr>
        <w:pStyle w:val="ThesisParagraphText"/>
      </w:pPr>
      <w:r>
        <w:t>The entry point is a multi-step Initial Setup Wizard that guides the administrator through uploading the three institutional source files (revenues, enrollees, and chart of accounts) and triggering the training pipeline, removing any need to interact with code or notebooks. 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is the deployed model and what does the receivables mix look like — at a glance.</w:t>
      </w:r>
    </w:p>
    <w:p>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 The Comparative Model Dashboard provides the analytical depth behind the deployment choice, allowing filtering by model type and balance strategy and rendering ROC curves, confusion matrices, and F1/AUC comparison charts across all 1,092 experiment configurations.</w:t>
      </w:r>
    </w:p>
    <w:p>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 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invoice_date, due_date, amount, customer_id, and paid_date — onto the input schema expected by the feature engineering pipeline. At present only the proprietary three-file institutional schema is supported; the adapter and additional data source integrations are planned for future development (Section 5.4).</w:t>
      </w:r>
    </w:p>
    <w:p>
      <w:pPr>
        <w:pStyle w:val="Heading2"/>
      </w:pPr>
      <w:r>
        <w:t>4.7 Benchmark Dataset Generalizability</w:t>
      </w:r>
    </w:p>
    <w:p>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t>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pPr>
        <w:pStyle w:val="Heading2"/>
      </w:pPr>
      <w:r>
        <w:t>5.5 Conclusion</w:t>
      </w:r>
    </w:p>
    <w:p>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pPr>
        <w:pStyle w:val="ThesisParagraphText"/>
      </w:pPr>
      <w:r>
        <w:t>Beyond the single institution, the contribution is methodological. The study leaves behind a replicable benchmarking framework — a factorial protocol over model families, balancing strategies, and feature regimes, with every experiment logged to a queryable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ageBreakBefore/>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04BBF618" w14:textId="02D211BA" w:rsidR="004454FE" w:rsidRPr="00FD0F64" w:rsidRDefault="00B747E8" w:rsidP="00BB6FF6">
      <w:pPr>
        <w:pageBreakBefore/>
        <w:pStyle w:val="Heading2"/>
      </w:pPr>
      <w:bookmarkStart w:id="128" w:name="_Toc229345161"/>
      <w:r w:rsidRPr="00FD0F64">
        <w:t>APPENDIX B: Days Sales Outstanding per Plan Type (calendar year 2024)</w:t>
      </w:r>
      <w:bookmarkEnd w:id="128"/>
    </w:p>
    <w:p>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ageBreakBefore/>
        <w:pStyle w:val="Heading2"/>
      </w:pPr>
      <w:bookmarkStart w:id="129" w:name="_Toc229345162"/>
      <w:r w:rsidRPr="00FD0F64">
        <w:lastRenderedPageBreak/>
        <w:t>APPENDIX C: Days Sales Outstanding per Plan Type (calendar year 2025)</w:t>
      </w:r>
      <w:bookmarkEnd w:id="129"/>
    </w:p>
    <w:p>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pPr>
        <w:pStyle w:val="ThesisParagraphText"/>
      </w:pPr>
      <w:r>
        <w:t>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75C01F0F" w14:textId="515A54A2" w:rsidR="00920644" w:rsidRPr="00FD0F64" w:rsidRDefault="001F7C5A" w:rsidP="00BB6FF6">
      <w:pPr>
        <w:pageBreakBefore/>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pPr>
        <w:pStyle w:val="ThesisParagraphText"/>
      </w:pPr>
      <w:r>
        <w:t>Appendix D reproduces the first set of feature importance rankings reported by Schoonbee et al. [5], included as the principal point of comparison for the importance analysis in Section 4.5.</w:t>
      </w:r>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pPr>
        <w:pStyle w:val="ThesisParagraphText"/>
      </w:pPr>
      <w:r>
        <w:t>Their top-ranked variables are aggregate, student-level payment history features, which is consistent with this study's finding that behavioral payment history dominates prediction — while lacking the category-level granularity and engineered survival features introduced here.</w:t>
      </w:r>
    </w:p>
    <w:p w14:paraId="5438B10E" w14:textId="38A9D113" w:rsidR="00DD7845" w:rsidRPr="00FD0F64" w:rsidRDefault="000B2180" w:rsidP="00BB6FF6">
      <w:pPr>
        <w:pageBreakBefore/>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pPr>
        <w:pStyle w:val="ThesisParagraphText"/>
      </w:pPr>
      <w:r>
        <w:t>Appendix E reproduces the second set of feature importance rankings from Schoonbee et al. [5], complementing Appendix D.</w:t>
      </w:r>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209BD7B9" w14:textId="0DDFE53C" w:rsidR="00664705" w:rsidRPr="00FD0F64" w:rsidRDefault="001B69AF" w:rsidP="00BB6FF6">
      <w:pPr>
        <w:pageBreakBefore/>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pPr>
        <w:pStyle w:val="ThesisParagraphText"/>
      </w:pPr>
      <w:r>
        <w:t>Appendix F reproduces the correlation scores between candidate features and the days-to-payment variable reported by Moore and van Vuuren [4].</w:t>
      </w:r>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pPr>
        <w:pStyle w:val="ThesisParagraphText"/>
      </w:pPr>
      <w:r>
        <w:t>The strongest correlates in their framework are historical payment-delay aggregates, anticipating the dominance of dtp-derived features observed in this study's importance rankings (Figures 4.5 and 4.6).</w:t>
      </w:r>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pPr>
        <w:pageBreakBefore/>
        <w:pStyle w:val="Heading2"/>
      </w:pPr>
      <w:r>
        <w:t>APPENDIX G: Institutional Communication and Authorization Letter</w:t>
      </w:r>
    </w:p>
    <w:p>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pPr>
        <w:pageBreakBefore/>
        <w:pStyle w:val="Heading2"/>
      </w:pPr>
      <w:r>
        <w:t>APPENDIX H: Dataset Description and Variable Dictionary</w:t>
      </w:r>
    </w:p>
    <w:p>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Feature Name</w:t>
            </w:r>
          </w:p>
        </w:tc>
        <w:tc>
          <w:tcPr>
            <w:tcW w:type="dxa" w:w="1728"/>
          </w:tcPr>
          <w:p>
            <w:r>
              <w:rPr>
                <w:b/>
              </w:rPr>
              <w:t>Category</w:t>
            </w:r>
          </w:p>
        </w:tc>
        <w:tc>
          <w:tcPr>
            <w:tcW w:type="dxa" w:w="1728"/>
          </w:tcPr>
          <w:p>
            <w:r>
              <w:rPr>
                <w:b/>
              </w:rPr>
              <w:t>Type</w:t>
            </w:r>
          </w:p>
        </w:tc>
        <w:tc>
          <w:tcPr>
            <w:tcW w:type="dxa" w:w="1728"/>
          </w:tcPr>
          <w:p>
            <w:r>
              <w:rPr>
                <w:b/>
              </w:rPr>
              <w:t>Description</w:t>
            </w:r>
          </w:p>
        </w:tc>
        <w:tc>
          <w:tcPr>
            <w:tcW w:type="dxa" w:w="1728"/>
          </w:tcPr>
          <w:p>
            <w:r>
              <w:rPr>
                <w:b/>
              </w:rPr>
              <w:t>Source</w:t>
            </w:r>
          </w:p>
        </w:tc>
      </w:tr>
      <w:tr>
        <w:tc>
          <w:tcPr>
            <w:tcW w:type="dxa" w:w="1728"/>
          </w:tcPr>
          <w:p>
            <w:r>
              <w:t>school_year</w:t>
            </w:r>
          </w:p>
        </w:tc>
        <w:tc>
          <w:tcPr>
            <w:tcW w:type="dxa" w:w="1728"/>
          </w:tcPr>
          <w:p>
            <w:r>
              <w:t>Identity (not a model input)</w:t>
            </w:r>
          </w:p>
        </w:tc>
        <w:tc>
          <w:tcPr>
            <w:tcW w:type="dxa" w:w="1728"/>
          </w:tcPr>
          <w:p>
            <w:r>
              <w:t>Categorical</w:t>
            </w:r>
          </w:p>
        </w:tc>
        <w:tc>
          <w:tcPr>
            <w:tcW w:type="dxa" w:w="1728"/>
          </w:tcPr>
          <w:p>
            <w:r>
              <w:t>Academic year of the invoice</w:t>
            </w:r>
          </w:p>
        </w:tc>
        <w:tc>
          <w:tcPr>
            <w:tcW w:type="dxa" w:w="1728"/>
          </w:tcPr>
          <w:p>
            <w:r>
              <w:t>Revenues</w:t>
            </w:r>
          </w:p>
        </w:tc>
      </w:tr>
      <w:tr>
        <w:tc>
          <w:tcPr>
            <w:tcW w:type="dxa" w:w="1728"/>
          </w:tcPr>
          <w:p>
            <w:r>
              <w:t>student_id_pseudonymized</w:t>
            </w:r>
          </w:p>
        </w:tc>
        <w:tc>
          <w:tcPr>
            <w:tcW w:type="dxa" w:w="1728"/>
          </w:tcPr>
          <w:p>
            <w:r>
              <w:t>Identity (not a model input)</w:t>
            </w:r>
          </w:p>
        </w:tc>
        <w:tc>
          <w:tcPr>
            <w:tcW w:type="dxa" w:w="1728"/>
          </w:tcPr>
          <w:p>
            <w:r>
              <w:t>Integer</w:t>
            </w:r>
          </w:p>
        </w:tc>
        <w:tc>
          <w:tcPr>
            <w:tcW w:type="dxa" w:w="1728"/>
          </w:tcPr>
          <w:p>
            <w:r>
              <w:t>Anonymized student identifier</w:t>
            </w:r>
          </w:p>
        </w:tc>
        <w:tc>
          <w:tcPr>
            <w:tcW w:type="dxa" w:w="1728"/>
          </w:tcPr>
          <w:p>
            <w:r>
              <w:t>Revenues (pseudonymized)</w:t>
            </w:r>
          </w:p>
        </w:tc>
      </w:tr>
      <w:tr>
        <w:tc>
          <w:tcPr>
            <w:tcW w:type="dxa" w:w="1728"/>
          </w:tcPr>
          <w:p>
            <w:r>
              <w:t>category_name</w:t>
            </w:r>
          </w:p>
        </w:tc>
        <w:tc>
          <w:tcPr>
            <w:tcW w:type="dxa" w:w="1728"/>
          </w:tcPr>
          <w:p>
            <w:r>
              <w:t>Identity (not a model input)</w:t>
            </w:r>
          </w:p>
        </w:tc>
        <w:tc>
          <w:tcPr>
            <w:tcW w:type="dxa" w:w="1728"/>
          </w:tcPr>
          <w:p>
            <w:r>
              <w:t>Categorical</w:t>
            </w:r>
          </w:p>
        </w:tc>
        <w:tc>
          <w:tcPr>
            <w:tcW w:type="dxa" w:w="1728"/>
          </w:tcPr>
          <w:p>
            <w:r>
              <w:t>Fee category (e.g., tuition, miscellaneous)</w:t>
            </w:r>
          </w:p>
        </w:tc>
        <w:tc>
          <w:tcPr>
            <w:tcW w:type="dxa" w:w="1728"/>
          </w:tcPr>
          <w:p>
            <w:r>
              <w:t>Chart of accounts</w:t>
            </w:r>
          </w:p>
        </w:tc>
      </w:tr>
      <w:tr>
        <w:tc>
          <w:tcPr>
            <w:tcW w:type="dxa" w:w="1728"/>
          </w:tcPr>
          <w:p>
            <w:r>
              <w:t>gross_receivables</w:t>
            </w:r>
          </w:p>
        </w:tc>
        <w:tc>
          <w:tcPr>
            <w:tcW w:type="dxa" w:w="1728"/>
          </w:tcPr>
          <w:p>
            <w:r>
              <w:t>Raw financial</w:t>
            </w:r>
          </w:p>
        </w:tc>
        <w:tc>
          <w:tcPr>
            <w:tcW w:type="dxa" w:w="1728"/>
          </w:tcPr>
          <w:p>
            <w:r>
              <w:t>Numeric</w:t>
            </w:r>
          </w:p>
        </w:tc>
        <w:tc>
          <w:tcPr>
            <w:tcW w:type="dxa" w:w="1728"/>
          </w:tcPr>
          <w:p>
            <w:r>
              <w:t>Total billed amount before deductions</w:t>
            </w:r>
          </w:p>
        </w:tc>
        <w:tc>
          <w:tcPr>
            <w:tcW w:type="dxa" w:w="1728"/>
          </w:tcPr>
          <w:p>
            <w:r>
              <w:t>Revenues</w:t>
            </w:r>
          </w:p>
        </w:tc>
      </w:tr>
      <w:tr>
        <w:tc>
          <w:tcPr>
            <w:tcW w:type="dxa" w:w="1728"/>
          </w:tcPr>
          <w:p>
            <w:r>
              <w:t>amount_discounted</w:t>
            </w:r>
          </w:p>
        </w:tc>
        <w:tc>
          <w:tcPr>
            <w:tcW w:type="dxa" w:w="1728"/>
          </w:tcPr>
          <w:p>
            <w:r>
              <w:t>Raw financial</w:t>
            </w:r>
          </w:p>
        </w:tc>
        <w:tc>
          <w:tcPr>
            <w:tcW w:type="dxa" w:w="1728"/>
          </w:tcPr>
          <w:p>
            <w:r>
              <w:t>Numeric</w:t>
            </w:r>
          </w:p>
        </w:tc>
        <w:tc>
          <w:tcPr>
            <w:tcW w:type="dxa" w:w="1728"/>
          </w:tcPr>
          <w:p>
            <w:r>
              <w:t>Discount applied to the invoice</w:t>
            </w:r>
          </w:p>
        </w:tc>
        <w:tc>
          <w:tcPr>
            <w:tcW w:type="dxa" w:w="1728"/>
          </w:tcPr>
          <w:p>
            <w:r>
              <w:t>Revenues</w:t>
            </w:r>
          </w:p>
        </w:tc>
      </w:tr>
      <w:tr>
        <w:tc>
          <w:tcPr>
            <w:tcW w:type="dxa" w:w="1728"/>
          </w:tcPr>
          <w:p>
            <w:r>
              <w:t>adjustments</w:t>
            </w:r>
          </w:p>
        </w:tc>
        <w:tc>
          <w:tcPr>
            <w:tcW w:type="dxa" w:w="1728"/>
          </w:tcPr>
          <w:p>
            <w:r>
              <w:t>Raw financial</w:t>
            </w:r>
          </w:p>
        </w:tc>
        <w:tc>
          <w:tcPr>
            <w:tcW w:type="dxa" w:w="1728"/>
          </w:tcPr>
          <w:p>
            <w:r>
              <w:t>Numeric</w:t>
            </w:r>
          </w:p>
        </w:tc>
        <w:tc>
          <w:tcPr>
            <w:tcW w:type="dxa" w:w="1728"/>
          </w:tcPr>
          <w:p>
            <w:r>
              <w:t>Post-billing adjustments (credit or debit)</w:t>
            </w:r>
          </w:p>
        </w:tc>
        <w:tc>
          <w:tcPr>
            <w:tcW w:type="dxa" w:w="1728"/>
          </w:tcPr>
          <w:p>
            <w:r>
              <w:t>Revenues</w:t>
            </w:r>
          </w:p>
        </w:tc>
      </w:tr>
      <w:tr>
        <w:tc>
          <w:tcPr>
            <w:tcW w:type="dxa" w:w="1728"/>
          </w:tcPr>
          <w:p>
            <w:r>
              <w:t>credit_sale_amount</w:t>
            </w:r>
          </w:p>
        </w:tc>
        <w:tc>
          <w:tcPr>
            <w:tcW w:type="dxa" w:w="1728"/>
          </w:tcPr>
          <w:p>
            <w:r>
              <w:t>Raw financial</w:t>
            </w:r>
          </w:p>
        </w:tc>
        <w:tc>
          <w:tcPr>
            <w:tcW w:type="dxa" w:w="1728"/>
          </w:tcPr>
          <w:p>
            <w:r>
              <w:t>Numeric</w:t>
            </w:r>
          </w:p>
        </w:tc>
        <w:tc>
          <w:tcPr>
            <w:tcW w:type="dxa" w:w="1728"/>
          </w:tcPr>
          <w:p>
            <w:r>
              <w:t>Net receivable after discount and adjustments</w:t>
            </w:r>
          </w:p>
        </w:tc>
        <w:tc>
          <w:tcPr>
            <w:tcW w:type="dxa" w:w="1728"/>
          </w:tcPr>
          <w:p>
            <w:r>
              <w:t>Derived</w:t>
            </w:r>
          </w:p>
        </w:tc>
      </w:tr>
      <w:tr>
        <w:tc>
          <w:tcPr>
            <w:tcW w:type="dxa" w:w="1728"/>
          </w:tcPr>
          <w:p>
            <w:r>
              <w:t>due_date</w:t>
            </w:r>
          </w:p>
        </w:tc>
        <w:tc>
          <w:tcPr>
            <w:tcW w:type="dxa" w:w="1728"/>
          </w:tcPr>
          <w:p>
            <w:r>
              <w:t>Raw financial</w:t>
            </w:r>
          </w:p>
        </w:tc>
        <w:tc>
          <w:tcPr>
            <w:tcW w:type="dxa" w:w="1728"/>
          </w:tcPr>
          <w:p>
            <w:r>
              <w:t>Date</w:t>
            </w:r>
          </w:p>
        </w:tc>
        <w:tc>
          <w:tcPr>
            <w:tcW w:type="dxa" w:w="1728"/>
          </w:tcPr>
          <w:p>
            <w:r>
              <w:t>Contractual payment due date</w:t>
            </w:r>
          </w:p>
        </w:tc>
        <w:tc>
          <w:tcPr>
            <w:tcW w:type="dxa" w:w="1728"/>
          </w:tcPr>
          <w:p>
            <w:r>
              <w:t>Revenues</w:t>
            </w:r>
          </w:p>
        </w:tc>
      </w:tr>
      <w:tr>
        <w:tc>
          <w:tcPr>
            <w:tcW w:type="dxa" w:w="1728"/>
          </w:tcPr>
          <w:p>
            <w:r>
              <w:t>date_fully_paid</w:t>
            </w:r>
          </w:p>
        </w:tc>
        <w:tc>
          <w:tcPr>
            <w:tcW w:type="dxa" w:w="1728"/>
          </w:tcPr>
          <w:p>
            <w:r>
              <w:t>Raw financial</w:t>
            </w:r>
          </w:p>
        </w:tc>
        <w:tc>
          <w:tcPr>
            <w:tcW w:type="dxa" w:w="1728"/>
          </w:tcPr>
          <w:p>
            <w:r>
              <w:t>Date</w:t>
            </w:r>
          </w:p>
        </w:tc>
        <w:tc>
          <w:tcPr>
            <w:tcW w:type="dxa" w:w="1728"/>
          </w:tcPr>
          <w:p>
            <w:r>
              <w:t>Date the invoice was fully settled (empty if unpaid)</w:t>
            </w:r>
          </w:p>
        </w:tc>
        <w:tc>
          <w:tcPr>
            <w:tcW w:type="dxa" w:w="1728"/>
          </w:tcPr>
          <w:p>
            <w:r>
              <w:t>Revenues</w:t>
            </w:r>
          </w:p>
        </w:tc>
      </w:tr>
      <w:tr>
        <w:tc>
          <w:tcPr>
            <w:tcW w:type="dxa" w:w="1728"/>
          </w:tcPr>
          <w:p>
            <w:r>
              <w:t>dtp_1</w:t>
            </w:r>
          </w:p>
        </w:tc>
        <w:tc>
          <w:tcPr>
            <w:tcW w:type="dxa" w:w="1728"/>
          </w:tcPr>
          <w:p>
            <w:r>
              <w:t>Days-to-payment history</w:t>
            </w:r>
          </w:p>
        </w:tc>
        <w:tc>
          <w:tcPr>
            <w:tcW w:type="dxa" w:w="1728"/>
          </w:tcPr>
          <w:p>
            <w:r>
              <w:t>Numeric</w:t>
            </w:r>
          </w:p>
        </w:tc>
        <w:tc>
          <w:tcPr>
            <w:tcW w:type="dxa" w:w="1728"/>
          </w:tcPr>
          <w:p>
            <w:r>
              <w:t>Days to full payment, most recent prior invoice</w:t>
            </w:r>
          </w:p>
        </w:tc>
        <w:tc>
          <w:tcPr>
            <w:tcW w:type="dxa" w:w="1728"/>
          </w:tcPr>
          <w:p>
            <w:r>
              <w:t>Derived</w:t>
            </w:r>
          </w:p>
        </w:tc>
      </w:tr>
      <w:tr>
        <w:tc>
          <w:tcPr>
            <w:tcW w:type="dxa" w:w="1728"/>
          </w:tcPr>
          <w:p>
            <w:r>
              <w:t>dtp_2</w:t>
            </w:r>
          </w:p>
        </w:tc>
        <w:tc>
          <w:tcPr>
            <w:tcW w:type="dxa" w:w="1728"/>
          </w:tcPr>
          <w:p>
            <w:r>
              <w:t>Days-to-payment history</w:t>
            </w:r>
          </w:p>
        </w:tc>
        <w:tc>
          <w:tcPr>
            <w:tcW w:type="dxa" w:w="1728"/>
          </w:tcPr>
          <w:p>
            <w:r>
              <w:t>Numeric</w:t>
            </w:r>
          </w:p>
        </w:tc>
        <w:tc>
          <w:tcPr>
            <w:tcW w:type="dxa" w:w="1728"/>
          </w:tcPr>
          <w:p>
            <w:r>
              <w:t>Days to full payment, 2nd most recent prior invoice</w:t>
            </w:r>
          </w:p>
        </w:tc>
        <w:tc>
          <w:tcPr>
            <w:tcW w:type="dxa" w:w="1728"/>
          </w:tcPr>
          <w:p>
            <w:r>
              <w:t>Derived</w:t>
            </w:r>
          </w:p>
        </w:tc>
      </w:tr>
      <w:tr>
        <w:tc>
          <w:tcPr>
            <w:tcW w:type="dxa" w:w="1728"/>
          </w:tcPr>
          <w:p>
            <w:r>
              <w:t>dtp_3</w:t>
            </w:r>
          </w:p>
        </w:tc>
        <w:tc>
          <w:tcPr>
            <w:tcW w:type="dxa" w:w="1728"/>
          </w:tcPr>
          <w:p>
            <w:r>
              <w:t>Days-to-payment history</w:t>
            </w:r>
          </w:p>
        </w:tc>
        <w:tc>
          <w:tcPr>
            <w:tcW w:type="dxa" w:w="1728"/>
          </w:tcPr>
          <w:p>
            <w:r>
              <w:t>Numeric</w:t>
            </w:r>
          </w:p>
        </w:tc>
        <w:tc>
          <w:tcPr>
            <w:tcW w:type="dxa" w:w="1728"/>
          </w:tcPr>
          <w:p>
            <w:r>
              <w:t>Days to full payment, 3rd most recent prior invoice</w:t>
            </w:r>
          </w:p>
        </w:tc>
        <w:tc>
          <w:tcPr>
            <w:tcW w:type="dxa" w:w="1728"/>
          </w:tcPr>
          <w:p>
            <w:r>
              <w:t>Derived</w:t>
            </w:r>
          </w:p>
        </w:tc>
      </w:tr>
      <w:tr>
        <w:tc>
          <w:tcPr>
            <w:tcW w:type="dxa" w:w="1728"/>
          </w:tcPr>
          <w:p>
            <w:r>
              <w:t>dtp_4</w:t>
            </w:r>
          </w:p>
        </w:tc>
        <w:tc>
          <w:tcPr>
            <w:tcW w:type="dxa" w:w="1728"/>
          </w:tcPr>
          <w:p>
            <w:r>
              <w:t>Days-to-payment history</w:t>
            </w:r>
          </w:p>
        </w:tc>
        <w:tc>
          <w:tcPr>
            <w:tcW w:type="dxa" w:w="1728"/>
          </w:tcPr>
          <w:p>
            <w:r>
              <w:t>Numeric</w:t>
            </w:r>
          </w:p>
        </w:tc>
        <w:tc>
          <w:tcPr>
            <w:tcW w:type="dxa" w:w="1728"/>
          </w:tcPr>
          <w:p>
            <w:r>
              <w:t>Days to full payment, 4th most recent prior invoice</w:t>
            </w:r>
          </w:p>
        </w:tc>
        <w:tc>
          <w:tcPr>
            <w:tcW w:type="dxa" w:w="1728"/>
          </w:tcPr>
          <w:p>
            <w:r>
              <w:t>Derived</w:t>
            </w:r>
          </w:p>
        </w:tc>
      </w:tr>
      <w:tr>
        <w:tc>
          <w:tcPr>
            <w:tcW w:type="dxa" w:w="1728"/>
          </w:tcPr>
          <w:p>
            <w:r>
              <w:t>dtp_avg</w:t>
            </w:r>
          </w:p>
        </w:tc>
        <w:tc>
          <w:tcPr>
            <w:tcW w:type="dxa" w:w="1728"/>
          </w:tcPr>
          <w:p>
            <w:r>
              <w:t>Days-to-payment history</w:t>
            </w:r>
          </w:p>
        </w:tc>
        <w:tc>
          <w:tcPr>
            <w:tcW w:type="dxa" w:w="1728"/>
          </w:tcPr>
          <w:p>
            <w:r>
              <w:t>Numeric</w:t>
            </w:r>
          </w:p>
        </w:tc>
        <w:tc>
          <w:tcPr>
            <w:tcW w:type="dxa" w:w="1728"/>
          </w:tcPr>
          <w:p>
            <w:r>
              <w:t>Simple average of available DTP values</w:t>
            </w:r>
          </w:p>
        </w:tc>
        <w:tc>
          <w:tcPr>
            <w:tcW w:type="dxa" w:w="1728"/>
          </w:tcPr>
          <w:p>
            <w:r>
              <w:t>Derived</w:t>
            </w:r>
          </w:p>
        </w:tc>
      </w:tr>
      <w:tr>
        <w:tc>
          <w:tcPr>
            <w:tcW w:type="dxa" w:w="1728"/>
          </w:tcPr>
          <w:p>
            <w:r>
              <w:t>dtp_wavg</w:t>
            </w:r>
          </w:p>
        </w:tc>
        <w:tc>
          <w:tcPr>
            <w:tcW w:type="dxa" w:w="1728"/>
          </w:tcPr>
          <w:p>
            <w:r>
              <w:t>Days-to-payment history</w:t>
            </w:r>
          </w:p>
        </w:tc>
        <w:tc>
          <w:tcPr>
            <w:tcW w:type="dxa" w:w="1728"/>
          </w:tcPr>
          <w:p>
            <w:r>
              <w:t>Numeric</w:t>
            </w:r>
          </w:p>
        </w:tc>
        <w:tc>
          <w:tcPr>
            <w:tcW w:type="dxa" w:w="1728"/>
          </w:tcPr>
          <w:p>
            <w:r>
              <w:t>Weighted average of DTP values (recent invoices weighted higher)</w:t>
            </w:r>
          </w:p>
        </w:tc>
        <w:tc>
          <w:tcPr>
            <w:tcW w:type="dxa" w:w="1728"/>
          </w:tcPr>
          <w:p>
            <w:r>
              <w:t>Derived</w:t>
            </w:r>
          </w:p>
        </w:tc>
      </w:tr>
      <w:tr>
        <w:tc>
          <w:tcPr>
            <w:tcW w:type="dxa" w:w="1728"/>
          </w:tcPr>
          <w:p>
            <w:r>
              <w:t>dtp_2_trend</w:t>
            </w:r>
          </w:p>
        </w:tc>
        <w:tc>
          <w:tcPr>
            <w:tcW w:type="dxa" w:w="1728"/>
          </w:tcPr>
          <w:p>
            <w:r>
              <w:t>Days-to-payment history</w:t>
            </w:r>
          </w:p>
        </w:tc>
        <w:tc>
          <w:tcPr>
            <w:tcW w:type="dxa" w:w="1728"/>
          </w:tcPr>
          <w:p>
            <w:r>
              <w:t>Numeric</w:t>
            </w:r>
          </w:p>
        </w:tc>
        <w:tc>
          <w:tcPr>
            <w:tcW w:type="dxa" w:w="1728"/>
          </w:tcPr>
          <w:p>
            <w:r>
              <w:t>Slope of DTP across the 2 most recent invoices</w:t>
            </w:r>
          </w:p>
        </w:tc>
        <w:tc>
          <w:tcPr>
            <w:tcW w:type="dxa" w:w="1728"/>
          </w:tcPr>
          <w:p>
            <w:r>
              <w:t>Derived</w:t>
            </w:r>
          </w:p>
        </w:tc>
      </w:tr>
      <w:tr>
        <w:tc>
          <w:tcPr>
            <w:tcW w:type="dxa" w:w="1728"/>
          </w:tcPr>
          <w:p>
            <w:r>
              <w:t>dtp_3_trend</w:t>
            </w:r>
          </w:p>
        </w:tc>
        <w:tc>
          <w:tcPr>
            <w:tcW w:type="dxa" w:w="1728"/>
          </w:tcPr>
          <w:p>
            <w:r>
              <w:t>Days-to-payment history</w:t>
            </w:r>
          </w:p>
        </w:tc>
        <w:tc>
          <w:tcPr>
            <w:tcW w:type="dxa" w:w="1728"/>
          </w:tcPr>
          <w:p>
            <w:r>
              <w:t>Numeric</w:t>
            </w:r>
          </w:p>
        </w:tc>
        <w:tc>
          <w:tcPr>
            <w:tcW w:type="dxa" w:w="1728"/>
          </w:tcPr>
          <w:p>
            <w:r>
              <w:t>Slope of DTP across the 3 most recent invoices</w:t>
            </w:r>
          </w:p>
        </w:tc>
        <w:tc>
          <w:tcPr>
            <w:tcW w:type="dxa" w:w="1728"/>
          </w:tcPr>
          <w:p>
            <w:r>
              <w:t>Derived</w:t>
            </w:r>
          </w:p>
        </w:tc>
      </w:tr>
      <w:tr>
        <w:tc>
          <w:tcPr>
            <w:tcW w:type="dxa" w:w="1728"/>
          </w:tcPr>
          <w:p>
            <w:r>
              <w:t>days_since_last_payment</w:t>
            </w:r>
          </w:p>
        </w:tc>
        <w:tc>
          <w:tcPr>
            <w:tcW w:type="dxa" w:w="1728"/>
          </w:tcPr>
          <w:p>
            <w:r>
              <w:t>Days-to-payment history</w:t>
            </w:r>
          </w:p>
        </w:tc>
        <w:tc>
          <w:tcPr>
            <w:tcW w:type="dxa" w:w="1728"/>
          </w:tcPr>
          <w:p>
            <w:r>
              <w:t>Numeric</w:t>
            </w:r>
          </w:p>
        </w:tc>
        <w:tc>
          <w:tcPr>
            <w:tcW w:type="dxa" w:w="1728"/>
          </w:tcPr>
          <w:p>
            <w:r>
              <w:t>Calendar days since the student's last full payment</w:t>
            </w:r>
          </w:p>
        </w:tc>
        <w:tc>
          <w:tcPr>
            <w:tcW w:type="dxa" w:w="1728"/>
          </w:tcPr>
          <w:p>
            <w:r>
              <w:t>Derived</w:t>
            </w:r>
          </w:p>
        </w:tc>
      </w:tr>
      <w:tr>
        <w:tc>
          <w:tcPr>
            <w:tcW w:type="dxa" w:w="1728"/>
          </w:tcPr>
          <w:p>
            <w:r>
              <w:t>dtp_rolling_std</w:t>
            </w:r>
          </w:p>
        </w:tc>
        <w:tc>
          <w:tcPr>
            <w:tcW w:type="dxa" w:w="1728"/>
          </w:tcPr>
          <w:p>
            <w:r>
              <w:t>Days-to-payment history</w:t>
            </w:r>
          </w:p>
        </w:tc>
        <w:tc>
          <w:tcPr>
            <w:tcW w:type="dxa" w:w="1728"/>
          </w:tcPr>
          <w:p>
            <w:r>
              <w:t>Numeric</w:t>
            </w:r>
          </w:p>
        </w:tc>
        <w:tc>
          <w:tcPr>
            <w:tcW w:type="dxa" w:w="1728"/>
          </w:tcPr>
          <w:p>
            <w:r>
              <w:t>Rolling standard deviation of recent DTP values</w:t>
            </w:r>
          </w:p>
        </w:tc>
        <w:tc>
          <w:tcPr>
            <w:tcW w:type="dxa" w:w="1728"/>
          </w:tcPr>
          <w:p>
            <w:r>
              <w:t>Derived</w:t>
            </w:r>
          </w:p>
        </w:tc>
      </w:tr>
      <w:tr>
        <w:tc>
          <w:tcPr>
            <w:tcW w:type="dxa" w:w="1728"/>
          </w:tcPr>
          <w:p>
            <w:r>
              <w:t>dtp_max</w:t>
            </w:r>
          </w:p>
        </w:tc>
        <w:tc>
          <w:tcPr>
            <w:tcW w:type="dxa" w:w="1728"/>
          </w:tcPr>
          <w:p>
            <w:r>
              <w:t>Days-to-payment history</w:t>
            </w:r>
          </w:p>
        </w:tc>
        <w:tc>
          <w:tcPr>
            <w:tcW w:type="dxa" w:w="1728"/>
          </w:tcPr>
          <w:p>
            <w:r>
              <w:t>Numeric</w:t>
            </w:r>
          </w:p>
        </w:tc>
        <w:tc>
          <w:tcPr>
            <w:tcW w:type="dxa" w:w="1728"/>
          </w:tcPr>
          <w:p>
            <w:r>
              <w:t>Maximum DTP observed across recent invoices</w:t>
            </w:r>
          </w:p>
        </w:tc>
        <w:tc>
          <w:tcPr>
            <w:tcW w:type="dxa" w:w="1728"/>
          </w:tcPr>
          <w:p>
            <w:r>
              <w:t>Derived</w:t>
            </w:r>
          </w:p>
        </w:tc>
      </w:tr>
      <w:tr>
        <w:tc>
          <w:tcPr>
            <w:tcW w:type="dxa" w:w="1728"/>
          </w:tcPr>
          <w:p>
            <w:r>
              <w:t>amount_due_cumsum</w:t>
            </w:r>
          </w:p>
        </w:tc>
        <w:tc>
          <w:tcPr>
            <w:tcW w:type="dxa" w:w="1728"/>
          </w:tcPr>
          <w:p>
            <w:r>
              <w:t>Financial / cumulative</w:t>
            </w:r>
          </w:p>
        </w:tc>
        <w:tc>
          <w:tcPr>
            <w:tcW w:type="dxa" w:w="1728"/>
          </w:tcPr>
          <w:p>
            <w:r>
              <w:t>Numeric</w:t>
            </w:r>
          </w:p>
        </w:tc>
        <w:tc>
          <w:tcPr>
            <w:tcW w:type="dxa" w:w="1728"/>
          </w:tcPr>
          <w:p>
            <w:r>
              <w:t>Cumulative total billed to the student to date</w:t>
            </w:r>
          </w:p>
        </w:tc>
        <w:tc>
          <w:tcPr>
            <w:tcW w:type="dxa" w:w="1728"/>
          </w:tcPr>
          <w:p>
            <w:r>
              <w:t>Derived</w:t>
            </w:r>
          </w:p>
        </w:tc>
      </w:tr>
      <w:tr>
        <w:tc>
          <w:tcPr>
            <w:tcW w:type="dxa" w:w="1728"/>
          </w:tcPr>
          <w:p>
            <w:r>
              <w:t>amount_paid_cumsum</w:t>
            </w:r>
          </w:p>
        </w:tc>
        <w:tc>
          <w:tcPr>
            <w:tcW w:type="dxa" w:w="1728"/>
          </w:tcPr>
          <w:p>
            <w:r>
              <w:t>Financial / cumulative</w:t>
            </w:r>
          </w:p>
        </w:tc>
        <w:tc>
          <w:tcPr>
            <w:tcW w:type="dxa" w:w="1728"/>
          </w:tcPr>
          <w:p>
            <w:r>
              <w:t>Numeric</w:t>
            </w:r>
          </w:p>
        </w:tc>
        <w:tc>
          <w:tcPr>
            <w:tcW w:type="dxa" w:w="1728"/>
          </w:tcPr>
          <w:p>
            <w:r>
              <w:t>Cumulative total paid by the student to date</w:t>
            </w:r>
          </w:p>
        </w:tc>
        <w:tc>
          <w:tcPr>
            <w:tcW w:type="dxa" w:w="1728"/>
          </w:tcPr>
          <w:p>
            <w:r>
              <w:t>Derived</w:t>
            </w:r>
          </w:p>
        </w:tc>
      </w:tr>
      <w:tr>
        <w:tc>
          <w:tcPr>
            <w:tcW w:type="dxa" w:w="1728"/>
          </w:tcPr>
          <w:p>
            <w:r>
              <w:t>opening_balance</w:t>
            </w:r>
          </w:p>
        </w:tc>
        <w:tc>
          <w:tcPr>
            <w:tcW w:type="dxa" w:w="1728"/>
          </w:tcPr>
          <w:p>
            <w:r>
              <w:t>Financial / cumulative</w:t>
            </w:r>
          </w:p>
        </w:tc>
        <w:tc>
          <w:tcPr>
            <w:tcW w:type="dxa" w:w="1728"/>
          </w:tcPr>
          <w:p>
            <w:r>
              <w:t>Numeric</w:t>
            </w:r>
          </w:p>
        </w:tc>
        <w:tc>
          <w:tcPr>
            <w:tcW w:type="dxa" w:w="1728"/>
          </w:tcPr>
          <w:p>
            <w:r>
              <w:t>Unpaid balance carried over from prior periods</w:t>
            </w:r>
          </w:p>
        </w:tc>
        <w:tc>
          <w:tcPr>
            <w:tcW w:type="dxa" w:w="1728"/>
          </w:tcPr>
          <w:p>
            <w:r>
              <w:t>Derived</w:t>
            </w:r>
          </w:p>
        </w:tc>
      </w:tr>
      <w:tr>
        <w:tc>
          <w:tcPr>
            <w:tcW w:type="dxa" w:w="1728"/>
          </w:tcPr>
          <w:p>
            <w:r>
              <w:t>opening_balance_flag</w:t>
            </w:r>
          </w:p>
        </w:tc>
        <w:tc>
          <w:tcPr>
            <w:tcW w:type="dxa" w:w="1728"/>
          </w:tcPr>
          <w:p>
            <w:r>
              <w:t>Financial / cumulative</w:t>
            </w:r>
          </w:p>
        </w:tc>
        <w:tc>
          <w:tcPr>
            <w:tcW w:type="dxa" w:w="1728"/>
          </w:tcPr>
          <w:p>
            <w:r>
              <w:t>Binary</w:t>
            </w:r>
          </w:p>
        </w:tc>
        <w:tc>
          <w:tcPr>
            <w:tcW w:type="dxa" w:w="1728"/>
          </w:tcPr>
          <w:p>
            <w:r>
              <w:t>1 if the student has a non-zero opening balance</w:t>
            </w:r>
          </w:p>
        </w:tc>
        <w:tc>
          <w:tcPr>
            <w:tcW w:type="dxa" w:w="1728"/>
          </w:tcPr>
          <w:p>
            <w:r>
              <w:t>Derived</w:t>
            </w:r>
          </w:p>
        </w:tc>
      </w:tr>
      <w:tr>
        <w:tc>
          <w:tcPr>
            <w:tcW w:type="dxa" w:w="1728"/>
          </w:tcPr>
          <w:p>
            <w:r>
              <w:t>payment_ratio</w:t>
            </w:r>
          </w:p>
        </w:tc>
        <w:tc>
          <w:tcPr>
            <w:tcW w:type="dxa" w:w="1728"/>
          </w:tcPr>
          <w:p>
            <w:r>
              <w:t>Financial / cumulative</w:t>
            </w:r>
          </w:p>
        </w:tc>
        <w:tc>
          <w:tcPr>
            <w:tcW w:type="dxa" w:w="1728"/>
          </w:tcPr>
          <w:p>
            <w:r>
              <w:t>Numeric</w:t>
            </w:r>
          </w:p>
        </w:tc>
        <w:tc>
          <w:tcPr>
            <w:tcW w:type="dxa" w:w="1728"/>
          </w:tcPr>
          <w:p>
            <w:r>
              <w:t>Ratio of cumulative paid to cumulative billed</w:t>
            </w:r>
          </w:p>
        </w:tc>
        <w:tc>
          <w:tcPr>
            <w:tcW w:type="dxa" w:w="1728"/>
          </w:tcPr>
          <w:p>
            <w:r>
              <w:t>Derived</w:t>
            </w:r>
          </w:p>
        </w:tc>
      </w:tr>
      <w:tr>
        <w:tc>
          <w:tcPr>
            <w:tcW w:type="dxa" w:w="1728"/>
          </w:tcPr>
          <w:p>
            <w:r>
              <w:t>prev_bracket</w:t>
            </w:r>
          </w:p>
        </w:tc>
        <w:tc>
          <w:tcPr>
            <w:tcW w:type="dxa" w:w="1728"/>
          </w:tcPr>
          <w:p>
            <w:r>
              <w:t>Behavioral / historical</w:t>
            </w:r>
          </w:p>
        </w:tc>
        <w:tc>
          <w:tcPr>
            <w:tcW w:type="dxa" w:w="1728"/>
          </w:tcPr>
          <w:p>
            <w:r>
              <w:t>Ordinal</w:t>
            </w:r>
          </w:p>
        </w:tc>
        <w:tc>
          <w:tcPr>
            <w:tcW w:type="dxa" w:w="1728"/>
          </w:tcPr>
          <w:p>
            <w:r>
              <w:t>Payment bracket of the most recent prior invoice</w:t>
            </w:r>
          </w:p>
        </w:tc>
        <w:tc>
          <w:tcPr>
            <w:tcW w:type="dxa" w:w="1728"/>
          </w:tcPr>
          <w:p>
            <w:r>
              <w:t>Derived</w:t>
            </w:r>
          </w:p>
        </w:tc>
      </w:tr>
      <w:tr>
        <w:tc>
          <w:tcPr>
            <w:tcW w:type="dxa" w:w="1728"/>
          </w:tcPr>
          <w:p>
            <w:r>
              <w:t>early_payer_flag</w:t>
            </w:r>
          </w:p>
        </w:tc>
        <w:tc>
          <w:tcPr>
            <w:tcW w:type="dxa" w:w="1728"/>
          </w:tcPr>
          <w:p>
            <w:r>
              <w:t>Behavioral / historical</w:t>
            </w:r>
          </w:p>
        </w:tc>
        <w:tc>
          <w:tcPr>
            <w:tcW w:type="dxa" w:w="1728"/>
          </w:tcPr>
          <w:p>
            <w:r>
              <w:t>Binary</w:t>
            </w:r>
          </w:p>
        </w:tc>
        <w:tc>
          <w:tcPr>
            <w:tcW w:type="dxa" w:w="1728"/>
          </w:tcPr>
          <w:p>
            <w:r>
              <w:t>1 if the student has a history of paying before the due date</w:t>
            </w:r>
          </w:p>
        </w:tc>
        <w:tc>
          <w:tcPr>
            <w:tcW w:type="dxa" w:w="1728"/>
          </w:tcPr>
          <w:p>
            <w:r>
              <w:t>Derived</w:t>
            </w:r>
          </w:p>
        </w:tc>
      </w:tr>
      <w:tr>
        <w:tc>
          <w:tcPr>
            <w:tcW w:type="dxa" w:w="1728"/>
          </w:tcPr>
          <w:p>
            <w:r>
              <w:t>on_time_streak</w:t>
            </w:r>
          </w:p>
        </w:tc>
        <w:tc>
          <w:tcPr>
            <w:tcW w:type="dxa" w:w="1728"/>
          </w:tcPr>
          <w:p>
            <w:r>
              <w:t>Behavioral / historical</w:t>
            </w:r>
          </w:p>
        </w:tc>
        <w:tc>
          <w:tcPr>
            <w:tcW w:type="dxa" w:w="1728"/>
          </w:tcPr>
          <w:p>
            <w:r>
              <w:t>Integer</w:t>
            </w:r>
          </w:p>
        </w:tc>
        <w:tc>
          <w:tcPr>
            <w:tcW w:type="dxa" w:w="1728"/>
          </w:tcPr>
          <w:p>
            <w:r>
              <w:t>Consecutive on-time payments preceding the current invoice</w:t>
            </w:r>
          </w:p>
        </w:tc>
        <w:tc>
          <w:tcPr>
            <w:tcW w:type="dxa" w:w="1728"/>
          </w:tcPr>
          <w:p>
            <w:r>
              <w:t>Derived</w:t>
            </w:r>
          </w:p>
        </w:tc>
      </w:tr>
      <w:tr>
        <w:tc>
          <w:tcPr>
            <w:tcW w:type="dxa" w:w="1728"/>
          </w:tcPr>
          <w:p>
            <w:r>
              <w:t>plan_type_Plan - A</w:t>
            </w:r>
          </w:p>
        </w:tc>
        <w:tc>
          <w:tcPr>
            <w:tcW w:type="dxa" w:w="1728"/>
          </w:tcPr>
          <w:p>
            <w:r>
              <w:t>Payment plan</w:t>
            </w:r>
          </w:p>
        </w:tc>
        <w:tc>
          <w:tcPr>
            <w:tcW w:type="dxa" w:w="1728"/>
          </w:tcPr>
          <w:p>
            <w:r>
              <w:t>Binary (one-hot)</w:t>
            </w:r>
          </w:p>
        </w:tc>
        <w:tc>
          <w:tcPr>
            <w:tcW w:type="dxa" w:w="1728"/>
          </w:tcPr>
          <w:p>
            <w:r>
              <w:t>Full payment upfront</w:t>
            </w:r>
          </w:p>
        </w:tc>
        <w:tc>
          <w:tcPr>
            <w:tcW w:type="dxa" w:w="1728"/>
          </w:tcPr>
          <w:p>
            <w:r>
              <w:t>Enrollees</w:t>
            </w:r>
          </w:p>
        </w:tc>
      </w:tr>
      <w:tr>
        <w:tc>
          <w:tcPr>
            <w:tcW w:type="dxa" w:w="1728"/>
          </w:tcPr>
          <w:p>
            <w:r>
              <w:t>plan_type_Plan - B</w:t>
            </w:r>
          </w:p>
        </w:tc>
        <w:tc>
          <w:tcPr>
            <w:tcW w:type="dxa" w:w="1728"/>
          </w:tcPr>
          <w:p>
            <w:r>
              <w:t>Payment plan</w:t>
            </w:r>
          </w:p>
        </w:tc>
        <w:tc>
          <w:tcPr>
            <w:tcW w:type="dxa" w:w="1728"/>
          </w:tcPr>
          <w:p>
            <w:r>
              <w:t>Binary (one-hot)</w:t>
            </w:r>
          </w:p>
        </w:tc>
        <w:tc>
          <w:tcPr>
            <w:tcW w:type="dxa" w:w="1728"/>
          </w:tcPr>
          <w:p>
            <w:r>
              <w:t>Installment plan with up to 3 payments (1–30 days)</w:t>
            </w:r>
          </w:p>
        </w:tc>
        <w:tc>
          <w:tcPr>
            <w:tcW w:type="dxa" w:w="1728"/>
          </w:tcPr>
          <w:p>
            <w:r>
              <w:t>Enrollees</w:t>
            </w:r>
          </w:p>
        </w:tc>
      </w:tr>
      <w:tr>
        <w:tc>
          <w:tcPr>
            <w:tcW w:type="dxa" w:w="1728"/>
          </w:tcPr>
          <w:p>
            <w:r>
              <w:t>plan_type_Plan - C</w:t>
            </w:r>
          </w:p>
        </w:tc>
        <w:tc>
          <w:tcPr>
            <w:tcW w:type="dxa" w:w="1728"/>
          </w:tcPr>
          <w:p>
            <w:r>
              <w:t>Payment plan</w:t>
            </w:r>
          </w:p>
        </w:tc>
        <w:tc>
          <w:tcPr>
            <w:tcW w:type="dxa" w:w="1728"/>
          </w:tcPr>
          <w:p>
            <w:r>
              <w:t>Binary (one-hot)</w:t>
            </w:r>
          </w:p>
        </w:tc>
        <w:tc>
          <w:tcPr>
            <w:tcW w:type="dxa" w:w="1728"/>
          </w:tcPr>
          <w:p>
            <w:r>
              <w:t>Installment plan with up to 6 payments (31–60 days)</w:t>
            </w:r>
          </w:p>
        </w:tc>
        <w:tc>
          <w:tcPr>
            <w:tcW w:type="dxa" w:w="1728"/>
          </w:tcPr>
          <w:p>
            <w:r>
              <w:t>Enrollees</w:t>
            </w:r>
          </w:p>
        </w:tc>
      </w:tr>
      <w:tr>
        <w:tc>
          <w:tcPr>
            <w:tcW w:type="dxa" w:w="1728"/>
          </w:tcPr>
          <w:p>
            <w:r>
              <w:t>plan_type_Plan - D</w:t>
            </w:r>
          </w:p>
        </w:tc>
        <w:tc>
          <w:tcPr>
            <w:tcW w:type="dxa" w:w="1728"/>
          </w:tcPr>
          <w:p>
            <w:r>
              <w:t>Payment plan</w:t>
            </w:r>
          </w:p>
        </w:tc>
        <w:tc>
          <w:tcPr>
            <w:tcW w:type="dxa" w:w="1728"/>
          </w:tcPr>
          <w:p>
            <w:r>
              <w:t>Binary (one-hot)</w:t>
            </w:r>
          </w:p>
        </w:tc>
        <w:tc>
          <w:tcPr>
            <w:tcW w:type="dxa" w:w="1728"/>
          </w:tcPr>
          <w:p>
            <w:r>
              <w:t>Monthly installment plan (61+ days)</w:t>
            </w:r>
          </w:p>
        </w:tc>
        <w:tc>
          <w:tcPr>
            <w:tcW w:type="dxa" w:w="1728"/>
          </w:tcPr>
          <w:p>
            <w:r>
              <w:t>Enrollees</w:t>
            </w:r>
          </w:p>
        </w:tc>
      </w:tr>
      <w:tr>
        <w:tc>
          <w:tcPr>
            <w:tcW w:type="dxa" w:w="1728"/>
          </w:tcPr>
          <w:p>
            <w:r>
              <w:t>plan_type_Plan - E</w:t>
            </w:r>
          </w:p>
        </w:tc>
        <w:tc>
          <w:tcPr>
            <w:tcW w:type="dxa" w:w="1728"/>
          </w:tcPr>
          <w:p>
            <w:r>
              <w:t>Payment plan</w:t>
            </w:r>
          </w:p>
        </w:tc>
        <w:tc>
          <w:tcPr>
            <w:tcW w:type="dxa" w:w="1728"/>
          </w:tcPr>
          <w:p>
            <w:r>
              <w:t>Binary (one-hot)</w:t>
            </w:r>
          </w:p>
        </w:tc>
        <w:tc>
          <w:tcPr>
            <w:tcW w:type="dxa" w:w="1728"/>
          </w:tcPr>
          <w:p>
            <w:r>
              <w:t>Special COVID-era plan (one school year only)</w:t>
            </w:r>
          </w:p>
        </w:tc>
        <w:tc>
          <w:tcPr>
            <w:tcW w:type="dxa" w:w="1728"/>
          </w:tcPr>
          <w:p>
            <w:r>
              <w:t>Enrollees</w:t>
            </w:r>
          </w:p>
        </w:tc>
      </w:tr>
      <w:tr>
        <w:tc>
          <w:tcPr>
            <w:tcW w:type="dxa" w:w="1728"/>
          </w:tcPr>
          <w:p>
            <w:r>
              <w:t>plan_type_nan</w:t>
            </w:r>
          </w:p>
        </w:tc>
        <w:tc>
          <w:tcPr>
            <w:tcW w:type="dxa" w:w="1728"/>
          </w:tcPr>
          <w:p>
            <w:r>
              <w:t>Payment plan</w:t>
            </w:r>
          </w:p>
        </w:tc>
        <w:tc>
          <w:tcPr>
            <w:tcW w:type="dxa" w:w="1728"/>
          </w:tcPr>
          <w:p>
            <w:r>
              <w:t>Binary (one-hot)</w:t>
            </w:r>
          </w:p>
        </w:tc>
        <w:tc>
          <w:tcPr>
            <w:tcW w:type="dxa" w:w="1728"/>
          </w:tcPr>
          <w:p>
            <w:r>
              <w:t>No plan assigned; student not enrolled</w:t>
            </w:r>
          </w:p>
        </w:tc>
        <w:tc>
          <w:tcPr>
            <w:tcW w:type="dxa" w:w="1728"/>
          </w:tcPr>
          <w:p>
            <w:r>
              <w:t>Enrollees</w:t>
            </w:r>
          </w:p>
        </w:tc>
      </w:tr>
      <w:tr>
        <w:tc>
          <w:tcPr>
            <w:tcW w:type="dxa" w:w="1728"/>
          </w:tcPr>
          <w:p>
            <w:r>
              <w:t>plan_type_risk_score</w:t>
            </w:r>
          </w:p>
        </w:tc>
        <w:tc>
          <w:tcPr>
            <w:tcW w:type="dxa" w:w="1728"/>
          </w:tcPr>
          <w:p>
            <w:r>
              <w:t>Payment plan</w:t>
            </w:r>
          </w:p>
        </w:tc>
        <w:tc>
          <w:tcPr>
            <w:tcW w:type="dxa" w:w="1728"/>
          </w:tcPr>
          <w:p>
            <w:r>
              <w:t>Ordinal</w:t>
            </w:r>
          </w:p>
        </w:tc>
        <w:tc>
          <w:tcPr>
            <w:tcW w:type="dxa" w:w="1728"/>
          </w:tcPr>
          <w:p>
            <w:r>
              <w:t>Plan type encoded by associated payment risk (A=0 … none=5)</w:t>
            </w:r>
          </w:p>
        </w:tc>
        <w:tc>
          <w:tcPr>
            <w:tcW w:type="dxa" w:w="1728"/>
          </w:tcPr>
          <w:p>
            <w:r>
              <w:t>Derived</w:t>
            </w:r>
          </w:p>
        </w:tc>
      </w:tr>
      <w:tr>
        <w:tc>
          <w:tcPr>
            <w:tcW w:type="dxa" w:w="1728"/>
          </w:tcPr>
          <w:p>
            <w:r>
              <w:t>due_month</w:t>
            </w:r>
          </w:p>
        </w:tc>
        <w:tc>
          <w:tcPr>
            <w:tcW w:type="dxa" w:w="1728"/>
          </w:tcPr>
          <w:p>
            <w:r>
              <w:t>Temporal</w:t>
            </w:r>
          </w:p>
        </w:tc>
        <w:tc>
          <w:tcPr>
            <w:tcW w:type="dxa" w:w="1728"/>
          </w:tcPr>
          <w:p>
            <w:r>
              <w:t>Integer (1–12)</w:t>
            </w:r>
          </w:p>
        </w:tc>
        <w:tc>
          <w:tcPr>
            <w:tcW w:type="dxa" w:w="1728"/>
          </w:tcPr>
          <w:p>
            <w:r>
              <w:t>Calendar month of the due date</w:t>
            </w:r>
          </w:p>
        </w:tc>
        <w:tc>
          <w:tcPr>
            <w:tcW w:type="dxa" w:w="1728"/>
          </w:tcPr>
          <w:p>
            <w:r>
              <w:t>Derived</w:t>
            </w:r>
          </w:p>
        </w:tc>
      </w:tr>
      <w:tr>
        <w:tc>
          <w:tcPr>
            <w:tcW w:type="dxa" w:w="1728"/>
          </w:tcPr>
          <w:p>
            <w:r>
              <w:t>due_quarter</w:t>
            </w:r>
          </w:p>
        </w:tc>
        <w:tc>
          <w:tcPr>
            <w:tcW w:type="dxa" w:w="1728"/>
          </w:tcPr>
          <w:p>
            <w:r>
              <w:t>Temporal</w:t>
            </w:r>
          </w:p>
        </w:tc>
        <w:tc>
          <w:tcPr>
            <w:tcW w:type="dxa" w:w="1728"/>
          </w:tcPr>
          <w:p>
            <w:r>
              <w:t>Integer (1–4)</w:t>
            </w:r>
          </w:p>
        </w:tc>
        <w:tc>
          <w:tcPr>
            <w:tcW w:type="dxa" w:w="1728"/>
          </w:tcPr>
          <w:p>
            <w:r>
              <w:t>Fiscal quarter of the due date</w:t>
            </w:r>
          </w:p>
        </w:tc>
        <w:tc>
          <w:tcPr>
            <w:tcW w:type="dxa" w:w="1728"/>
          </w:tcPr>
          <w:p>
            <w:r>
              <w:t>Derived</w:t>
            </w:r>
          </w:p>
        </w:tc>
      </w:tr>
      <w:tr>
        <w:tc>
          <w:tcPr>
            <w:tcW w:type="dxa" w:w="1728"/>
          </w:tcPr>
          <w:p>
            <w:r>
              <w:t>partial_hazard</w:t>
            </w:r>
          </w:p>
        </w:tc>
        <w:tc>
          <w:tcPr>
            <w:tcW w:type="dxa" w:w="1728"/>
          </w:tcPr>
          <w:p>
            <w:r>
              <w:t>Survival analysis</w:t>
            </w:r>
          </w:p>
        </w:tc>
        <w:tc>
          <w:tcPr>
            <w:tcW w:type="dxa" w:w="1728"/>
          </w:tcPr>
          <w:p>
            <w:r>
              <w:t>Numeric</w:t>
            </w:r>
          </w:p>
        </w:tc>
        <w:tc>
          <w:tcPr>
            <w:tcW w:type="dxa" w:w="1728"/>
          </w:tcPr>
          <w:p>
            <w:r>
              <w:t>Exponentiated linear predictor from the Cox PH model</w:t>
            </w:r>
          </w:p>
        </w:tc>
        <w:tc>
          <w:tcPr>
            <w:tcW w:type="dxa" w:w="1728"/>
          </w:tcPr>
          <w:p>
            <w:r>
              <w:t>Cox PH model</w:t>
            </w:r>
          </w:p>
        </w:tc>
      </w:tr>
      <w:tr>
        <w:tc>
          <w:tcPr>
            <w:tcW w:type="dxa" w:w="1728"/>
          </w:tcPr>
          <w:p>
            <w:r>
              <w:t>log_partial_hazard</w:t>
            </w:r>
          </w:p>
        </w:tc>
        <w:tc>
          <w:tcPr>
            <w:tcW w:type="dxa" w:w="1728"/>
          </w:tcPr>
          <w:p>
            <w:r>
              <w:t>Survival analysis</w:t>
            </w:r>
          </w:p>
        </w:tc>
        <w:tc>
          <w:tcPr>
            <w:tcW w:type="dxa" w:w="1728"/>
          </w:tcPr>
          <w:p>
            <w:r>
              <w:t>Numeric</w:t>
            </w:r>
          </w:p>
        </w:tc>
        <w:tc>
          <w:tcPr>
            <w:tcW w:type="dxa" w:w="1728"/>
          </w:tcPr>
          <w:p>
            <w:r>
              <w:t>Natural log of the partial hazard</w:t>
            </w:r>
          </w:p>
        </w:tc>
        <w:tc>
          <w:tcPr>
            <w:tcW w:type="dxa" w:w="1728"/>
          </w:tcPr>
          <w:p>
            <w:r>
              <w:t>Cox PH model</w:t>
            </w:r>
          </w:p>
        </w:tc>
      </w:tr>
      <w:tr>
        <w:tc>
          <w:tcPr>
            <w:tcW w:type="dxa" w:w="1728"/>
          </w:tcPr>
          <w:p>
            <w:r>
              <w:t>expected_survival_time</w:t>
            </w:r>
          </w:p>
        </w:tc>
        <w:tc>
          <w:tcPr>
            <w:tcW w:type="dxa" w:w="1728"/>
          </w:tcPr>
          <w:p>
            <w:r>
              <w:t>Survival analysis</w:t>
            </w:r>
          </w:p>
        </w:tc>
        <w:tc>
          <w:tcPr>
            <w:tcW w:type="dxa" w:w="1728"/>
          </w:tcPr>
          <w:p>
            <w:r>
              <w:t>Numeric</w:t>
            </w:r>
          </w:p>
        </w:tc>
        <w:tc>
          <w:tcPr>
            <w:tcW w:type="dxa" w:w="1728"/>
          </w:tcPr>
          <w:p>
            <w:r>
              <w:t>Expected days to full payment under the Cox model</w:t>
            </w:r>
          </w:p>
        </w:tc>
        <w:tc>
          <w:tcPr>
            <w:tcW w:type="dxa" w:w="1728"/>
          </w:tcPr>
          <w:p>
            <w:r>
              <w:t>Cox PH model</w:t>
            </w:r>
          </w:p>
        </w:tc>
      </w:tr>
      <w:tr>
        <w:tc>
          <w:tcPr>
            <w:tcW w:type="dxa" w:w="1728"/>
          </w:tcPr>
          <w:p>
            <w:r>
              <w:t>survival_probability</w:t>
            </w:r>
          </w:p>
        </w:tc>
        <w:tc>
          <w:tcPr>
            <w:tcW w:type="dxa" w:w="1728"/>
          </w:tcPr>
          <w:p>
            <w:r>
              <w:t>Survival analysis</w:t>
            </w:r>
          </w:p>
        </w:tc>
        <w:tc>
          <w:tcPr>
            <w:tcW w:type="dxa" w:w="1728"/>
          </w:tcPr>
          <w:p>
            <w:r>
              <w:t>Numeric</w:t>
            </w:r>
          </w:p>
        </w:tc>
        <w:tc>
          <w:tcPr>
            <w:tcW w:type="dxa" w:w="1728"/>
          </w:tcPr>
          <w:p>
            <w:r>
              <w:t>Probability of remaining unpaid beyond a reference time point</w:t>
            </w:r>
          </w:p>
        </w:tc>
        <w:tc>
          <w:tcPr>
            <w:tcW w:type="dxa" w:w="1728"/>
          </w:tcPr>
          <w:p>
            <w:r>
              <w:t>Cox PH model</w:t>
            </w:r>
          </w:p>
        </w:tc>
      </w:tr>
      <w:tr>
        <w:tc>
          <w:tcPr>
            <w:tcW w:type="dxa" w:w="1728"/>
          </w:tcPr>
          <w:p>
            <w:r>
              <w:t>cumulative_hazard</w:t>
            </w:r>
          </w:p>
        </w:tc>
        <w:tc>
          <w:tcPr>
            <w:tcW w:type="dxa" w:w="1728"/>
          </w:tcPr>
          <w:p>
            <w:r>
              <w:t>Survival analysis</w:t>
            </w:r>
          </w:p>
        </w:tc>
        <w:tc>
          <w:tcPr>
            <w:tcW w:type="dxa" w:w="1728"/>
          </w:tcPr>
          <w:p>
            <w:r>
              <w:t>Numeric</w:t>
            </w:r>
          </w:p>
        </w:tc>
        <w:tc>
          <w:tcPr>
            <w:tcW w:type="dxa" w:w="1728"/>
          </w:tcPr>
          <w:p>
            <w:r>
              <w:t>Cumulative hazard at the reference time point</w:t>
            </w:r>
          </w:p>
        </w:tc>
        <w:tc>
          <w:tcPr>
            <w:tcW w:type="dxa" w:w="1728"/>
          </w:tcPr>
          <w:p>
            <w:r>
              <w:t>Cox PH model</w:t>
            </w:r>
          </w:p>
        </w:tc>
      </w:tr>
      <w:tr>
        <w:tc>
          <w:tcPr>
            <w:tcW w:type="dxa" w:w="1728"/>
          </w:tcPr>
          <w:p>
            <w:r>
              <w:t>dtp_bracket</w:t>
            </w:r>
          </w:p>
        </w:tc>
        <w:tc>
          <w:tcPr>
            <w:tcW w:type="dxa" w:w="1728"/>
          </w:tcPr>
          <w:p>
            <w:r>
              <w:t>Target variable</w:t>
            </w:r>
          </w:p>
        </w:tc>
        <w:tc>
          <w:tcPr>
            <w:tcW w:type="dxa" w:w="1728"/>
          </w:tcPr>
          <w:p>
            <w:r>
              <w:t>Ordinal (4 classes)</w:t>
            </w:r>
          </w:p>
        </w:tc>
        <w:tc>
          <w:tcPr>
            <w:tcW w:type="dxa" w:w="1728"/>
          </w:tcPr>
          <w:p>
            <w:r>
              <w:t>Payment bracket label: on-time, 1–30, 31–60, or 61+ days late</w:t>
            </w:r>
          </w:p>
        </w:tc>
        <w:tc>
          <w:tcPr>
            <w:tcW w:type="dxa" w:w="1728"/>
          </w:tcPr>
          <w:p>
            <w:r>
              <w:t>Derived</w:t>
            </w:r>
          </w:p>
        </w:tc>
      </w:tr>
      <w:tr>
        <w:tc>
          <w:tcPr>
            <w:tcW w:type="dxa" w:w="1728"/>
          </w:tcPr>
          <w:p>
            <w:r>
              <w:t>censor</w:t>
            </w:r>
          </w:p>
        </w:tc>
        <w:tc>
          <w:tcPr>
            <w:tcW w:type="dxa" w:w="1728"/>
          </w:tcPr>
          <w:p>
            <w:r>
              <w:t>Target variable</w:t>
            </w:r>
          </w:p>
        </w:tc>
        <w:tc>
          <w:tcPr>
            <w:tcW w:type="dxa" w:w="1728"/>
          </w:tcPr>
          <w:p>
            <w:r>
              <w:t>Binary</w:t>
            </w:r>
          </w:p>
        </w:tc>
        <w:tc>
          <w:tcPr>
            <w:tcW w:type="dxa" w:w="1728"/>
          </w:tcPr>
          <w:p>
            <w:r>
              <w:t>1 if the invoice was still unpaid at the observation cutoff</w:t>
            </w:r>
          </w:p>
        </w:tc>
        <w:tc>
          <w:tcPr>
            <w:tcW w:type="dxa" w:w="1728"/>
          </w:tcPr>
          <w:p>
            <w:r>
              <w:t>Derived</w:t>
            </w:r>
          </w:p>
        </w:tc>
      </w:tr>
    </w:tbl>
    <w:p>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t>[1] L. Breiman. 2001. Random forests. Machine Learning 45, 1 (2001), 5-32. https://doi.org/10.1023/A:1010933404324</w:t>
      </w:r>
    </w:p>
    <w:p w14:paraId="53444A93" w14:textId="3206FC92"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t>[3] K. Mugorobin, S. Kusrini, S. Rokhmah, and I. Muslibah.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7C53C2D5" w14:textId="15CB7C1A"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557F4BE1" w14:textId="542237F1"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7C18E75" w14:textId="26DC5B33" w:rsidR="00697D1A" w:rsidRPr="00FD0F64" w:rsidRDefault="00697D1A" w:rsidP="00BB6FF6">
      <w:pPr>
        <w:suppressLineNumbers/>
        <w:ind w:hanging="720"/>
      </w:pPr>
      <w:r>
        <w:t>[8] A. P. Appel, G. L. Malfatti, R. Cunha, B. Lima, and R. de Paula. 2021. Predicting account receivables with machine learning. Journal of Financial Technology 10, 2 (2021), 88-102.</w:t>
      </w:r>
    </w:p>
    <w:p w14:paraId="59EAD232" w14:textId="581D941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1C34632A" w14:textId="65F79CA3"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75A234EF" w14:textId="4BC7651C"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23FEBA53" w14:textId="26F2B9CD"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47BC284C" w14:textId="347FFE3F" w:rsidR="00697D1A" w:rsidRPr="00FD0F64" w:rsidRDefault="00697D1A" w:rsidP="00BB6FF6">
      <w:pPr>
        <w:suppressLineNumbers/>
        <w:ind w:hanging="720"/>
      </w:pPr>
      <w:r>
        <w:t>[13] United Nations. 2015. Transforming our world: The 2030 agenda for sustainable development. United Nations General Assembly.</w:t>
      </w:r>
    </w:p>
    <w:p w14:paraId="200FA085" w14:textId="0C806A0A"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760EB9A" w14:textId="406AED60"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5A9305F7" w14:textId="62A72F43" w:rsidR="00697D1A" w:rsidRPr="00FD0F64" w:rsidRDefault="00697D1A" w:rsidP="00BB6FF6">
      <w:pPr>
        <w:suppressLineNumbers/>
        <w:ind w:hanging="720"/>
      </w:pPr>
      <w:r>
        <w:t>[16] Respicio &amp; Co. Law. 2025. No permit, no exam policy for unpaid tuition in Philippine schools. Respicio.ph.</w:t>
      </w:r>
    </w:p>
    <w:p w14:paraId="487E0E12" w14:textId="3DEB9833" w:rsidR="00697D1A" w:rsidRPr="00FD0F64" w:rsidRDefault="00697D1A" w:rsidP="00BB6FF6">
      <w:pPr>
        <w:suppressLineNumbers/>
        <w:ind w:hanging="720"/>
      </w:pPr>
      <w:r>
        <w:t>[17] R. Mestry. 2020. The effective and efficient management of school fees. South African Journal of Education 40, 4 (2020).</w:t>
      </w:r>
    </w:p>
    <w:p w14:paraId="2B093E39" w14:textId="7DFC83D9"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7C2EA0E4" w14:textId="6316E37D" w:rsidR="00697D1A" w:rsidRPr="00FD0F64" w:rsidRDefault="00697D1A" w:rsidP="00BB6FF6">
      <w:pPr>
        <w:suppressLineNumbers/>
        <w:ind w:hanging="720"/>
      </w:pPr>
      <w:r>
        <w:t>[19] Education Policy and Data Center. 2012. School fees in South Africa (Case study). EPDC.</w:t>
      </w:r>
    </w:p>
    <w:p w14:paraId="49B2B39E" w14:textId="59EBBF5B" w:rsidR="00697D1A" w:rsidRPr="00FD0F64" w:rsidRDefault="00697D1A" w:rsidP="00BB6FF6">
      <w:pPr>
        <w:suppressLineNumbers/>
        <w:ind w:hanging="720"/>
      </w:pPr>
      <w:r>
        <w:t>[20] MRI Software TPN Credit Bureau. 2024. The legal consequences of unpaid school fees in South Africa. MRI Software TPN.</w:t>
      </w:r>
    </w:p>
    <w:p w14:paraId="3AFD35CA" w14:textId="274BAC18" w:rsidR="00697D1A" w:rsidRPr="00FD0F64" w:rsidRDefault="00697D1A" w:rsidP="00BB6FF6">
      <w:pPr>
        <w:suppressLineNumbers/>
        <w:ind w:hanging="720"/>
      </w:pPr>
      <w:r>
        <w:t>[21] The Associated Press. 2024. Parents in Africa struggle with unpredictable school fees that force children to drop out. Associated Press.</w:t>
      </w:r>
    </w:p>
    <w:p w14:paraId="2DC78B2E" w14:textId="29D496A7" w:rsidR="00697D1A" w:rsidRPr="00FD0F64" w:rsidRDefault="00697D1A" w:rsidP="00BB6FF6">
      <w:pPr>
        <w:suppressLineNumbers/>
        <w:ind w:hanging="720"/>
      </w:pPr>
      <w:r>
        <w:t>[22] World Bank. 2024. Urgent education reform key to unlocking faster, more inclusive growth in Africa. World Bank.</w:t>
      </w:r>
    </w:p>
    <w:p w14:paraId="56154FAE" w14:textId="7A4F9DF6"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04DEA856" w14:textId="34770AC3" w:rsidR="00697D1A" w:rsidRPr="00FD0F64" w:rsidRDefault="00697D1A" w:rsidP="00BB6FF6">
      <w:pPr>
        <w:suppressLineNumbers/>
        <w:ind w:hanging="720"/>
      </w:pPr>
      <w:r>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4AB77FDB" w14:textId="3B228CA7" w:rsidR="00697D1A" w:rsidRPr="00FD0F64" w:rsidRDefault="00697D1A" w:rsidP="00BB6FF6">
      <w:pPr>
        <w:suppressLineNumbers/>
        <w:ind w:hanging="720"/>
      </w:pPr>
      <w:r>
        <w:t>[25] M.C.L. Mencias-Tabernilla. 2023. Exploring teachers' expenditure patterns and debt profile. PhilArchive.</w:t>
      </w:r>
    </w:p>
    <w:p w14:paraId="2447439C" w14:textId="73C5B5B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6B6D35FC" w14:textId="52EB9FDD"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099FC92C" w14:textId="4F696B69" w:rsidR="00697D1A" w:rsidRPr="00FD0F64" w:rsidRDefault="00697D1A" w:rsidP="00BB6FF6">
      <w:pPr>
        <w:suppressLineNumbers/>
        <w:ind w:hanging="720"/>
      </w:pPr>
      <w:r>
        <w:t>[28] B. Baesens, R. Setiono, C. Mues, and J. Vanthienen. 2003. Using neural network rule extraction and decision tables for credit-risk evaluation. Management Science 49, 3 (2003), 312-329.</w:t>
      </w:r>
    </w:p>
    <w:p w14:paraId="4C7860E4" w14:textId="679828D5"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7F27E670" w14:textId="51D80921" w:rsidR="00697D1A" w:rsidRPr="00FD0F64" w:rsidRDefault="00697D1A" w:rsidP="00BB6FF6">
      <w:pPr>
        <w:suppressLineNumbers/>
        <w:ind w:hanging="720"/>
      </w:pPr>
      <w:r>
        <w:t>[30] C. F. Tsai, C. W. Huang, and C. W. Chen. 2017. Credit rating by hybrid machine learning techniques. Applied Soft Computing 26 (2017), 170-182.</w:t>
      </w:r>
    </w:p>
    <w:p w14:paraId="4317B9ED" w14:textId="1DE3C4FD"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24CECC7" w14:textId="6438C089" w:rsidR="00697D1A" w:rsidRPr="00FD0F64" w:rsidRDefault="00697D1A" w:rsidP="00BB6FF6">
      <w:pPr>
        <w:suppressLineNumbers/>
        <w:ind w:hanging="720"/>
      </w:pPr>
      <w:r>
        <w:t>[32] H. Voghouei, M. A. Jamali, and S. B. Pormehr. 2020. The effect of political factors on financial development. IOSR Journal of Economics and Finance 11, 3 (2020), 41-55.</w:t>
      </w:r>
    </w:p>
    <w:p w14:paraId="61226234" w14:textId="5222C2B0" w:rsidR="00697D1A" w:rsidRPr="00FD0F64" w:rsidRDefault="00697D1A" w:rsidP="00BB6FF6">
      <w:pPr>
        <w:suppressLineNumbers/>
        <w:ind w:hanging="720"/>
      </w:pPr>
      <w:r>
        <w:t>[33] Varthana. 2023. 5 Ways to Improve School Fee Collections. Varthana School Finance.</w:t>
      </w:r>
    </w:p>
    <w:p w14:paraId="4775F0CD" w14:textId="1AF6D015" w:rsidR="00697D1A" w:rsidRPr="00FD0F64" w:rsidRDefault="00697D1A" w:rsidP="00BB6FF6">
      <w:pPr>
        <w:suppressLineNumbers/>
        <w:ind w:hanging="720"/>
      </w:pPr>
      <w:r>
        <w:t>[34] Finalsite. 2023. 5 Ways to Increase Your School's Tuition Collection Rates. Finalsite Blog.</w:t>
      </w:r>
    </w:p>
    <w:p w14:paraId="316D7133" w14:textId="2E4884C3" w:rsidR="00697D1A" w:rsidRPr="00FD0F64" w:rsidRDefault="00697D1A" w:rsidP="00BB6FF6">
      <w:pPr>
        <w:suppressLineNumbers/>
        <w:ind w:hanging="720"/>
      </w:pPr>
      <w:r>
        <w:t>[35] Frontline Collections. 2024. Debt Collection in the Education Sector: Tuition Fee Recovery Strategies. Frontline Collections.</w:t>
      </w:r>
    </w:p>
    <w:p w14:paraId="635F8C10" w14:textId="68A548F5" w:rsidR="00697D1A" w:rsidRPr="00FD0F64" w:rsidRDefault="00697D1A" w:rsidP="00BB6FF6">
      <w:pPr>
        <w:suppressLineNumbers/>
        <w:ind w:hanging="720"/>
      </w:pPr>
      <w:r>
        <w:t>[36] J. Olamijuwon and S. J. C. Zouo. 2024. Machine learning in budget forecasting for corporate finance: A conceptual model for improving financial planning. Open Access Research Journal of Multidisciplinary Studies 8, 2 (2024).</w:t>
      </w:r>
    </w:p>
    <w:p w14:paraId="3CBD2A0A" w14:textId="23BD4CA3" w:rsidR="00697D1A" w:rsidRPr="00FD0F64" w:rsidRDefault="00697D1A" w:rsidP="00BB6FF6">
      <w:pPr>
        <w:suppressLineNumbers/>
        <w:ind w:hanging="720"/>
      </w:pPr>
      <w:r>
        <w:t>[37] D. R. Cox. 1972. Regression models and life-tables. Journal of the Royal Statistical Society. Series B (Methodological) 34, 2 (1972), 187-202.</w:t>
      </w:r>
    </w:p>
    <w:p w14:paraId="3F7ABDF9" w14:textId="3507A97C" w:rsidR="00697D1A" w:rsidRPr="00FD0F64" w:rsidRDefault="00697D1A" w:rsidP="00BB6FF6">
      <w:pPr>
        <w:suppressLineNumbers/>
        <w:ind w:hanging="720"/>
      </w:pPr>
      <w:r>
        <w:t>[38] I. Goldstein, A. Ozdenoren, and K. Yuan. 2013. Trading frenzies and their impact on real investment. Journal of Financial Economics 109, 2 (2013), 566-582.</w:t>
      </w:r>
    </w:p>
    <w:p w14:paraId="67271443" w14:textId="4832C353" w:rsidR="00697D1A" w:rsidRPr="00FD0F64" w:rsidRDefault="00697D1A" w:rsidP="00BB6FF6">
      <w:pPr>
        <w:suppressLineNumbers/>
        <w:ind w:hanging="720"/>
      </w:pPr>
      <w:r>
        <w:t>[39] FasterCapital. 2023. Decision Support Systems: Empowering Financial Decisions with AI-Driven Support Systems. FasterCapital.</w:t>
      </w:r>
    </w:p>
    <w:p w14:paraId="1D9228A9" w14:textId="2425DD4A" w:rsidR="00697D1A" w:rsidRPr="00FD0F64" w:rsidRDefault="00697D1A" w:rsidP="00BB6FF6">
      <w:pPr>
        <w:suppressLineNumbers/>
        <w:ind w:hanging="720"/>
      </w:pPr>
      <w:r>
        <w:t>[40] Caine &amp; Weiner. 2023. Accounts Receivable Management in Education: Key Aspects and Strategies. Caine &amp; Weiner.</w:t>
      </w:r>
    </w:p>
    <w:p w14:paraId="13D59691" w14:textId="712F09F5" w:rsidR="00697D1A" w:rsidRPr="00FD0F64" w:rsidRDefault="00697D1A" w:rsidP="00BB6FF6">
      <w:pPr>
        <w:suppressLineNumbers/>
        <w:ind w:hanging="720"/>
      </w:pPr>
      <w:r>
        <w:t>[41] Higher Ed Dive. 2023. 3 Reasons Accounts Receivable Management in Higher Education Suffers -- and How to Fix It. Higher Ed Dive.</w:t>
      </w:r>
    </w:p>
    <w:p w14:paraId="408FD7DF" w14:textId="02C1A16D"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781661B4" w14:textId="69596EAF" w:rsidR="34B28536" w:rsidRPr="004223BA" w:rsidRDefault="00697D1A" w:rsidP="00BB6FF6">
      <w:pPr>
        <w:suppressLineNumbers/>
        <w:ind w:hanging="720"/>
      </w:pPr>
      <w:r>
        <w:t>[43] N. V. Chawla, K. W. Bowyer, L. O. Hall, and W. P. Kegelmeyer. 2002. SMOTE: Synthetic minority over-sampling technique. Journal of Artificial Intelligence Research 16 (2002), 321-357. https://doi.org/10.1613/jair.953</w:t>
      </w:r>
    </w:p>
    <w:p>
      <w:pPr/>
      <w:r>
        <w:t>[44] H. Han, W.-Y. Wang, and B.-H. Mao. 2005. Borderline-SMOTE: A new over-sampling method in imbalanced data sets learning. In Advances in Intelligent Computing (ICIC 2005), Lecture Notes in Computer Science 3644, 878-887. Springer. https://doi.org/10.1007/11538059_91</w:t>
      </w:r>
    </w:p>
    <w:p>
      <w:pPr/>
      <w:r>
        <w:t>[45] G. E. A. P. A. Batista, R. C. Prati, and M. C. Monard. 2004. A study of the behavior of several methods for balancing machine learning training data. ACM SIGKDD Explorations Newsletter 6, 1 (2004), 20-29. https://doi.org/10.1145/1007730.1007735</w:t>
      </w:r>
    </w:p>
    <w:p>
      <w:pPr/>
      <w:r>
        <w:t>[46] H. He and E. A. Garcia. 2009. Learning from imbalanced data. IEEE Transactions on Knowledge and Data Engineering 21, 9 (2009), 1263-1284. https://doi.org/10.1109/TKDE.2008.239</w:t>
      </w:r>
    </w:p>
    <w:p>
      <w:pPr/>
      <w:r>
        <w:t>[47] Republic of the Philippines. 2012. Republic Act No. 10173: Data Privacy Act of 2012. Official Gazette of the Republic of the Philippines.</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