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[8]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[5] demonstrated that statistical learning methods such as logistic regression can predict late payment of sales invoices with actionable discrimination. At the customer level, Cheong [29] and Appel et al. [28] showed that ensemble models trained on transaction histories can reduce unnecessary collection interventions, and Abbas and Hussein [12]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[8]</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[5]</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[29]</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[7],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[8]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[47].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[7].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[21]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[22]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[7, 13, 23]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[32, 33].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[33, 34]. Some institutions complement these with incentives such as early-payment discounts or sibling rebates to reward timely settlement [32]. These practices, consistent with the tuition collection literature [32, 33, 34],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[7, 13, 23]. The law categorically prohibits schools from denying examinations to students with outstanding balances, removing the single strongest enforcement mechanism previously available to private institutions [7].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[13, 23]. Legal commentary has warned that this combination lengthens collection cycles, extends credit exposure, and may raise accounts receivable balances unless schools adopt proactive financial management [13].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[6, 24, 29, 35]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[29] showed that customer-level prediction reduces unnecessary intervention actions, and Schoonbee et al. [8]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[9]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[24], medical diagnosis [25], and receivables management [35],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[45]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[25, 35],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[8]</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[5]</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[29]</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[28]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[20]</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[12]</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[20],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[30]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[24].</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[24];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[41], Borderline-SMOTE [42], SMOTE-Tomek [43], and threshold-based hybrid undersampling — and that motivates macro-averaged F1, which weights all four classes equally, as the primary evaluation metric, consistent with standard practice in imbalanced classification [44].</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[46],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[7],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14:paraId="56DF4E3D" w14:textId="31B2FF81" w:rsidR="00C60A0D" w:rsidRPr="00FD0F64" w:rsidRDefault="00A61B0A" w:rsidP="009E2EBD">
      <w:pPr>
        <w:pStyle w:val="Heading2"/>
      </w:pPr>
      <w:bookmarkStart w:id="106" w:name="_Toc229345151"/>
      <w:r w:rsidRPr="00FD0F64">
        <w:t>4.1 Model Family Comparison</w:t>
      </w:r>
      <w:bookmarkEnd w:id="10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2CD1ACA3" w14:textId="4ADAA9D1" w:rsidR="006E4711" w:rsidRPr="00FD0F64" w:rsidRDefault="009E2EBD" w:rsidP="009279BE">
      <w:pPr>
        <w:pStyle w:val="ThesisParagraphText"/>
        <w:spacing w:before="120"/>
        <w:ind w:firstLine="0"/>
        <w:jc w:val="center"/>
        <w:rPr>
          <w:b/>
          <w:bCs/>
        </w:rPr>
      </w:pPr>
      <w:r w:rsidRPr="00FD0F64">
        <w:rPr>
          <w:b/>
          <w:bCs/>
        </w:rPr>
        <w:t>Table 4.1. Peak performance per model family (Enhanced Feature Regime).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bookmarkStart w:id="107" w:name="_Toc229345195"/>
      <w:r w:rsidRPr="00FD0F64">
        <w:t xml:space="preserve">Figure </w:t>
      </w:r>
      <w:r>
        <w:t>4</w:t>
      </w:r>
      <w:r w:rsidRPr="00FD0F64">
        <w:t>.</w:t>
      </w:r>
      <w:fldSimple w:instr=" SEQ Figure \* ARABIC \s 1 ">
        <w:r w:rsidR="001E4DAA">
          <w:rPr>
            <w:noProof/>
          </w:rPr>
          <w:t>1</w:t>
        </w:r>
      </w:fldSimple>
      <w:r w:rsidRPr="00FD0F64">
        <w:rPr>
          <w:noProof/>
        </w:rPr>
        <w:t xml:space="preserve">: </w:t>
      </w:r>
      <w:r w:rsidRPr="001B6204">
        <w:t>Ordinal &amp; Two-Stage Variants v</w:t>
      </w:r>
      <w:r w:rsidR="008F0EE6">
        <w:t>s</w:t>
      </w:r>
      <w:bookmarkEnd w:id="107"/>
    </w:p>
    <w:p w14:paraId="27782705" w14:textId="05163752" w:rsidR="0081578F" w:rsidRPr="001B6204" w:rsidRDefault="00AF26EE" w:rsidP="009E68E3">
      <w:pPr>
        <w:pStyle w:val="Caption"/>
        <w:spacing w:before="0"/>
        <w:ind w:firstLine="0"/>
        <w:rPr>
          <w:b w:val="0"/>
          <w:bCs w:val="0"/>
        </w:rPr>
      </w:pPr>
      <w:r w:rsidRPr="001B6204">
        <w:t>Base Classifiers (</w:t>
      </w:r>
      <w:r w:rsidRPr="001B6204">
        <w:rPr>
          <w:i/>
          <w:iCs/>
        </w:rPr>
        <w:t>A lift in F1 and AUC metrics</w:t>
      </w:r>
      <w:r w:rsidRPr="001B6204">
        <w:t>)</w:t>
      </w:r>
      <w:r w:rsidR="0081578F" w:rsidRPr="001B6204">
        <w:br w:type="page"/>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7051C6A1" w14:textId="6E3EDDAA" w:rsidR="005F23C8" w:rsidRDefault="008C7907" w:rsidP="005C54DC">
      <w:pPr>
        <w:pStyle w:val="Heading2"/>
      </w:pPr>
      <w:bookmarkStart w:id="108" w:name="_Toc229345152"/>
      <w:r w:rsidRPr="00FD0F64">
        <w:lastRenderedPageBreak/>
        <w:t>4.2 Impact of Class Balancing</w:t>
      </w:r>
      <w:bookmarkEnd w:id="108"/>
      <w:r w:rsidR="00613A6B">
        <w:tab/>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bookmarkStart w:id="109" w:name="_Toc229345196"/>
      <w:r w:rsidRPr="00FD0F64">
        <w:t xml:space="preserve">Figure </w:t>
      </w:r>
      <w:r>
        <w:t>4</w:t>
      </w:r>
      <w:r w:rsidRPr="00FD0F64">
        <w:t>.</w:t>
      </w:r>
      <w:fldSimple w:instr=" SEQ Figure \* ARABIC \s 1 ">
        <w:r w:rsidR="001E4DAA">
          <w:rPr>
            <w:noProof/>
          </w:rPr>
          <w:t>2</w:t>
        </w:r>
      </w:fldSimple>
      <w:r w:rsidRPr="00FD0F64">
        <w:rPr>
          <w:noProof/>
        </w:rPr>
        <w:t xml:space="preserve">: </w:t>
      </w:r>
      <w:r w:rsidR="003C0AEA" w:rsidRPr="003C0AEA">
        <w:rPr>
          <w:noProof/>
        </w:rPr>
        <w:t>F1 Macro by Model &amp; Balance Strategy (enhanced features)</w:t>
      </w:r>
      <w:bookmarkEnd w:id="109"/>
    </w:p>
    <w:p w14:paraId="0038DAAF" w14:textId="77777777" w:rsidR="007449D1" w:rsidRPr="007449D1" w:rsidRDefault="007449D1" w:rsidP="003C0AEA">
      <w:pPr>
        <w:ind w:firstLine="0"/>
      </w:pP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bookmarkStart w:id="110" w:name="_Toc229345197"/>
      <w:r w:rsidRPr="00FD0F64">
        <w:t xml:space="preserve">Figure </w:t>
      </w:r>
      <w:r>
        <w:t>4</w:t>
      </w:r>
      <w:r w:rsidRPr="00FD0F64">
        <w:t>.</w:t>
      </w:r>
      <w:fldSimple w:instr=" SEQ Figure \* ARABIC \s 1 ">
        <w:r w:rsidR="001E4DAA">
          <w:rPr>
            <w:noProof/>
          </w:rPr>
          <w:t>3</w:t>
        </w:r>
      </w:fldSimple>
      <w:r w:rsidR="0082594D" w:rsidRPr="00FD0F64">
        <w:t xml:space="preserve">: </w:t>
      </w:r>
      <w:r w:rsidR="00324E85" w:rsidRPr="00FD0F64">
        <w:t>AUC Macro by Model &amp; Balance Strategy (enhanced features)</w:t>
      </w:r>
      <w:bookmarkEnd w:id="110"/>
    </w:p>
    <w:p w14:paraId="300EC5AA" w14:textId="77777777" w:rsidR="00C250D5" w:rsidRPr="00FD0F64" w:rsidRDefault="00C250D5" w:rsidP="00EB1BF6">
      <w:pPr>
        <w:pStyle w:val="ThesisParagraphText"/>
        <w:ind w:firstLine="0"/>
      </w:pP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bookmarkStart w:id="111" w:name="_Toc229345198"/>
      <w:r>
        <w:t>Figure 4.</w:t>
      </w:r>
      <w:fldSimple w:instr=" SEQ Figure \* ARABIC \s 1 ">
        <w:r w:rsidR="001E4DAA">
          <w:rPr>
            <w:noProof/>
          </w:rPr>
          <w:t>4</w:t>
        </w:r>
      </w:fldSimple>
      <w:r w:rsidRPr="00742A4B">
        <w:t>: F1 Macro by Model &amp; Balance Strategy (baseline features)</w:t>
      </w:r>
      <w:bookmarkEnd w:id="111"/>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bookmarkStart w:id="112" w:name="_Toc229345199"/>
      <w:r w:rsidRPr="00FD0F64">
        <w:t xml:space="preserve">Figure </w:t>
      </w:r>
      <w:r>
        <w:t>4</w:t>
      </w:r>
      <w:r w:rsidR="00A174DA">
        <w:t>.</w:t>
      </w:r>
      <w:fldSimple w:instr=" SEQ Figure \* ARABIC \s 1 ">
        <w:r w:rsidR="001E4DAA">
          <w:rPr>
            <w:noProof/>
          </w:rPr>
          <w:t>5</w:t>
        </w:r>
      </w:fldSimple>
      <w:r w:rsidRPr="00FD0F64">
        <w:t xml:space="preserve">: </w:t>
      </w:r>
      <w:r w:rsidR="00A174DA" w:rsidRPr="00A174DA">
        <w:t>Feature Importance across Model Types</w:t>
      </w:r>
      <w:r w:rsidR="00550E91">
        <w:t xml:space="preserve"> (1 of 2)</w:t>
      </w:r>
      <w:bookmarkEnd w:id="112"/>
      <w:r w:rsidR="007B01C8">
        <w:br w:type="page"/>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bookmarkStart w:id="113" w:name="_Toc229345200"/>
      <w:r w:rsidRPr="00FD0F64">
        <w:t xml:space="preserve">Figure </w:t>
      </w:r>
      <w:r>
        <w:t>4.</w:t>
      </w:r>
      <w:fldSimple w:instr=" SEQ Figure \* ARABIC \s 1 ">
        <w:r w:rsidR="001E4DAA">
          <w:rPr>
            <w:noProof/>
          </w:rPr>
          <w:t>6</w:t>
        </w:r>
      </w:fldSimple>
      <w:r w:rsidRPr="00FD0F64">
        <w:t xml:space="preserve">: </w:t>
      </w:r>
      <w:r w:rsidRPr="00A174DA">
        <w:t>Feature Importance across Model Types</w:t>
      </w:r>
      <w:r>
        <w:t xml:space="preserve"> (2 of 2)</w:t>
      </w:r>
      <w:bookmarkEnd w:id="113"/>
    </w:p>
    <w:p w14:paraId="01D3AF48" w14:textId="7369323A" w:rsidR="00A174DA" w:rsidRDefault="00A174DA" w:rsidP="00437D43">
      <w:pPr>
        <w:ind w:firstLine="0"/>
      </w:pP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rsidRPr="00FD0F64">
        <w:t>This finding suggests a conditional feature engineering strategy: survival features should be prioritized for simpler, faster models but may be omitted for high-capacity ensembles to reduce computational overhead. Feature importance analysis (</w:t>
      </w:r>
      <w:r w:rsidRPr="00FD0F64">
        <w:rPr>
          <w:b/>
          <w:bCs/>
        </w:rPr>
        <w:t>Figure 4.5</w:t>
      </w:r>
      <w:r w:rsidR="00566C50">
        <w:rPr>
          <w:b/>
          <w:bCs/>
        </w:rPr>
        <w:t xml:space="preserve"> </w:t>
      </w:r>
      <w:r w:rsidR="00566C50">
        <w:t xml:space="preserve">and </w:t>
      </w:r>
      <w:r w:rsidR="00566C50">
        <w:rPr>
          <w:b/>
          <w:bCs/>
        </w:rPr>
        <w:t>Figure 4.6</w:t>
      </w:r>
      <w:r w:rsidRPr="00FD0F64">
        <w:t>) confirms the relative contribution of survival features across different model types.</w:t>
      </w:r>
    </w:p>
    <w:p w14:paraId="3F23B96A" w14:textId="11343088" w:rsidR="00550E91" w:rsidRPr="00FD0F64" w:rsidRDefault="00550E91" w:rsidP="005C54DC">
      <w:pPr>
        <w:pStyle w:val="Heading2"/>
      </w:pPr>
      <w:bookmarkStart w:id="114" w:name="_Toc229345153"/>
      <w:r w:rsidRPr="00FD0F64">
        <w:t>4.</w:t>
      </w:r>
      <w:r w:rsidR="005C54DC">
        <w:t>3</w:t>
      </w:r>
      <w:r w:rsidRPr="00FD0F64">
        <w:t xml:space="preserve"> </w:t>
      </w:r>
      <w:r w:rsidRPr="005C54DC">
        <w:t>Convergence</w:t>
      </w:r>
      <w:r w:rsidRPr="00FD0F64">
        <w:t xml:space="preserve"> of Metrics</w:t>
      </w:r>
      <w:bookmarkEnd w:id="114"/>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bookmarkStart w:id="115" w:name="_Toc229345201"/>
      <w:r w:rsidRPr="00FD0F64">
        <w:t xml:space="preserve">Figure </w:t>
      </w:r>
      <w:r>
        <w:t>4.</w:t>
      </w:r>
      <w:fldSimple w:instr=" SEQ Figure \* ARABIC \s 1 ">
        <w:r w:rsidR="001E4DAA">
          <w:rPr>
            <w:noProof/>
          </w:rPr>
          <w:t>7</w:t>
        </w:r>
      </w:fldSimple>
      <w:r w:rsidRPr="00FD0F64">
        <w:t>: ROC Curves for Top Models</w:t>
      </w:r>
      <w:bookmarkEnd w:id="115"/>
    </w:p>
    <w:p w14:paraId="525EE84C" w14:textId="77777777" w:rsidR="00A174DA" w:rsidRPr="00A174DA" w:rsidRDefault="00A174DA" w:rsidP="00A174DA"/>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bookmarkStart w:id="116" w:name="_Toc229345202"/>
      <w:r w:rsidRPr="00FD0F64">
        <w:t xml:space="preserve">Figure </w:t>
      </w:r>
      <w:r>
        <w:t>4.</w:t>
      </w:r>
      <w:fldSimple w:instr=" SEQ Figure \* ARABIC \s 1 ">
        <w:r w:rsidR="001E4DAA">
          <w:rPr>
            <w:noProof/>
          </w:rPr>
          <w:t>8</w:t>
        </w:r>
      </w:fldSimple>
      <w:r w:rsidRPr="00FD0F64">
        <w:t>: Confusion Matrices for Top 3 Models</w:t>
      </w:r>
      <w:bookmarkEnd w:id="116"/>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rsidRPr="00FD0F64">
        <w:t>Future research should explore: (1) the inclusion of time-varying covariates within the Cox model as partial payments are received; (2) the integration of explainable AI layers (e.g., SHAP) to increase administrative trust in individual high-risk predictions; and (3) multi-institution federated learning to improve model generalizability while preserving student data privacy.</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04BBF618" w14:textId="02D211BA" w:rsidR="004454FE" w:rsidRPr="00FD0F64" w:rsidRDefault="00B747E8" w:rsidP="00BB6FF6">
      <w:pPr>
        <w:pStyle w:val="Heading2"/>
      </w:pPr>
      <w:bookmarkStart w:id="128" w:name="_Toc229345161"/>
      <w:r w:rsidRPr="00FD0F64">
        <w:t>APPENDIX B: Days Sales Outstanding per Plan Type (calendar year 2024)</w:t>
      </w:r>
      <w:bookmarkEnd w:id="128"/>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Style w:val="Heading2"/>
      </w:pPr>
      <w:bookmarkStart w:id="129" w:name="_Toc229345162"/>
      <w:r w:rsidRPr="00FD0F64">
        <w:lastRenderedPageBreak/>
        <w:t>APPENDIX C: Days Sales Outstanding per Plan Type (calendar year 2025)</w:t>
      </w:r>
      <w:bookmarkEnd w:id="129"/>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75C01F0F" w14:textId="515A54A2" w:rsidR="00920644" w:rsidRPr="00FD0F64" w:rsidRDefault="001F7C5A" w:rsidP="00BB6FF6">
      <w:pPr>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