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AAE9C11" w14:textId="77777777" w:rsidR="004E0F87" w:rsidRPr="00FD0F64" w:rsidRDefault="00BF105C" w:rsidP="009F04EF">
      <w:pPr>
        <w:ind w:firstLine="0"/>
        <w:jc w:val="center"/>
        <w:rPr>
          <w:b/>
          <w:bCs/>
        </w:rPr>
      </w:pPr>
      <w:bookmarkStart w:id="0" w:name="_Toc324462048"/>
      <w:bookmarkStart w:id="1" w:name="_Toc324463935"/>
      <w:r>
        <w:rPr>
          <w:b/>
          <w:bCs/>
        </w:rPr>
        <w:t xml:space="preserve">SOLVING THE INVOICE PAYMENT PREDICTION PROBLEM (IPPP): </w:t>
      </w:r>
    </w:p>
    <w:p w14:paraId="47A61ED4" w14:textId="77777777" w:rsidR="00E248D4" w:rsidRPr="00FD0F64" w:rsidRDefault="004E0F87" w:rsidP="009F04EF">
      <w:pPr>
        <w:ind w:firstLine="0"/>
        <w:jc w:val="center"/>
        <w:rPr>
          <w:b/>
          <w:bCs/>
        </w:rPr>
      </w:pPr>
      <w:r>
        <w:rPr>
          <w:b/>
          <w:bCs/>
        </w:rPr>
        <w:t>A MULTI-STAGE APPROACH</w:t>
      </w:r>
    </w:p>
    <w:p w14:paraId="4AF97F03" w14:textId="77777777" w:rsidR="00E740BD" w:rsidRPr="00FD0F64" w:rsidRDefault="00E740BD" w:rsidP="009F04EF">
      <w:pPr>
        <w:ind w:firstLine="0"/>
      </w:pPr>
    </w:p>
    <w:p w14:paraId="608A6151" w14:textId="77777777" w:rsidR="0083039C" w:rsidRPr="00FD0F64" w:rsidRDefault="0083039C" w:rsidP="005273E0">
      <w:pPr>
        <w:ind w:firstLine="0"/>
        <w:jc w:val="center"/>
        <w:rPr>
          <w:b/>
        </w:rPr>
      </w:pPr>
      <w:r>
        <w:t xml:space="preserve">A </w:t>
      </w:r>
      <w:bookmarkEnd w:id="0"/>
      <w:bookmarkEnd w:id="1"/>
      <w:r>
        <w:t>Thesis Project</w:t>
      </w:r>
    </w:p>
    <w:p w14:paraId="37C4485A" w14:textId="77777777" w:rsidR="0083039C" w:rsidRPr="00FD0F64" w:rsidRDefault="0083039C" w:rsidP="005273E0">
      <w:pPr>
        <w:ind w:firstLine="0"/>
        <w:jc w:val="center"/>
        <w:rPr>
          <w:b/>
        </w:rPr>
      </w:pPr>
      <w:bookmarkStart w:id="2" w:name="_Toc324462049"/>
      <w:bookmarkStart w:id="3" w:name="_Toc324463936"/>
      <w:r>
        <w:t>Presented to the</w:t>
      </w:r>
      <w:bookmarkEnd w:id="2"/>
      <w:bookmarkEnd w:id="3"/>
    </w:p>
    <w:p w14:paraId="00187C11" w14:textId="77777777" w:rsidR="0083039C" w:rsidRPr="00FD0F64" w:rsidRDefault="0083039C" w:rsidP="005273E0">
      <w:pPr>
        <w:ind w:firstLine="0"/>
        <w:jc w:val="center"/>
        <w:rPr>
          <w:b/>
        </w:rPr>
      </w:pPr>
      <w:r>
        <w:t>School of Information Technology</w:t>
      </w:r>
    </w:p>
    <w:p w14:paraId="465C43B6" w14:textId="77777777" w:rsidR="0083039C" w:rsidRPr="00FD0F64" w:rsidRDefault="0047332D" w:rsidP="005273E0">
      <w:pPr>
        <w:ind w:firstLine="0"/>
        <w:jc w:val="center"/>
        <w:rPr>
          <w:b/>
        </w:rPr>
      </w:pPr>
      <w:r>
        <w:t>Mapúa University</w:t>
      </w:r>
    </w:p>
    <w:p w14:paraId="5C9E650C" w14:textId="77777777" w:rsidR="0083039C" w:rsidRPr="00FD0F64" w:rsidRDefault="0083039C" w:rsidP="005273E0">
      <w:pPr>
        <w:ind w:firstLine="0"/>
        <w:jc w:val="center"/>
      </w:pPr>
    </w:p>
    <w:p w14:paraId="43977339" w14:textId="77777777" w:rsidR="0083039C" w:rsidRPr="00FD0F64" w:rsidRDefault="0083039C" w:rsidP="005273E0">
      <w:pPr>
        <w:ind w:firstLine="0"/>
        <w:jc w:val="center"/>
        <w:rPr>
          <w:b/>
        </w:rPr>
      </w:pPr>
      <w:bookmarkStart w:id="4" w:name="_Toc324462053"/>
      <w:bookmarkStart w:id="5" w:name="_Toc324463940"/>
      <w:r>
        <w:t>In Partial Fulfillment</w:t>
      </w:r>
      <w:bookmarkEnd w:id="4"/>
      <w:bookmarkEnd w:id="5"/>
    </w:p>
    <w:p w14:paraId="242C20D5" w14:textId="77777777" w:rsidR="0083039C" w:rsidRPr="00FD0F64" w:rsidRDefault="0083039C" w:rsidP="005273E0">
      <w:pPr>
        <w:ind w:firstLine="0"/>
        <w:jc w:val="center"/>
        <w:rPr>
          <w:b/>
        </w:rPr>
      </w:pPr>
      <w:bookmarkStart w:id="6" w:name="_Toc324462054"/>
      <w:bookmarkStart w:id="7" w:name="_Toc324463941"/>
      <w:r>
        <w:t>of the Requirements for the Degree</w:t>
      </w:r>
      <w:bookmarkEnd w:id="6"/>
      <w:bookmarkEnd w:id="7"/>
    </w:p>
    <w:p w14:paraId="4BF45E06" w14:textId="77777777" w:rsidR="0083039C" w:rsidRPr="00FD0F64" w:rsidRDefault="00093480" w:rsidP="005273E0">
      <w:pPr>
        <w:ind w:firstLine="0"/>
        <w:jc w:val="center"/>
        <w:rPr>
          <w:b/>
        </w:rPr>
      </w:pPr>
      <w:r>
        <w:t>Bachelor of Science in Data Science</w:t>
      </w:r>
    </w:p>
    <w:p w14:paraId="78C7F36D" w14:textId="77777777" w:rsidR="00E248D4" w:rsidRPr="00FD0F64" w:rsidRDefault="00E248D4" w:rsidP="005273E0">
      <w:pPr>
        <w:ind w:firstLine="0"/>
        <w:jc w:val="center"/>
      </w:pPr>
      <w:bookmarkStart w:id="8" w:name="_Toc324462056"/>
      <w:bookmarkStart w:id="9" w:name="_Toc324463943"/>
    </w:p>
    <w:p w14:paraId="29D2A857" w14:textId="77777777" w:rsidR="0083039C" w:rsidRPr="00FD0F64" w:rsidRDefault="0083039C" w:rsidP="005273E0">
      <w:pPr>
        <w:ind w:firstLine="0"/>
        <w:jc w:val="center"/>
        <w:rPr>
          <w:b/>
        </w:rPr>
      </w:pPr>
      <w:r>
        <w:t>by</w:t>
      </w:r>
      <w:bookmarkEnd w:id="8"/>
      <w:bookmarkEnd w:id="9"/>
    </w:p>
    <w:p w14:paraId="1190E24E" w14:textId="77777777" w:rsidR="0083039C" w:rsidRPr="00FD0F64" w:rsidRDefault="00221632" w:rsidP="005273E0">
      <w:pPr>
        <w:ind w:firstLine="0"/>
        <w:jc w:val="center"/>
      </w:pPr>
      <w:r>
        <w:t>Rafael Joseph T. Beley</w:t>
      </w:r>
    </w:p>
    <w:p w14:paraId="7E4695DC" w14:textId="77777777" w:rsidR="00486F18" w:rsidRPr="00FD0F64" w:rsidRDefault="006B329F" w:rsidP="00486F18">
      <w:pPr>
        <w:ind w:firstLine="0"/>
        <w:jc w:val="center"/>
      </w:pPr>
      <w:r>
        <w:t>Christine Julliane L. Reyes</w:t>
      </w:r>
    </w:p>
    <w:p w14:paraId="74F01CB8" w14:textId="77777777" w:rsidR="00502374" w:rsidRPr="00FD0F64" w:rsidRDefault="00502374" w:rsidP="005273E0">
      <w:pPr>
        <w:ind w:firstLine="0"/>
        <w:jc w:val="center"/>
      </w:pPr>
    </w:p>
    <w:p w14:paraId="3A8AAC2A" w14:textId="77777777" w:rsidR="00EF3EB8" w:rsidRPr="00FD0F64" w:rsidRDefault="00EF3EB8" w:rsidP="005273E0">
      <w:pPr>
        <w:ind w:firstLine="0"/>
        <w:jc w:val="center"/>
      </w:pPr>
    </w:p>
    <w:p w14:paraId="74FBA1B1" w14:textId="66714553" w:rsidR="0083039C" w:rsidRPr="00FD0F64" w:rsidRDefault="001E228A" w:rsidP="005273E0">
      <w:pPr>
        <w:ind w:firstLine="0"/>
        <w:jc w:val="center"/>
        <w:rPr>
          <w:b/>
        </w:rPr>
      </w:pPr>
      <w:r>
        <w:t>June 2026</w:t>
      </w:r>
    </w:p>
    <w:p w14:paraId="74770CB7" w14:textId="77777777" w:rsidR="0083039C" w:rsidRPr="00FD0F64" w:rsidRDefault="0009797D" w:rsidP="003B0390">
      <w:pPr>
        <w:bidi/>
      </w:pPr>
      <w:r>
        <w:rPr>
          <w:noProof/>
        </w:rPr>
        <w:lastRenderedPageBreak/>
        <w:drawing>
          <wp:anchor distT="0" distB="0" distL="114300" distR="114300" simplePos="0" relativeHeight="251659265" behindDoc="0" locked="0" layoutInCell="1" allowOverlap="1" wp14:anchorId="70EB26CC" wp14:editId="1DAAD4FD">
            <wp:simplePos x="0" y="0"/>
            <wp:positionH relativeFrom="column">
              <wp:posOffset>-104775</wp:posOffset>
            </wp:positionH>
            <wp:positionV relativeFrom="paragraph">
              <wp:posOffset>0</wp:posOffset>
            </wp:positionV>
            <wp:extent cx="5486400" cy="4577715"/>
            <wp:effectExtent l="0" t="0" r="0" b="0"/>
            <wp:wrapTopAndBottom/>
            <wp:docPr id="1056407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407523"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4577715"/>
                    </a:xfrm>
                    <a:prstGeom prst="rect">
                      <a:avLst/>
                    </a:prstGeom>
                  </pic:spPr>
                </pic:pic>
              </a:graphicData>
            </a:graphic>
          </wp:anchor>
        </w:drawing>
      </w:r>
      <w:r>
        <w:br w:type="page"/>
      </w:r>
    </w:p>
    <w:bookmarkStart w:id="10" w:name="_Toc233585248" w:displacedByCustomXml="next"/>
    <w:bookmarkStart w:id="11" w:name="_Toc204781951" w:displacedByCustomXml="next"/>
    <w:bookmarkStart w:id="12" w:name="_Toc204781976" w:displacedByCustomXml="next"/>
    <w:sdt>
      <w:sdtPr>
        <w:rPr>
          <w:rFonts w:asciiTheme="minorHAnsi" w:eastAsiaTheme="minorEastAsia" w:hAnsiTheme="minorHAnsi" w:cstheme="minorBidi"/>
          <w:b w:val="0"/>
          <w:bCs w:val="0"/>
          <w:color w:val="auto"/>
        </w:rPr>
        <w:id w:val="-306473944"/>
        <w:docPartObj>
          <w:docPartGallery w:val="Table of Contents"/>
          <w:docPartUnique/>
        </w:docPartObj>
      </w:sdtPr>
      <w:sdtContent>
        <w:p w14:paraId="162FCDC8" w14:textId="77777777" w:rsidR="0083039C" w:rsidRPr="00FD0F64" w:rsidRDefault="0083039C" w:rsidP="001A282A">
          <w:pPr>
            <w:pStyle w:val="Heading1"/>
            <w:rPr>
              <w:rStyle w:val="Heading1Char"/>
            </w:rPr>
          </w:pPr>
          <w:r>
            <w:rPr>
              <w:rStyle w:val="Heading1Char"/>
              <w:b/>
            </w:rPr>
            <w:t>TABLE OF CONTENTS</w:t>
          </w:r>
          <w:bookmarkEnd w:id="12"/>
          <w:bookmarkEnd w:id="11"/>
          <w:bookmarkEnd w:id="10"/>
        </w:p>
        <w:p w14:paraId="7632B088" w14:textId="2F11D03F" w:rsidR="005B33A8" w:rsidRDefault="0083039C">
          <w:pPr>
            <w:pStyle w:val="TOC1"/>
            <w:rPr>
              <w:rFonts w:asciiTheme="minorHAnsi" w:eastAsiaTheme="minorEastAsia" w:hAnsiTheme="minorHAnsi" w:cstheme="minorBidi"/>
              <w:b w:val="0"/>
              <w:bCs w:val="0"/>
              <w:kern w:val="2"/>
              <w:sz w:val="22"/>
              <w:lang w:val="en-PH" w:eastAsia="en-PH"/>
              <w14:ligatures w14:val="standardContextual"/>
            </w:rPr>
          </w:pPr>
          <w:r>
            <w:fldChar w:fldCharType="begin"/>
            <w:instrText xml:space="preserve"> TOC \o "1-3" \h \z \u </w:instrText>
            <w:fldChar w:fldCharType="separate"/>
          </w:r>
          <w:hyperlink w:anchor="_Toc233585248" w:history="1">
            <w:r>
              <w:rPr>
                <w:rStyle w:val="Hyperlink"/>
              </w:rPr>
              <w:t>TABLE OF CONTENTS</w:t>
            </w:r>
            <w:r>
              <w:rPr>
                <w:webHidden/>
              </w:rPr>
              <w:tab/>
              <w:fldChar w:fldCharType="begin"/>
              <w:instrText xml:space="preserve"> PAGEREF _Toc233585248 \h </w:instrText>
              <w:fldChar w:fldCharType="separate"/>
              <w:t>iii</w:t>
              <w:fldChar w:fldCharType="end"/>
            </w:r>
          </w:hyperlink>
        </w:p>
        <w:p w14:paraId="11AB3656" w14:textId="756461EC"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249" w:history="1">
            <w:r>
              <w:rPr>
                <w:rStyle w:val="Hyperlink"/>
                <w:shd w:val="clear" w:color="auto" w:fill="FFFFFF"/>
              </w:rPr>
              <w:t>LIST OF FIGURES</w:t>
            </w:r>
            <w:r>
              <w:rPr>
                <w:webHidden/>
              </w:rPr>
              <w:tab/>
              <w:fldChar w:fldCharType="begin"/>
              <w:instrText xml:space="preserve"> PAGEREF _Toc233585249 \h </w:instrText>
              <w:fldChar w:fldCharType="separate"/>
              <w:t>vii</w:t>
              <w:fldChar w:fldCharType="end"/>
            </w:r>
          </w:hyperlink>
        </w:p>
        <w:p w14:paraId="70504E7E" w14:textId="4E82D134"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250" w:history="1">
            <w:r>
              <w:rPr>
                <w:rStyle w:val="Hyperlink"/>
                <w:shd w:val="clear" w:color="auto" w:fill="FFFFFF"/>
              </w:rPr>
              <w:t>LIST OF TABLES</w:t>
            </w:r>
            <w:r>
              <w:rPr>
                <w:webHidden/>
              </w:rPr>
              <w:tab/>
              <w:fldChar w:fldCharType="begin"/>
              <w:instrText xml:space="preserve"> PAGEREF _Toc233585250 \h </w:instrText>
              <w:fldChar w:fldCharType="separate"/>
              <w:t>viii</w:t>
              <w:fldChar w:fldCharType="end"/>
            </w:r>
          </w:hyperlink>
        </w:p>
        <w:p w14:paraId="53E01C07" w14:textId="796B48D3"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251" w:history="1">
            <w:r>
              <w:rPr>
                <w:rStyle w:val="Hyperlink"/>
              </w:rPr>
              <w:t>CHAPTER 1: INTRODUCTION</w:t>
            </w:r>
            <w:r>
              <w:rPr>
                <w:webHidden/>
              </w:rPr>
              <w:tab/>
              <w:fldChar w:fldCharType="begin"/>
              <w:instrText xml:space="preserve"> PAGEREF _Toc233585251 \h </w:instrText>
              <w:fldChar w:fldCharType="separate"/>
              <w:t>9</w:t>
              <w:fldChar w:fldCharType="end"/>
            </w:r>
          </w:hyperlink>
        </w:p>
        <w:p w14:paraId="57A013E1" w14:textId="0A75BE68"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52" w:history="1">
            <w:r>
              <w:rPr>
                <w:rStyle w:val="Hyperlink"/>
                <w:noProof/>
              </w:rPr>
              <w:t>1.1</w:t>
            </w:r>
            <w:r>
              <w:rPr>
                <w:rFonts w:asciiTheme="minorHAnsi" w:eastAsiaTheme="minorEastAsia" w:hAnsiTheme="minorHAnsi" w:cstheme="minorBidi"/>
                <w:noProof/>
                <w:kern w:val="2"/>
                <w:sz w:val="22"/>
                <w:lang w:val="en-PH" w:eastAsia="en-PH"/>
                <w14:ligatures w14:val="standardContextual"/>
              </w:rPr>
              <w:tab/>
            </w:r>
            <w:r>
              <w:rPr>
                <w:rStyle w:val="Hyperlink"/>
                <w:noProof/>
              </w:rPr>
              <w:t>Context of the Study</w:t>
            </w:r>
            <w:r>
              <w:rPr>
                <w:noProof/>
                <w:webHidden/>
              </w:rPr>
              <w:tab/>
              <w:fldChar w:fldCharType="begin"/>
              <w:instrText xml:space="preserve"> PAGEREF _Toc233585252 \h </w:instrText>
              <w:fldChar w:fldCharType="separate"/>
              <w:t>12</w:t>
              <w:fldChar w:fldCharType="end"/>
            </w:r>
          </w:hyperlink>
        </w:p>
        <w:p w14:paraId="332788B0" w14:textId="79594788"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53" w:history="1">
            <w:r>
              <w:rPr>
                <w:rStyle w:val="Hyperlink"/>
                <w:noProof/>
              </w:rPr>
              <w:t>1.2</w:t>
            </w:r>
            <w:r>
              <w:rPr>
                <w:rFonts w:asciiTheme="minorHAnsi" w:eastAsiaTheme="minorEastAsia" w:hAnsiTheme="minorHAnsi" w:cstheme="minorBidi"/>
                <w:noProof/>
                <w:kern w:val="2"/>
                <w:sz w:val="22"/>
                <w:lang w:val="en-PH" w:eastAsia="en-PH"/>
                <w14:ligatures w14:val="standardContextual"/>
              </w:rPr>
              <w:tab/>
            </w:r>
            <w:r>
              <w:rPr>
                <w:rStyle w:val="Hyperlink"/>
                <w:noProof/>
              </w:rPr>
              <w:t>The Problem, Gap, or Opportunity</w:t>
            </w:r>
            <w:r>
              <w:rPr>
                <w:noProof/>
                <w:webHidden/>
              </w:rPr>
              <w:tab/>
              <w:fldChar w:fldCharType="begin"/>
              <w:instrText xml:space="preserve"> PAGEREF _Toc233585253 \h </w:instrText>
              <w:fldChar w:fldCharType="separate"/>
              <w:t>13</w:t>
              <w:fldChar w:fldCharType="end"/>
            </w:r>
          </w:hyperlink>
        </w:p>
        <w:p w14:paraId="0EB39BA3" w14:textId="3B260758"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54" w:history="1">
            <w:r>
              <w:rPr>
                <w:rStyle w:val="Hyperlink"/>
                <w:noProof/>
              </w:rPr>
              <w:t>1.3</w:t>
            </w:r>
            <w:r>
              <w:rPr>
                <w:rFonts w:asciiTheme="minorHAnsi" w:eastAsiaTheme="minorEastAsia" w:hAnsiTheme="minorHAnsi" w:cstheme="minorBidi"/>
                <w:noProof/>
                <w:kern w:val="2"/>
                <w:sz w:val="22"/>
                <w:lang w:val="en-PH" w:eastAsia="en-PH"/>
                <w14:ligatures w14:val="standardContextual"/>
              </w:rPr>
              <w:tab/>
            </w:r>
            <w:r>
              <w:rPr>
                <w:rStyle w:val="Hyperlink"/>
                <w:noProof/>
              </w:rPr>
              <w:t>Research Questions</w:t>
            </w:r>
            <w:r>
              <w:rPr>
                <w:noProof/>
                <w:webHidden/>
              </w:rPr>
              <w:tab/>
              <w:fldChar w:fldCharType="begin"/>
              <w:instrText xml:space="preserve"> PAGEREF _Toc233585254 \h </w:instrText>
              <w:fldChar w:fldCharType="separate"/>
              <w:t>14</w:t>
              <w:fldChar w:fldCharType="end"/>
            </w:r>
          </w:hyperlink>
        </w:p>
        <w:p w14:paraId="1B666B92" w14:textId="7CC98211"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55" w:history="1">
            <w:r>
              <w:rPr>
                <w:rStyle w:val="Hyperlink"/>
                <w:noProof/>
              </w:rPr>
              <w:t>1.4 Research Objectives</w:t>
            </w:r>
            <w:r>
              <w:rPr>
                <w:noProof/>
                <w:webHidden/>
              </w:rPr>
              <w:tab/>
              <w:fldChar w:fldCharType="begin"/>
              <w:instrText xml:space="preserve"> PAGEREF _Toc233585255 \h </w:instrText>
              <w:fldChar w:fldCharType="separate"/>
              <w:t>14</w:t>
              <w:fldChar w:fldCharType="end"/>
            </w:r>
          </w:hyperlink>
        </w:p>
        <w:p w14:paraId="43399216" w14:textId="42D7F135"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56" w:history="1">
            <w:r>
              <w:rPr>
                <w:rStyle w:val="Hyperlink"/>
                <w:noProof/>
              </w:rPr>
              <w:t>1.5 Significance of the Study</w:t>
            </w:r>
            <w:r>
              <w:rPr>
                <w:noProof/>
                <w:webHidden/>
              </w:rPr>
              <w:tab/>
              <w:fldChar w:fldCharType="begin"/>
              <w:instrText xml:space="preserve"> PAGEREF _Toc233585256 \h </w:instrText>
              <w:fldChar w:fldCharType="separate"/>
              <w:t>15</w:t>
              <w:fldChar w:fldCharType="end"/>
            </w:r>
          </w:hyperlink>
        </w:p>
        <w:p w14:paraId="12A62BDD" w14:textId="6C33792D"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57" w:history="1">
            <w:r>
              <w:rPr>
                <w:rStyle w:val="Hyperlink"/>
                <w:noProof/>
              </w:rPr>
              <w:t>1.6 Alignment with United Nations Sustainable Development Goals</w:t>
            </w:r>
            <w:r>
              <w:rPr>
                <w:noProof/>
                <w:webHidden/>
              </w:rPr>
              <w:tab/>
              <w:fldChar w:fldCharType="begin"/>
              <w:instrText xml:space="preserve"> PAGEREF _Toc233585257 \h </w:instrText>
              <w:fldChar w:fldCharType="separate"/>
              <w:t>16</w:t>
              <w:fldChar w:fldCharType="end"/>
            </w:r>
          </w:hyperlink>
        </w:p>
        <w:p w14:paraId="0BED76E9" w14:textId="28CB607F"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58" w:history="1">
            <w:r>
              <w:rPr>
                <w:rStyle w:val="Hyperlink"/>
                <w:noProof/>
              </w:rPr>
              <w:t>1.7 Scope and Limitations</w:t>
            </w:r>
            <w:r>
              <w:rPr>
                <w:noProof/>
                <w:webHidden/>
              </w:rPr>
              <w:tab/>
              <w:fldChar w:fldCharType="begin"/>
              <w:instrText xml:space="preserve"> PAGEREF _Toc233585258 \h </w:instrText>
              <w:fldChar w:fldCharType="separate"/>
              <w:t>17</w:t>
              <w:fldChar w:fldCharType="end"/>
            </w:r>
          </w:hyperlink>
        </w:p>
        <w:p w14:paraId="2FF76FE9" w14:textId="596BD4FD"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259" w:history="1">
            <w:r>
              <w:rPr>
                <w:rStyle w:val="Hyperlink"/>
              </w:rPr>
              <w:t>CHAPTER 2: REVIEW OF RELATED LITERATURE &amp; STUDIES</w:t>
            </w:r>
            <w:r>
              <w:rPr>
                <w:webHidden/>
              </w:rPr>
              <w:tab/>
              <w:fldChar w:fldCharType="begin"/>
              <w:instrText xml:space="preserve"> PAGEREF _Toc233585259 \h </w:instrText>
              <w:fldChar w:fldCharType="separate"/>
              <w:t>18</w:t>
              <w:fldChar w:fldCharType="end"/>
            </w:r>
          </w:hyperlink>
        </w:p>
        <w:p w14:paraId="428CF804" w14:textId="0A1B63B4"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0" w:history="1">
            <w:r>
              <w:rPr>
                <w:rStyle w:val="Hyperlink"/>
                <w:noProof/>
              </w:rPr>
              <w:t>2.1 Introduction</w:t>
            </w:r>
            <w:r>
              <w:rPr>
                <w:noProof/>
                <w:webHidden/>
              </w:rPr>
              <w:tab/>
              <w:fldChar w:fldCharType="begin"/>
              <w:instrText xml:space="preserve"> PAGEREF _Toc233585260 \h </w:instrText>
              <w:fldChar w:fldCharType="separate"/>
              <w:t>18</w:t>
              <w:fldChar w:fldCharType="end"/>
            </w:r>
          </w:hyperlink>
        </w:p>
        <w:p w14:paraId="35137809" w14:textId="4998EC73"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1" w:history="1">
            <w:r>
              <w:rPr>
                <w:rStyle w:val="Hyperlink"/>
                <w:noProof/>
              </w:rPr>
              <w:t>2.2 Global and Cross-Sector Practices in Receivables  and Debt Management</w:t>
            </w:r>
            <w:r>
              <w:rPr>
                <w:noProof/>
                <w:webHidden/>
              </w:rPr>
              <w:tab/>
              <w:fldChar w:fldCharType="begin"/>
              <w:instrText xml:space="preserve"> PAGEREF _Toc233585261 \h </w:instrText>
              <w:fldChar w:fldCharType="separate"/>
              <w:t>19</w:t>
              <w:fldChar w:fldCharType="end"/>
            </w:r>
          </w:hyperlink>
        </w:p>
        <w:p w14:paraId="46F0CF28" w14:textId="5897F433"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2" w:history="1">
            <w:r>
              <w:rPr>
                <w:rStyle w:val="Hyperlink"/>
                <w:noProof/>
              </w:rPr>
              <w:t>2.3 Tuition Collection Strategies in Educational Institutions Worldwide</w:t>
            </w:r>
            <w:r>
              <w:rPr>
                <w:noProof/>
                <w:webHidden/>
              </w:rPr>
              <w:tab/>
              <w:fldChar w:fldCharType="begin"/>
              <w:instrText xml:space="preserve"> PAGEREF _Toc233585262 \h </w:instrText>
              <w:fldChar w:fldCharType="separate"/>
              <w:t>20</w:t>
              <w:fldChar w:fldCharType="end"/>
            </w:r>
          </w:hyperlink>
        </w:p>
        <w:p w14:paraId="1F47FBDD" w14:textId="227B070D"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3" w:history="1">
            <w:r>
              <w:rPr>
                <w:rStyle w:val="Hyperlink"/>
                <w:noProof/>
              </w:rPr>
              <w:t>2.4 Institutional Context: Philippine Schools and the Partner Institution</w:t>
            </w:r>
            <w:r>
              <w:rPr>
                <w:noProof/>
                <w:webHidden/>
              </w:rPr>
              <w:tab/>
              <w:fldChar w:fldCharType="begin"/>
              <w:instrText xml:space="preserve"> PAGEREF _Toc233585263 \h </w:instrText>
              <w:fldChar w:fldCharType="separate"/>
              <w:t>22</w:t>
              <w:fldChar w:fldCharType="end"/>
            </w:r>
          </w:hyperlink>
        </w:p>
        <w:p w14:paraId="279607F5" w14:textId="435DA1AC"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4" w:history="1">
            <w:r>
              <w:rPr>
                <w:rStyle w:val="Hyperlink"/>
                <w:noProof/>
              </w:rPr>
              <w:t>2.5 Machine Learning in Credit Default Risk Forecasting</w:t>
            </w:r>
            <w:r>
              <w:rPr>
                <w:noProof/>
                <w:webHidden/>
              </w:rPr>
              <w:tab/>
              <w:fldChar w:fldCharType="begin"/>
              <w:instrText xml:space="preserve"> PAGEREF _Toc233585264 \h </w:instrText>
              <w:fldChar w:fldCharType="separate"/>
              <w:t>23</w:t>
              <w:fldChar w:fldCharType="end"/>
            </w:r>
          </w:hyperlink>
        </w:p>
        <w:p w14:paraId="41BBFE19" w14:textId="52A4F4D4"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5" w:history="1">
            <w:r>
              <w:rPr>
                <w:rStyle w:val="Hyperlink"/>
                <w:noProof/>
              </w:rPr>
              <w:t>2.6 Invoice Payment Prediction Models</w:t>
            </w:r>
            <w:r>
              <w:rPr>
                <w:noProof/>
                <w:webHidden/>
              </w:rPr>
              <w:tab/>
              <w:fldChar w:fldCharType="begin"/>
              <w:instrText xml:space="preserve"> PAGEREF _Toc233585265 \h </w:instrText>
              <w:fldChar w:fldCharType="separate"/>
              <w:t>25</w:t>
              <w:fldChar w:fldCharType="end"/>
            </w:r>
          </w:hyperlink>
        </w:p>
        <w:p w14:paraId="640FD27B" w14:textId="759C0A1E"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6" w:history="1">
            <w:r>
              <w:rPr>
                <w:rStyle w:val="Hyperlink"/>
                <w:noProof/>
              </w:rPr>
              <w:t>2.7 Granular Feature Modeling and Student-Specific Variables</w:t>
            </w:r>
            <w:r>
              <w:rPr>
                <w:noProof/>
                <w:webHidden/>
              </w:rPr>
              <w:tab/>
              <w:fldChar w:fldCharType="begin"/>
              <w:instrText xml:space="preserve"> PAGEREF _Toc233585266 \h </w:instrText>
              <w:fldChar w:fldCharType="separate"/>
              <w:t>26</w:t>
              <w:fldChar w:fldCharType="end"/>
            </w:r>
          </w:hyperlink>
        </w:p>
        <w:p w14:paraId="4E0AAAE0" w14:textId="4A2910A9"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7" w:history="1">
            <w:r>
              <w:rPr>
                <w:rStyle w:val="Hyperlink"/>
                <w:noProof/>
              </w:rPr>
              <w:t>2.8 Socioeconomic and Behavioral Factors Affecting Payment</w:t>
            </w:r>
            <w:r>
              <w:rPr>
                <w:noProof/>
                <w:webHidden/>
              </w:rPr>
              <w:tab/>
              <w:fldChar w:fldCharType="begin"/>
              <w:instrText xml:space="preserve"> PAGEREF _Toc233585267 \h </w:instrText>
              <w:fldChar w:fldCharType="separate"/>
              <w:t>27</w:t>
              <w:fldChar w:fldCharType="end"/>
            </w:r>
          </w:hyperlink>
        </w:p>
        <w:p w14:paraId="0A4A2653" w14:textId="3BFFE5F9"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68" w:history="1">
            <w:r>
              <w:rPr>
                <w:rStyle w:val="Hyperlink"/>
                <w:noProof/>
              </w:rPr>
              <w:t>2.9 Intervention Strategies and Justification</w:t>
            </w:r>
            <w:r>
              <w:rPr>
                <w:noProof/>
                <w:webHidden/>
              </w:rPr>
              <w:tab/>
              <w:fldChar w:fldCharType="begin"/>
              <w:instrText xml:space="preserve"> PAGEREF _Toc233585268 \h </w:instrText>
              <w:fldChar w:fldCharType="separate"/>
              <w:t>28</w:t>
              <w:fldChar w:fldCharType="end"/>
            </w:r>
          </w:hyperlink>
        </w:p>
        <w:p w14:paraId="59ACF48D" w14:textId="163F8F6C" w:rsidR="005B33A8" w:rsidRDefault="005B33A8">
          <w:pPr>
            <w:pStyle w:val="TOC3"/>
            <w:rPr>
              <w:rFonts w:asciiTheme="minorHAnsi" w:eastAsiaTheme="minorEastAsia" w:hAnsiTheme="minorHAnsi" w:cstheme="minorBidi"/>
              <w:noProof/>
              <w:kern w:val="2"/>
              <w:sz w:val="22"/>
              <w:lang w:val="en-PH" w:eastAsia="en-PH"/>
              <w14:ligatures w14:val="standardContextual"/>
            </w:rPr>
          </w:pPr>
          <w:hyperlink w:anchor="_Toc233585269" w:history="1">
            <w:r>
              <w:rPr>
                <w:rStyle w:val="Hyperlink"/>
                <w:noProof/>
              </w:rPr>
              <w:t>2.9.1 Current Institutional Practices in Tuition Collection</w:t>
            </w:r>
            <w:r>
              <w:rPr>
                <w:noProof/>
                <w:webHidden/>
              </w:rPr>
              <w:tab/>
              <w:fldChar w:fldCharType="begin"/>
              <w:instrText xml:space="preserve"> PAGEREF _Toc233585269 \h </w:instrText>
              <w:fldChar w:fldCharType="separate"/>
              <w:t>28</w:t>
              <w:fldChar w:fldCharType="end"/>
            </w:r>
          </w:hyperlink>
        </w:p>
        <w:p w14:paraId="5B2E9A1D" w14:textId="4FCF791A" w:rsidR="005B33A8" w:rsidRDefault="005B33A8">
          <w:pPr>
            <w:pStyle w:val="TOC3"/>
            <w:rPr>
              <w:rFonts w:asciiTheme="minorHAnsi" w:eastAsiaTheme="minorEastAsia" w:hAnsiTheme="minorHAnsi" w:cstheme="minorBidi"/>
              <w:noProof/>
              <w:kern w:val="2"/>
              <w:sz w:val="22"/>
              <w:lang w:val="en-PH" w:eastAsia="en-PH"/>
              <w14:ligatures w14:val="standardContextual"/>
            </w:rPr>
          </w:pPr>
          <w:hyperlink w:anchor="_Toc233585270" w:history="1">
            <w:r>
              <w:rPr>
                <w:rStyle w:val="Hyperlink"/>
                <w:noProof/>
              </w:rPr>
              <w:t>2.9.2 Structural and Policy Constraints on Enforcement</w:t>
            </w:r>
            <w:r>
              <w:rPr>
                <w:noProof/>
                <w:webHidden/>
              </w:rPr>
              <w:tab/>
              <w:fldChar w:fldCharType="begin"/>
              <w:instrText xml:space="preserve"> PAGEREF _Toc233585270 \h </w:instrText>
              <w:fldChar w:fldCharType="separate"/>
              <w:t>28</w:t>
              <w:fldChar w:fldCharType="end"/>
            </w:r>
          </w:hyperlink>
        </w:p>
        <w:p w14:paraId="25DB4306" w14:textId="3D7DADC7" w:rsidR="005B33A8" w:rsidRDefault="005B33A8">
          <w:pPr>
            <w:pStyle w:val="TOC3"/>
            <w:rPr>
              <w:rFonts w:asciiTheme="minorHAnsi" w:eastAsiaTheme="minorEastAsia" w:hAnsiTheme="minorHAnsi" w:cstheme="minorBidi"/>
              <w:noProof/>
              <w:kern w:val="2"/>
              <w:sz w:val="22"/>
              <w:lang w:val="en-PH" w:eastAsia="en-PH"/>
              <w14:ligatures w14:val="standardContextual"/>
            </w:rPr>
          </w:pPr>
          <w:hyperlink w:anchor="_Toc233585271" w:history="1">
            <w:r>
              <w:rPr>
                <w:rStyle w:val="Hyperlink"/>
                <w:noProof/>
              </w:rPr>
              <w:t>2.9.3 Machine Learning as a Proactive Alternative</w:t>
            </w:r>
            <w:r>
              <w:rPr>
                <w:noProof/>
                <w:webHidden/>
              </w:rPr>
              <w:tab/>
              <w:fldChar w:fldCharType="begin"/>
              <w:instrText xml:space="preserve"> PAGEREF _Toc233585271 \h </w:instrText>
              <w:fldChar w:fldCharType="separate"/>
              <w:t>29</w:t>
              <w:fldChar w:fldCharType="end"/>
            </w:r>
          </w:hyperlink>
        </w:p>
        <w:p w14:paraId="67A6F3A7" w14:textId="6B9F0A7D"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72" w:history="1">
            <w:r>
              <w:rPr>
                <w:rStyle w:val="Hyperlink"/>
                <w:noProof/>
              </w:rPr>
              <w:t>2.10 Ordinal Classification and Two-Stage Architectures</w:t>
            </w:r>
            <w:r>
              <w:rPr>
                <w:noProof/>
                <w:webHidden/>
              </w:rPr>
              <w:tab/>
              <w:fldChar w:fldCharType="begin"/>
              <w:instrText xml:space="preserve"> PAGEREF _Toc233585272 \h </w:instrText>
              <w:fldChar w:fldCharType="separate"/>
              <w:t>30</w:t>
              <w:fldChar w:fldCharType="end"/>
            </w:r>
          </w:hyperlink>
        </w:p>
        <w:p w14:paraId="0ADE2989" w14:textId="59D20493"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73" w:history="1">
            <w:r>
              <w:rPr>
                <w:rStyle w:val="Hyperlink"/>
                <w:noProof/>
              </w:rPr>
              <w:t>2.11 Survival Analysis in Accounts Receivable Prediction</w:t>
            </w:r>
            <w:r>
              <w:rPr>
                <w:noProof/>
                <w:webHidden/>
              </w:rPr>
              <w:tab/>
              <w:fldChar w:fldCharType="begin"/>
              <w:instrText xml:space="preserve"> PAGEREF _Toc233585273 \h </w:instrText>
              <w:fldChar w:fldCharType="separate"/>
              <w:t>31</w:t>
              <w:fldChar w:fldCharType="end"/>
            </w:r>
          </w:hyperlink>
        </w:p>
        <w:p w14:paraId="07EC1469" w14:textId="248B1456"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74" w:history="1">
            <w:r>
              <w:rPr>
                <w:rStyle w:val="Hyperlink"/>
                <w:noProof/>
              </w:rPr>
              <w:t>2.12 Synthesis of Methods, Findings, and Gaps in Literature</w:t>
            </w:r>
            <w:r>
              <w:rPr>
                <w:noProof/>
                <w:webHidden/>
              </w:rPr>
              <w:tab/>
              <w:fldChar w:fldCharType="begin"/>
              <w:instrText xml:space="preserve"> PAGEREF _Toc233585274 \h </w:instrText>
              <w:fldChar w:fldCharType="separate"/>
              <w:t>32</w:t>
              <w:fldChar w:fldCharType="end"/>
            </w:r>
          </w:hyperlink>
        </w:p>
        <w:p w14:paraId="06D7B6FF" w14:textId="7DC2ED36"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75" w:history="1">
            <w:r>
              <w:rPr>
                <w:rStyle w:val="Hyperlink"/>
                <w:noProof/>
              </w:rPr>
              <w:t>2.13 Comparative Analysis of Existing Technologies</w:t>
            </w:r>
            <w:r>
              <w:rPr>
                <w:noProof/>
                <w:webHidden/>
              </w:rPr>
              <w:tab/>
              <w:fldChar w:fldCharType="begin"/>
              <w:instrText xml:space="preserve"> PAGEREF _Toc233585275 \h </w:instrText>
              <w:fldChar w:fldCharType="separate"/>
              <w:t>33</w:t>
              <w:fldChar w:fldCharType="end"/>
            </w:r>
          </w:hyperlink>
        </w:p>
        <w:p w14:paraId="1C94069E" w14:textId="283D5BE2"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76" w:history="1">
            <w:r>
              <w:rPr>
                <w:rStyle w:val="Hyperlink"/>
                <w:noProof/>
              </w:rPr>
              <w:t>2.14 Theoretical Framework</w:t>
            </w:r>
            <w:r>
              <w:rPr>
                <w:noProof/>
                <w:webHidden/>
              </w:rPr>
              <w:tab/>
              <w:fldChar w:fldCharType="begin"/>
              <w:instrText xml:space="preserve"> PAGEREF _Toc233585276 \h </w:instrText>
              <w:fldChar w:fldCharType="separate"/>
              <w:t>36</w:t>
              <w:fldChar w:fldCharType="end"/>
            </w:r>
          </w:hyperlink>
        </w:p>
        <w:p w14:paraId="75CE94CA" w14:textId="79DCD950"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277" w:history="1">
            <w:r>
              <w:rPr>
                <w:rStyle w:val="Hyperlink"/>
              </w:rPr>
              <w:t>CHAPTER 3: METHODOLOGY</w:t>
            </w:r>
            <w:r>
              <w:rPr>
                <w:webHidden/>
              </w:rPr>
              <w:tab/>
              <w:fldChar w:fldCharType="begin"/>
              <w:instrText xml:space="preserve"> PAGEREF _Toc233585277 \h </w:instrText>
              <w:fldChar w:fldCharType="separate"/>
              <w:t>38</w:t>
              <w:fldChar w:fldCharType="end"/>
            </w:r>
          </w:hyperlink>
        </w:p>
        <w:p w14:paraId="112F0ED5" w14:textId="0BA6580D"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78" w:history="1">
            <w:r>
              <w:rPr>
                <w:rStyle w:val="Hyperlink"/>
                <w:noProof/>
              </w:rPr>
              <w:t>3.1 Research Design</w:t>
            </w:r>
            <w:r>
              <w:rPr>
                <w:noProof/>
                <w:webHidden/>
              </w:rPr>
              <w:tab/>
              <w:fldChar w:fldCharType="begin"/>
              <w:instrText xml:space="preserve"> PAGEREF _Toc233585278 \h </w:instrText>
              <w:fldChar w:fldCharType="separate"/>
              <w:t>38</w:t>
              <w:fldChar w:fldCharType="end"/>
            </w:r>
          </w:hyperlink>
        </w:p>
        <w:p w14:paraId="5558C82F" w14:textId="2CEE1D22"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79" w:history="1">
            <w:r>
              <w:rPr>
                <w:rStyle w:val="Hyperlink"/>
                <w:noProof/>
              </w:rPr>
              <w:t>3.2 Data Acquisition and Preprocessing</w:t>
            </w:r>
            <w:r>
              <w:rPr>
                <w:noProof/>
                <w:webHidden/>
              </w:rPr>
              <w:tab/>
              <w:fldChar w:fldCharType="begin"/>
              <w:instrText xml:space="preserve"> PAGEREF _Toc233585279 \h </w:instrText>
              <w:fldChar w:fldCharType="separate"/>
              <w:t>39</w:t>
              <w:fldChar w:fldCharType="end"/>
            </w:r>
          </w:hyperlink>
        </w:p>
        <w:p w14:paraId="4A04A5DD" w14:textId="6E049E64"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80" w:history="1">
            <w:r>
              <w:rPr>
                <w:rStyle w:val="Hyperlink"/>
                <w:noProof/>
              </w:rPr>
              <w:t>3.3 Granular Feature Engineering</w:t>
            </w:r>
            <w:r>
              <w:rPr>
                <w:noProof/>
                <w:webHidden/>
              </w:rPr>
              <w:tab/>
              <w:fldChar w:fldCharType="begin"/>
              <w:instrText xml:space="preserve"> PAGEREF _Toc233585280 \h </w:instrText>
              <w:fldChar w:fldCharType="separate"/>
              <w:t>49</w:t>
              <w:fldChar w:fldCharType="end"/>
            </w:r>
          </w:hyperlink>
        </w:p>
        <w:p w14:paraId="2F5BF39E" w14:textId="37BFEBB7"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81" w:history="1">
            <w:r>
              <w:rPr>
                <w:rStyle w:val="Hyperlink"/>
                <w:noProof/>
              </w:rPr>
              <w:t>3.4 Survival-Analysis-Derived Features</w:t>
            </w:r>
            <w:r>
              <w:rPr>
                <w:noProof/>
                <w:webHidden/>
              </w:rPr>
              <w:tab/>
              <w:fldChar w:fldCharType="begin"/>
              <w:instrText xml:space="preserve"> PAGEREF _Toc233585281 \h </w:instrText>
              <w:fldChar w:fldCharType="separate"/>
              <w:t>50</w:t>
              <w:fldChar w:fldCharType="end"/>
            </w:r>
          </w:hyperlink>
        </w:p>
        <w:p w14:paraId="759DB030" w14:textId="239FAA27"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82" w:history="1">
            <w:r>
              <w:rPr>
                <w:rStyle w:val="Hyperlink"/>
                <w:noProof/>
              </w:rPr>
              <w:t>3.5 Model Architectures</w:t>
            </w:r>
            <w:r>
              <w:rPr>
                <w:noProof/>
                <w:webHidden/>
              </w:rPr>
              <w:tab/>
              <w:fldChar w:fldCharType="begin"/>
              <w:instrText xml:space="preserve"> PAGEREF _Toc233585282 \h </w:instrText>
              <w:fldChar w:fldCharType="separate"/>
              <w:t>51</w:t>
              <w:fldChar w:fldCharType="end"/>
            </w:r>
          </w:hyperlink>
        </w:p>
        <w:p w14:paraId="3D7D1FB1" w14:textId="7EDE34EB"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83" w:history="1">
            <w:r>
              <w:rPr>
                <w:rStyle w:val="Hyperlink"/>
                <w:noProof/>
              </w:rPr>
              <w:t>3.6 Experimental Design and Evaluation</w:t>
            </w:r>
            <w:r>
              <w:rPr>
                <w:noProof/>
                <w:webHidden/>
              </w:rPr>
              <w:tab/>
              <w:fldChar w:fldCharType="begin"/>
              <w:instrText xml:space="preserve"> PAGEREF _Toc233585283 \h </w:instrText>
              <w:fldChar w:fldCharType="separate"/>
              <w:t>64</w:t>
              <w:fldChar w:fldCharType="end"/>
            </w:r>
          </w:hyperlink>
        </w:p>
        <w:p w14:paraId="0435A5B1" w14:textId="62F88789"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84" w:history="1">
            <w:r>
              <w:rPr>
                <w:rStyle w:val="Hyperlink"/>
                <w:noProof/>
              </w:rPr>
              <w:t>3.7 Ethical Considerations</w:t>
            </w:r>
            <w:r>
              <w:rPr>
                <w:noProof/>
                <w:webHidden/>
              </w:rPr>
              <w:tab/>
              <w:fldChar w:fldCharType="begin"/>
              <w:instrText xml:space="preserve"> PAGEREF _Toc233585284 \h </w:instrText>
              <w:fldChar w:fldCharType="separate"/>
              <w:t>67</w:t>
              <w:fldChar w:fldCharType="end"/>
            </w:r>
          </w:hyperlink>
        </w:p>
        <w:p w14:paraId="1922295B" w14:textId="4CE38D38" w:rsidR="005B33A8" w:rsidRDefault="005B33A8">
          <w:pPr>
            <w:pStyle w:val="TOC3"/>
            <w:rPr>
              <w:rFonts w:asciiTheme="minorHAnsi" w:eastAsiaTheme="minorEastAsia" w:hAnsiTheme="minorHAnsi" w:cstheme="minorBidi"/>
              <w:noProof/>
              <w:kern w:val="2"/>
              <w:sz w:val="22"/>
              <w:lang w:val="en-PH" w:eastAsia="en-PH"/>
              <w14:ligatures w14:val="standardContextual"/>
            </w:rPr>
          </w:pPr>
          <w:hyperlink w:anchor="_Toc233585285" w:history="1">
            <w:r>
              <w:rPr>
                <w:rStyle w:val="Hyperlink"/>
                <w:noProof/>
              </w:rPr>
              <w:t>3.7.1 Data Privacy</w:t>
            </w:r>
            <w:r>
              <w:rPr>
                <w:noProof/>
                <w:webHidden/>
              </w:rPr>
              <w:tab/>
              <w:fldChar w:fldCharType="begin"/>
              <w:instrText xml:space="preserve"> PAGEREF _Toc233585285 \h </w:instrText>
              <w:fldChar w:fldCharType="separate"/>
              <w:t>67</w:t>
              <w:fldChar w:fldCharType="end"/>
            </w:r>
          </w:hyperlink>
        </w:p>
        <w:p w14:paraId="4E99486C" w14:textId="06815BF3" w:rsidR="005B33A8" w:rsidRDefault="005B33A8">
          <w:pPr>
            <w:pStyle w:val="TOC3"/>
            <w:rPr>
              <w:rFonts w:asciiTheme="minorHAnsi" w:eastAsiaTheme="minorEastAsia" w:hAnsiTheme="minorHAnsi" w:cstheme="minorBidi"/>
              <w:noProof/>
              <w:kern w:val="2"/>
              <w:sz w:val="22"/>
              <w:lang w:val="en-PH" w:eastAsia="en-PH"/>
              <w14:ligatures w14:val="standardContextual"/>
            </w:rPr>
          </w:pPr>
          <w:hyperlink w:anchor="_Toc233585286" w:history="1">
            <w:r>
              <w:rPr>
                <w:rStyle w:val="Hyperlink"/>
                <w:noProof/>
              </w:rPr>
              <w:t>3.7.2 Ethical Use of Predictions</w:t>
            </w:r>
            <w:r>
              <w:rPr>
                <w:noProof/>
                <w:webHidden/>
              </w:rPr>
              <w:tab/>
              <w:fldChar w:fldCharType="begin"/>
              <w:instrText xml:space="preserve"> PAGEREF _Toc233585286 \h </w:instrText>
              <w:fldChar w:fldCharType="separate"/>
              <w:t>68</w:t>
              <w:fldChar w:fldCharType="end"/>
            </w:r>
          </w:hyperlink>
        </w:p>
        <w:p w14:paraId="697C3232" w14:textId="15458138"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287" w:history="1">
            <w:r>
              <w:rPr>
                <w:rStyle w:val="Hyperlink"/>
              </w:rPr>
              <w:t>CHAPTER 4: RESULTS AND DISCUSSION</w:t>
            </w:r>
            <w:r>
              <w:rPr>
                <w:webHidden/>
              </w:rPr>
              <w:tab/>
              <w:fldChar w:fldCharType="begin"/>
              <w:instrText xml:space="preserve"> PAGEREF _Toc233585287 \h </w:instrText>
              <w:fldChar w:fldCharType="separate"/>
              <w:t>69</w:t>
              <w:fldChar w:fldCharType="end"/>
            </w:r>
          </w:hyperlink>
        </w:p>
        <w:p w14:paraId="5C9E95A2" w14:textId="4E49E5C9"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88" w:history="1">
            <w:r>
              <w:rPr>
                <w:rStyle w:val="Hyperlink"/>
                <w:noProof/>
              </w:rPr>
              <w:t>4.1 RQ1: Performance of Ensemble Architectures vs. Base Classifiers</w:t>
            </w:r>
            <w:r>
              <w:rPr>
                <w:noProof/>
                <w:webHidden/>
              </w:rPr>
              <w:tab/>
              <w:fldChar w:fldCharType="begin"/>
              <w:instrText xml:space="preserve"> PAGEREF _Toc233585288 \h </w:instrText>
              <w:fldChar w:fldCharType="separate"/>
              <w:t>70</w:t>
              <w:fldChar w:fldCharType="end"/>
            </w:r>
          </w:hyperlink>
        </w:p>
        <w:p w14:paraId="4ADF5027" w14:textId="0D22CFA4"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89" w:history="1">
            <w:r>
              <w:rPr>
                <w:rStyle w:val="Hyperlink"/>
                <w:noProof/>
              </w:rPr>
              <w:t>4.2 RQ2: Impact of Survival-Analysis-Derived Features</w:t>
            </w:r>
            <w:r>
              <w:rPr>
                <w:noProof/>
                <w:webHidden/>
              </w:rPr>
              <w:tab/>
              <w:fldChar w:fldCharType="begin"/>
              <w:instrText xml:space="preserve"> PAGEREF _Toc233585289 \h </w:instrText>
              <w:fldChar w:fldCharType="separate"/>
              <w:t>73</w:t>
              <w:fldChar w:fldCharType="end"/>
            </w:r>
          </w:hyperlink>
        </w:p>
        <w:p w14:paraId="7412BC03" w14:textId="3A553FFB"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0" w:history="1">
            <w:r>
              <w:rPr>
                <w:rStyle w:val="Hyperlink"/>
                <w:noProof/>
              </w:rPr>
              <w:t>4.3 RQ3: Effect of Class-Balancing Strategies on Model Performance</w:t>
            </w:r>
            <w:r>
              <w:rPr>
                <w:noProof/>
                <w:webHidden/>
              </w:rPr>
              <w:tab/>
              <w:fldChar w:fldCharType="begin"/>
              <w:instrText xml:space="preserve"> PAGEREF _Toc233585290 \h </w:instrText>
              <w:fldChar w:fldCharType="separate"/>
              <w:t>74</w:t>
              <w:fldChar w:fldCharType="end"/>
            </w:r>
          </w:hyperlink>
        </w:p>
        <w:p w14:paraId="0DC3A2BF" w14:textId="3EE26D3C"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1" w:history="1">
            <w:r>
              <w:rPr>
                <w:rStyle w:val="Hyperlink"/>
                <w:noProof/>
              </w:rPr>
              <w:t>4.4 Metric Convergence and Model Selection Criteria</w:t>
            </w:r>
            <w:r>
              <w:rPr>
                <w:noProof/>
                <w:webHidden/>
              </w:rPr>
              <w:tab/>
              <w:fldChar w:fldCharType="begin"/>
              <w:instrText xml:space="preserve"> PAGEREF _Toc233585291 \h </w:instrText>
              <w:fldChar w:fldCharType="separate"/>
              <w:t>79</w:t>
              <w:fldChar w:fldCharType="end"/>
            </w:r>
          </w:hyperlink>
        </w:p>
        <w:p w14:paraId="25474358" w14:textId="30E3F7F6"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2" w:history="1">
            <w:r>
              <w:rPr>
                <w:rStyle w:val="Hyperlink"/>
                <w:noProof/>
              </w:rPr>
              <w:t>4.5 RQ4: Granular Feature Contribution</w:t>
            </w:r>
            <w:r>
              <w:rPr>
                <w:noProof/>
                <w:webHidden/>
              </w:rPr>
              <w:tab/>
              <w:fldChar w:fldCharType="begin"/>
              <w:instrText xml:space="preserve"> PAGEREF _Toc233585292 \h </w:instrText>
              <w:fldChar w:fldCharType="separate"/>
              <w:t>83</w:t>
              <w:fldChar w:fldCharType="end"/>
            </w:r>
          </w:hyperlink>
        </w:p>
        <w:p w14:paraId="39EF4529" w14:textId="30DF38FA"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3" w:history="1">
            <w:r>
              <w:rPr>
                <w:rStyle w:val="Hyperlink"/>
                <w:noProof/>
              </w:rPr>
              <w:t>4.6 Prototype Demonstration</w:t>
            </w:r>
            <w:r>
              <w:rPr>
                <w:noProof/>
                <w:webHidden/>
              </w:rPr>
              <w:tab/>
              <w:fldChar w:fldCharType="begin"/>
              <w:instrText xml:space="preserve"> PAGEREF _Toc233585293 \h </w:instrText>
              <w:fldChar w:fldCharType="separate"/>
              <w:t>86</w:t>
              <w:fldChar w:fldCharType="end"/>
            </w:r>
          </w:hyperlink>
        </w:p>
        <w:p w14:paraId="2B3D0698" w14:textId="66DB5717"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4" w:history="1">
            <w:r>
              <w:rPr>
                <w:rStyle w:val="Hyperlink"/>
                <w:noProof/>
              </w:rPr>
              <w:t>4.7 Benchmark Dataset Generalizability</w:t>
            </w:r>
            <w:r>
              <w:rPr>
                <w:noProof/>
                <w:webHidden/>
              </w:rPr>
              <w:tab/>
              <w:fldChar w:fldCharType="begin"/>
              <w:instrText xml:space="preserve"> PAGEREF _Toc233585294 \h </w:instrText>
              <w:fldChar w:fldCharType="separate"/>
              <w:t>92</w:t>
              <w:fldChar w:fldCharType="end"/>
            </w:r>
          </w:hyperlink>
        </w:p>
        <w:p w14:paraId="5F32C0BF" w14:textId="49121A2F"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295" w:history="1">
            <w:r>
              <w:rPr>
                <w:rStyle w:val="Hyperlink"/>
              </w:rPr>
              <w:t>CHAPTER 5: CONCLUSION AND RECOMMENDATION</w:t>
            </w:r>
            <w:r>
              <w:rPr>
                <w:webHidden/>
              </w:rPr>
              <w:tab/>
              <w:fldChar w:fldCharType="begin"/>
              <w:instrText xml:space="preserve"> PAGEREF _Toc233585295 \h </w:instrText>
              <w:fldChar w:fldCharType="separate"/>
              <w:t>93</w:t>
              <w:fldChar w:fldCharType="end"/>
            </w:r>
          </w:hyperlink>
        </w:p>
        <w:p w14:paraId="39193CD3" w14:textId="2A6938CB"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6" w:history="1">
            <w:r>
              <w:rPr>
                <w:rStyle w:val="Hyperlink"/>
                <w:noProof/>
              </w:rPr>
              <w:t>5.1 Summary of Findings</w:t>
            </w:r>
            <w:r>
              <w:rPr>
                <w:noProof/>
                <w:webHidden/>
              </w:rPr>
              <w:tab/>
              <w:fldChar w:fldCharType="begin"/>
              <w:instrText xml:space="preserve"> PAGEREF _Toc233585296 \h </w:instrText>
              <w:fldChar w:fldCharType="separate"/>
              <w:t>93</w:t>
              <w:fldChar w:fldCharType="end"/>
            </w:r>
          </w:hyperlink>
        </w:p>
        <w:p w14:paraId="183F318A" w14:textId="70F77D88"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7" w:history="1">
            <w:r>
              <w:rPr>
                <w:rStyle w:val="Hyperlink"/>
                <w:noProof/>
              </w:rPr>
              <w:t>5.2 Implications for Practice</w:t>
            </w:r>
            <w:r>
              <w:rPr>
                <w:noProof/>
                <w:webHidden/>
              </w:rPr>
              <w:tab/>
              <w:fldChar w:fldCharType="begin"/>
              <w:instrText xml:space="preserve"> PAGEREF _Toc233585297 \h </w:instrText>
              <w:fldChar w:fldCharType="separate"/>
              <w:t>94</w:t>
              <w:fldChar w:fldCharType="end"/>
            </w:r>
          </w:hyperlink>
        </w:p>
        <w:p w14:paraId="4B5C282A" w14:textId="7C87AF9F"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8" w:history="1">
            <w:r>
              <w:rPr>
                <w:rStyle w:val="Hyperlink"/>
                <w:noProof/>
              </w:rPr>
              <w:t>5.3 Recommendation for Continuous Calibration</w:t>
            </w:r>
            <w:r>
              <w:rPr>
                <w:noProof/>
                <w:webHidden/>
              </w:rPr>
              <w:tab/>
              <w:fldChar w:fldCharType="begin"/>
              <w:instrText xml:space="preserve"> PAGEREF _Toc233585298 \h </w:instrText>
              <w:fldChar w:fldCharType="separate"/>
              <w:t>94</w:t>
              <w:fldChar w:fldCharType="end"/>
            </w:r>
          </w:hyperlink>
        </w:p>
        <w:p w14:paraId="297DB378" w14:textId="694C26C0"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299" w:history="1">
            <w:r>
              <w:rPr>
                <w:rStyle w:val="Hyperlink"/>
                <w:noProof/>
              </w:rPr>
              <w:t>5.4 Future Directions</w:t>
            </w:r>
            <w:r>
              <w:rPr>
                <w:noProof/>
                <w:webHidden/>
              </w:rPr>
              <w:tab/>
              <w:fldChar w:fldCharType="begin"/>
              <w:instrText xml:space="preserve"> PAGEREF _Toc233585299 \h </w:instrText>
              <w:fldChar w:fldCharType="separate"/>
              <w:t>94</w:t>
              <w:fldChar w:fldCharType="end"/>
            </w:r>
          </w:hyperlink>
        </w:p>
        <w:p w14:paraId="565ABEC3" w14:textId="04128320"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0" w:history="1">
            <w:r>
              <w:rPr>
                <w:rStyle w:val="Hyperlink"/>
                <w:noProof/>
              </w:rPr>
              <w:t>5.5 Conclusion</w:t>
            </w:r>
            <w:r>
              <w:rPr>
                <w:noProof/>
                <w:webHidden/>
              </w:rPr>
              <w:tab/>
              <w:fldChar w:fldCharType="begin"/>
              <w:instrText xml:space="preserve"> PAGEREF _Toc233585300 \h </w:instrText>
              <w:fldChar w:fldCharType="separate"/>
              <w:t>96</w:t>
              <w:fldChar w:fldCharType="end"/>
            </w:r>
          </w:hyperlink>
        </w:p>
        <w:p w14:paraId="72551335" w14:textId="47652AB0"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301" w:history="1">
            <w:r>
              <w:rPr>
                <w:rStyle w:val="Hyperlink"/>
              </w:rPr>
              <w:t>APPENDICES</w:t>
            </w:r>
            <w:r>
              <w:rPr>
                <w:webHidden/>
              </w:rPr>
              <w:tab/>
              <w:fldChar w:fldCharType="begin"/>
              <w:instrText xml:space="preserve"> PAGEREF _Toc233585301 \h </w:instrText>
              <w:fldChar w:fldCharType="separate"/>
              <w:t>98</w:t>
              <w:fldChar w:fldCharType="end"/>
            </w:r>
          </w:hyperlink>
        </w:p>
        <w:p w14:paraId="44CEC653" w14:textId="64B15106"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2" w:history="1">
            <w:r>
              <w:rPr>
                <w:rStyle w:val="Hyperlink"/>
                <w:noProof/>
              </w:rPr>
              <w:t>APPENDIX A: Days Sales Outstanding per Plan Type (calendar year 2023)</w:t>
            </w:r>
            <w:r>
              <w:rPr>
                <w:noProof/>
                <w:webHidden/>
              </w:rPr>
              <w:tab/>
              <w:fldChar w:fldCharType="begin"/>
              <w:instrText xml:space="preserve"> PAGEREF _Toc233585302 \h </w:instrText>
              <w:fldChar w:fldCharType="separate"/>
              <w:t>98</w:t>
              <w:fldChar w:fldCharType="end"/>
            </w:r>
          </w:hyperlink>
        </w:p>
        <w:p w14:paraId="4B9B318C" w14:textId="52CB934A"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3" w:history="1">
            <w:r>
              <w:rPr>
                <w:rStyle w:val="Hyperlink"/>
                <w:noProof/>
              </w:rPr>
              <w:t>APPENDIX B: Days Sales Outstanding per Plan Type (calendar year 2024)</w:t>
            </w:r>
            <w:r>
              <w:rPr>
                <w:noProof/>
                <w:webHidden/>
              </w:rPr>
              <w:tab/>
              <w:fldChar w:fldCharType="begin"/>
              <w:instrText xml:space="preserve"> PAGEREF _Toc233585303 \h </w:instrText>
              <w:fldChar w:fldCharType="separate"/>
              <w:t>99</w:t>
              <w:fldChar w:fldCharType="end"/>
            </w:r>
          </w:hyperlink>
        </w:p>
        <w:p w14:paraId="1BC8A812" w14:textId="497754C4"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4" w:history="1">
            <w:r>
              <w:rPr>
                <w:rStyle w:val="Hyperlink"/>
                <w:noProof/>
              </w:rPr>
              <w:t>APPENDIX C: Days Sales Outstanding per Plan Type (calendar year 2025)</w:t>
            </w:r>
            <w:r>
              <w:rPr>
                <w:noProof/>
                <w:webHidden/>
              </w:rPr>
              <w:tab/>
              <w:fldChar w:fldCharType="begin"/>
              <w:instrText xml:space="preserve"> PAGEREF _Toc233585304 \h </w:instrText>
              <w:fldChar w:fldCharType="separate"/>
              <w:t>100</w:t>
              <w:fldChar w:fldCharType="end"/>
            </w:r>
          </w:hyperlink>
        </w:p>
        <w:p w14:paraId="7BE476B4" w14:textId="7F5B3572"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5" w:history="1">
            <w:r>
              <w:rPr>
                <w:rStyle w:val="Hyperlink"/>
                <w:noProof/>
              </w:rPr>
              <w:t>APPENDIX D: Feature importance from the paper titled “A MACHINE-LEARNING APPROACH TOWARDS SOLVING THE INVOICE PAYMENT PREDICTION PROBLEM”</w:t>
            </w:r>
            <w:r>
              <w:rPr>
                <w:noProof/>
                <w:webHidden/>
              </w:rPr>
              <w:tab/>
              <w:fldChar w:fldCharType="begin"/>
              <w:instrText xml:space="preserve"> PAGEREF _Toc233585305 \h </w:instrText>
              <w:fldChar w:fldCharType="separate"/>
              <w:t>101</w:t>
              <w:fldChar w:fldCharType="end"/>
            </w:r>
          </w:hyperlink>
        </w:p>
        <w:p w14:paraId="06AAD221" w14:textId="6ACA7FDC"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6" w:history="1">
            <w:r>
              <w:rPr>
                <w:rStyle w:val="Hyperlink"/>
                <w:noProof/>
              </w:rPr>
              <w:t>APPENDIX E: Feature importance from the paper titled “A MACHINE-LEARNING APPROACH TOWARDS SOLVING THE INVOICE PAYMENT PREDICTION PROBLEM”</w:t>
            </w:r>
            <w:r>
              <w:rPr>
                <w:noProof/>
                <w:webHidden/>
              </w:rPr>
              <w:tab/>
              <w:fldChar w:fldCharType="begin"/>
              <w:instrText xml:space="preserve"> PAGEREF _Toc233585306 \h </w:instrText>
              <w:fldChar w:fldCharType="separate"/>
              <w:t>102</w:t>
              <w:fldChar w:fldCharType="end"/>
            </w:r>
          </w:hyperlink>
        </w:p>
        <w:p w14:paraId="624BDD7B" w14:textId="0EE69337"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7" w:history="1">
            <w:r>
              <w:rPr>
                <w:rStyle w:val="Hyperlink"/>
                <w:noProof/>
              </w:rPr>
              <w:t>APPENDIX F: Correlation scores between features and the days to payment variable from the paper “A framework for modeling customer invoice payment prediction</w:t>
            </w:r>
            <w:r>
              <w:rPr>
                <w:noProof/>
                <w:webHidden/>
              </w:rPr>
              <w:tab/>
              <w:fldChar w:fldCharType="begin"/>
              <w:instrText xml:space="preserve"> PAGEREF _Toc233585307 \h </w:instrText>
              <w:fldChar w:fldCharType="separate"/>
              <w:t>103</w:t>
              <w:fldChar w:fldCharType="end"/>
            </w:r>
          </w:hyperlink>
        </w:p>
        <w:p w14:paraId="137C98F2" w14:textId="0CF63FF3"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8" w:history="1">
            <w:r>
              <w:rPr>
                <w:rStyle w:val="Hyperlink"/>
                <w:noProof/>
              </w:rPr>
              <w:t>APPENDIX G: Institutional Communication and Authorization Letter</w:t>
            </w:r>
            <w:r>
              <w:rPr>
                <w:noProof/>
                <w:webHidden/>
              </w:rPr>
              <w:tab/>
              <w:fldChar w:fldCharType="begin"/>
              <w:instrText xml:space="preserve"> PAGEREF _Toc233585308 \h </w:instrText>
              <w:fldChar w:fldCharType="separate"/>
              <w:t>104</w:t>
              <w:fldChar w:fldCharType="end"/>
            </w:r>
          </w:hyperlink>
        </w:p>
        <w:p w14:paraId="2E04268D" w14:textId="7ED91362"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09" w:history="1">
            <w:r>
              <w:rPr>
                <w:rStyle w:val="Hyperlink"/>
                <w:noProof/>
              </w:rPr>
              <w:t>APPENDIX H: Dataset Description and Variable Dictionary</w:t>
            </w:r>
            <w:r>
              <w:rPr>
                <w:noProof/>
                <w:webHidden/>
              </w:rPr>
              <w:tab/>
              <w:fldChar w:fldCharType="begin"/>
              <w:instrText xml:space="preserve"> PAGEREF _Toc233585309 \h </w:instrText>
              <w:fldChar w:fldCharType="separate"/>
              <w:t>109</w:t>
              <w:fldChar w:fldCharType="end"/>
            </w:r>
          </w:hyperlink>
        </w:p>
        <w:p w14:paraId="7047B042" w14:textId="37305728"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10" w:history="1">
            <w:r>
              <w:rPr>
                <w:rStyle w:val="Hyperlink"/>
                <w:noProof/>
              </w:rPr>
              <w:t>APPENDIX I: Curriculum Vitae of Rafael Joseph T. Beley</w:t>
            </w:r>
            <w:r>
              <w:rPr>
                <w:noProof/>
                <w:webHidden/>
              </w:rPr>
              <w:tab/>
              <w:fldChar w:fldCharType="begin"/>
              <w:instrText xml:space="preserve"> PAGEREF _Toc233585310 \h </w:instrText>
              <w:fldChar w:fldCharType="separate"/>
              <w:t>116</w:t>
              <w:fldChar w:fldCharType="end"/>
            </w:r>
          </w:hyperlink>
        </w:p>
        <w:p w14:paraId="0941C74B" w14:textId="6266686C" w:rsidR="005B33A8" w:rsidRDefault="005B33A8">
          <w:pPr>
            <w:pStyle w:val="TOC2"/>
            <w:rPr>
              <w:rFonts w:asciiTheme="minorHAnsi" w:eastAsiaTheme="minorEastAsia" w:hAnsiTheme="minorHAnsi" w:cstheme="minorBidi"/>
              <w:noProof/>
              <w:kern w:val="2"/>
              <w:sz w:val="22"/>
              <w:lang w:val="en-PH" w:eastAsia="en-PH"/>
              <w14:ligatures w14:val="standardContextual"/>
            </w:rPr>
          </w:pPr>
          <w:hyperlink w:anchor="_Toc233585311" w:history="1">
            <w:r>
              <w:rPr>
                <w:rStyle w:val="Hyperlink"/>
                <w:noProof/>
              </w:rPr>
              <w:t>APPENDIX J: Curriculum Vitae of Christine Julliane L. Reyes</w:t>
            </w:r>
            <w:r>
              <w:rPr>
                <w:noProof/>
                <w:webHidden/>
              </w:rPr>
              <w:tab/>
              <w:fldChar w:fldCharType="begin"/>
              <w:instrText xml:space="preserve"> PAGEREF _Toc233585311 \h </w:instrText>
              <w:fldChar w:fldCharType="separate"/>
              <w:t>118</w:t>
              <w:fldChar w:fldCharType="end"/>
            </w:r>
          </w:hyperlink>
        </w:p>
        <w:p w14:paraId="3B8750B4" w14:textId="6DCBA599" w:rsidR="005B33A8" w:rsidRDefault="005B33A8">
          <w:pPr>
            <w:pStyle w:val="TOC1"/>
            <w:rPr>
              <w:rFonts w:asciiTheme="minorHAnsi" w:eastAsiaTheme="minorEastAsia" w:hAnsiTheme="minorHAnsi" w:cstheme="minorBidi"/>
              <w:b w:val="0"/>
              <w:bCs w:val="0"/>
              <w:kern w:val="2"/>
              <w:sz w:val="22"/>
              <w:lang w:val="en-PH" w:eastAsia="en-PH"/>
              <w14:ligatures w14:val="standardContextual"/>
            </w:rPr>
          </w:pPr>
          <w:hyperlink w:anchor="_Toc233585312" w:history="1">
            <w:r>
              <w:rPr>
                <w:rStyle w:val="Hyperlink"/>
              </w:rPr>
              <w:t>REFERENCES</w:t>
            </w:r>
            <w:r>
              <w:rPr>
                <w:webHidden/>
              </w:rPr>
              <w:tab/>
              <w:fldChar w:fldCharType="begin"/>
              <w:instrText xml:space="preserve"> PAGEREF _Toc233585312 \h </w:instrText>
              <w:fldChar w:fldCharType="separate"/>
              <w:t>124</w:t>
              <w:fldChar w:fldCharType="end"/>
            </w:r>
          </w:hyperlink>
        </w:p>
        <w:p w14:paraId="678504A5" w14:textId="512FD5AB" w:rsidR="0083039C" w:rsidRPr="00FD0F64" w:rsidRDefault="0083039C" w:rsidP="007F779D">
          <w:pPr>
            <w:ind w:firstLine="0"/>
          </w:pPr>
          <w:r>
            <w:rPr>
              <w:b/>
              <w:bCs/>
              <w:noProof/>
            </w:rPr>
            <w:fldChar w:fldCharType="end"/>
          </w:r>
        </w:p>
      </w:sdtContent>
    </w:sdt>
    <w:p w14:paraId="75101484" w14:textId="77777777" w:rsidR="0083039C" w:rsidRPr="00FD0F64" w:rsidRDefault="0083039C" w:rsidP="001A282A">
      <w:pPr>
        <w:pStyle w:val="NoSpacing"/>
        <w:tabs>
          <w:tab w:val="right" w:pos="8856"/>
        </w:tabs>
        <w:spacing w:line="480" w:lineRule="auto"/>
        <w:jc w:val="center"/>
        <w:rPr>
          <w:rFonts w:ascii="Times New Roman" w:hAnsi="Times New Roman"/>
          <w:b/>
          <w:sz w:val="24"/>
          <w:szCs w:val="24"/>
        </w:rPr>
      </w:pPr>
    </w:p>
    <w:p w14:paraId="04EFFF59" w14:textId="77777777" w:rsidR="0083039C" w:rsidRPr="00FD0F64" w:rsidRDefault="0083039C" w:rsidP="001A282A">
      <w:pPr>
        <w:rPr>
          <w:shd w:val="clear" w:color="auto" w:fill="FFFFFF"/>
        </w:rPr>
        <w:sectPr w:rsidR="0083039C" w:rsidRPr="00FD0F64" w:rsidSect="00976ECF">
          <w:footerReference w:type="default" r:id="rId9"/>
          <w:endnotePr>
            <w:numFmt w:val="decimal"/>
          </w:endnotePr>
          <w:pgSz w:w="12240" w:h="15840"/>
          <w:pgMar w:top="1440" w:right="1440" w:bottom="1440" w:left="2160" w:header="720" w:footer="720" w:gutter="0"/>
          <w:pgNumType w:fmt="lowerRoman" w:start="1"/>
          <w:cols w:space="720"/>
          <w:titlePg/>
          <w:docGrid w:linePitch="360"/>
        </w:sectPr>
      </w:pPr>
    </w:p>
    <w:p w14:paraId="0623A252" w14:textId="77777777" w:rsidR="00332002" w:rsidRPr="00FD0F64" w:rsidRDefault="0083039C" w:rsidP="00392703">
      <w:pPr>
        <w:pStyle w:val="Heading1"/>
        <w:ind w:left="360"/>
        <w:rPr>
          <w:shd w:val="clear" w:color="auto" w:fill="FFFFFF"/>
        </w:rPr>
      </w:pPr>
      <w:bookmarkStart w:id="13" w:name="_Toc204781952"/>
      <w:bookmarkStart w:id="14" w:name="_Toc204781977"/>
      <w:bookmarkStart w:id="15" w:name="_Toc233585249"/>
      <w:r>
        <w:rPr>
          <w:shd w:val="clear" w:color="auto" w:fill="FFFFFF"/>
        </w:rPr>
        <w:lastRenderedPageBreak/>
        <w:t>LIST OF FIGURES</w:t>
      </w:r>
      <w:bookmarkEnd w:id="13"/>
      <w:bookmarkEnd w:id="14"/>
      <w:bookmarkEnd w:id="15"/>
    </w:p>
    <w:p w14:paraId="2E2A83F0" w14:textId="26B0E622" w:rsidR="005B33A8" w:rsidRDefault="00EE139C">
      <w:pPr>
        <w:pStyle w:val="TableofFigures"/>
        <w:rPr>
          <w:rFonts w:asciiTheme="minorHAnsi" w:eastAsiaTheme="minorEastAsia" w:hAnsiTheme="minorHAnsi" w:cstheme="minorBidi"/>
          <w:kern w:val="2"/>
          <w:sz w:val="22"/>
          <w:lang w:val="en-PH" w:eastAsia="en-PH"/>
          <w14:ligatures w14:val="standardContextual"/>
        </w:rPr>
      </w:pPr>
      <w:r>
        <w:rPr>
          <w:shd w:val="clear" w:color="auto" w:fill="FFFFFF"/>
        </w:rPr>
        <w:fldChar w:fldCharType="begin"/>
        <w:instrText xml:space="preserve"> TOC \h \z \c "Figure" </w:instrText>
        <w:fldChar w:fldCharType="separate"/>
      </w:r>
      <w:hyperlink w:anchor="_Toc233585313" w:history="1">
        <w:r>
          <w:rPr>
            <w:rStyle w:val="Hyperlink"/>
          </w:rPr>
          <w:t>Figure 2.1: Conceptual Framework.</w:t>
        </w:r>
        <w:r>
          <w:rPr>
            <w:webHidden/>
          </w:rPr>
          <w:tab/>
          <w:fldChar w:fldCharType="begin"/>
          <w:instrText xml:space="preserve"> PAGEREF _Toc233585313 \h </w:instrText>
          <w:fldChar w:fldCharType="separate"/>
          <w:t>36</w:t>
          <w:fldChar w:fldCharType="end"/>
        </w:r>
      </w:hyperlink>
    </w:p>
    <w:p w14:paraId="30146601" w14:textId="32DF7550"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14" w:history="1">
        <w:r>
          <w:rPr>
            <w:rStyle w:val="Hyperlink"/>
          </w:rPr>
          <w:t>Figure 3.1: Entity-relationship diagram (ERD) of the institutional dataset.</w:t>
        </w:r>
        <w:r>
          <w:rPr>
            <w:webHidden/>
          </w:rPr>
          <w:tab/>
          <w:fldChar w:fldCharType="begin"/>
          <w:instrText xml:space="preserve"> PAGEREF _Toc233585314 \h </w:instrText>
          <w:fldChar w:fldCharType="separate"/>
          <w:t>41</w:t>
          <w:fldChar w:fldCharType="end"/>
        </w:r>
      </w:hyperlink>
    </w:p>
    <w:p w14:paraId="199A09B6" w14:textId="78883009"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15" w:history="1">
        <w:r>
          <w:rPr>
            <w:rStyle w:val="Hyperlink"/>
          </w:rPr>
          <w:t>Figure 3.2: Level-1 DFD of the Pre-Processing component.</w:t>
        </w:r>
        <w:r>
          <w:rPr>
            <w:webHidden/>
          </w:rPr>
          <w:tab/>
          <w:fldChar w:fldCharType="begin"/>
          <w:instrText xml:space="preserve"> PAGEREF _Toc233585315 \h </w:instrText>
          <w:fldChar w:fldCharType="separate"/>
          <w:t>42</w:t>
          <w:fldChar w:fldCharType="end"/>
        </w:r>
      </w:hyperlink>
    </w:p>
    <w:p w14:paraId="45733A52" w14:textId="3BE7FFB1"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16" w:history="1">
        <w:r>
          <w:rPr>
            <w:rStyle w:val="Hyperlink"/>
          </w:rPr>
          <w:t>Figure 3.3: Level-2 DFD of Process 1.0 — Data Importation.</w:t>
        </w:r>
        <w:r>
          <w:rPr>
            <w:webHidden/>
          </w:rPr>
          <w:tab/>
          <w:fldChar w:fldCharType="begin"/>
          <w:instrText xml:space="preserve"> PAGEREF _Toc233585316 \h </w:instrText>
          <w:fldChar w:fldCharType="separate"/>
          <w:t>43</w:t>
          <w:fldChar w:fldCharType="end"/>
        </w:r>
      </w:hyperlink>
    </w:p>
    <w:p w14:paraId="70914642" w14:textId="644538C9"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17" w:history="1">
        <w:r>
          <w:rPr>
            <w:rStyle w:val="Hyperlink"/>
          </w:rPr>
          <w:t>Figure 3.4: Level-2 DFD of Process 5.0 — Data Cleaning.</w:t>
        </w:r>
        <w:r>
          <w:rPr>
            <w:webHidden/>
          </w:rPr>
          <w:tab/>
          <w:fldChar w:fldCharType="begin"/>
          <w:instrText xml:space="preserve"> PAGEREF _Toc233585317 \h </w:instrText>
          <w:fldChar w:fldCharType="separate"/>
          <w:t>45</w:t>
          <w:fldChar w:fldCharType="end"/>
        </w:r>
      </w:hyperlink>
    </w:p>
    <w:p w14:paraId="10415674" w14:textId="2311D3D9"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18" w:history="1">
        <w:r>
          <w:rPr>
            <w:rStyle w:val="Hyperlink"/>
          </w:rPr>
          <w:t>Figure 3.5: Level-1 DFD of the Modelling component.</w:t>
        </w:r>
        <w:r>
          <w:rPr>
            <w:webHidden/>
          </w:rPr>
          <w:tab/>
          <w:fldChar w:fldCharType="begin"/>
          <w:instrText xml:space="preserve"> PAGEREF _Toc233585318 \h </w:instrText>
          <w:fldChar w:fldCharType="separate"/>
          <w:t>53</w:t>
          <w:fldChar w:fldCharType="end"/>
        </w:r>
      </w:hyperlink>
    </w:p>
    <w:p w14:paraId="359E5903" w14:textId="490CEF2F"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19" w:history="1">
        <w:r>
          <w:rPr>
            <w:rStyle w:val="Hyperlink"/>
          </w:rPr>
          <w:t>Figure 3.6: Level-2 DFD of Process 7.5 — Cox Survival Analysis Tuning.</w:t>
        </w:r>
        <w:r>
          <w:rPr>
            <w:webHidden/>
          </w:rPr>
          <w:tab/>
          <w:fldChar w:fldCharType="begin"/>
          <w:instrText xml:space="preserve"> PAGEREF _Toc233585319 \h </w:instrText>
          <w:fldChar w:fldCharType="separate"/>
          <w:t>54</w:t>
          <w:fldChar w:fldCharType="end"/>
        </w:r>
      </w:hyperlink>
    </w:p>
    <w:p w14:paraId="16C99CC3" w14:textId="2DEF9AD6"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0" w:history="1">
        <w:r>
          <w:rPr>
            <w:rStyle w:val="Hyperlink"/>
          </w:rPr>
          <w:t>Figure 3.7: Level-2 DFD of Process 8.5 — Survival Feature Generation.</w:t>
        </w:r>
        <w:r>
          <w:rPr>
            <w:webHidden/>
          </w:rPr>
          <w:tab/>
          <w:fldChar w:fldCharType="begin"/>
          <w:instrText xml:space="preserve"> PAGEREF _Toc233585320 \h </w:instrText>
          <w:fldChar w:fldCharType="separate"/>
          <w:t>55</w:t>
          <w:fldChar w:fldCharType="end"/>
        </w:r>
      </w:hyperlink>
    </w:p>
    <w:p w14:paraId="4F8FA20E" w14:textId="562DE4FB"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1" w:history="1">
        <w:r>
          <w:rPr>
            <w:rStyle w:val="Hyperlink"/>
          </w:rPr>
          <w:t>Figure 3.8: Level-2 DFD of Process 8.0 — Model Building.</w:t>
        </w:r>
        <w:r>
          <w:rPr>
            <w:webHidden/>
          </w:rPr>
          <w:tab/>
          <w:fldChar w:fldCharType="begin"/>
          <w:instrText xml:space="preserve"> PAGEREF _Toc233585321 \h </w:instrText>
          <w:fldChar w:fldCharType="separate"/>
          <w:t>57</w:t>
          <w:fldChar w:fldCharType="end"/>
        </w:r>
      </w:hyperlink>
    </w:p>
    <w:p w14:paraId="5448DC49" w14:textId="21169111"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2" w:history="1">
        <w:r>
          <w:rPr>
            <w:rStyle w:val="Hyperlink"/>
          </w:rPr>
          <w:t>Figure 3.9: Distribution of payment statuses.</w:t>
        </w:r>
        <w:r>
          <w:rPr>
            <w:webHidden/>
          </w:rPr>
          <w:tab/>
          <w:fldChar w:fldCharType="begin"/>
          <w:instrText xml:space="preserve"> PAGEREF _Toc233585322 \h </w:instrText>
          <w:fldChar w:fldCharType="separate"/>
          <w:t>65</w:t>
          <w:fldChar w:fldCharType="end"/>
        </w:r>
      </w:hyperlink>
    </w:p>
    <w:p w14:paraId="0A37B743" w14:textId="0A266260"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3" w:history="1">
        <w:r>
          <w:rPr>
            <w:rStyle w:val="Hyperlink"/>
          </w:rPr>
          <w:t>Figure 3.10: Level-1 DFD of the Analysis component.</w:t>
        </w:r>
        <w:r>
          <w:rPr>
            <w:webHidden/>
          </w:rPr>
          <w:tab/>
          <w:fldChar w:fldCharType="begin"/>
          <w:instrText xml:space="preserve"> PAGEREF _Toc233585323 \h </w:instrText>
          <w:fldChar w:fldCharType="separate"/>
          <w:t>66</w:t>
          <w:fldChar w:fldCharType="end"/>
        </w:r>
      </w:hyperlink>
    </w:p>
    <w:p w14:paraId="167E378B" w14:textId="0D59B0E5"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4" w:history="1">
        <w:r>
          <w:rPr>
            <w:rStyle w:val="Hyperlink"/>
          </w:rPr>
          <w:t>Figure 4.1: Ordinal &amp; Two-Stage Variants vs. Base Classifiers (lift in F1 and AUC metrics).</w:t>
        </w:r>
        <w:r>
          <w:rPr>
            <w:webHidden/>
          </w:rPr>
          <w:tab/>
          <w:fldChar w:fldCharType="begin"/>
          <w:instrText xml:space="preserve"> PAGEREF _Toc233585324 \h </w:instrText>
          <w:fldChar w:fldCharType="separate"/>
          <w:t>71</w:t>
          <w:fldChar w:fldCharType="end"/>
        </w:r>
      </w:hyperlink>
    </w:p>
    <w:p w14:paraId="03259DCD" w14:textId="77F1113C"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5" w:history="1">
        <w:r>
          <w:rPr>
            <w:rStyle w:val="Hyperlink"/>
          </w:rPr>
          <w:t>Figure 4.2: F1 Macro by Model &amp; Balance Strategy (enhanced features).</w:t>
        </w:r>
        <w:r>
          <w:rPr>
            <w:webHidden/>
          </w:rPr>
          <w:tab/>
          <w:fldChar w:fldCharType="begin"/>
          <w:instrText xml:space="preserve"> PAGEREF _Toc233585325 \h </w:instrText>
          <w:fldChar w:fldCharType="separate"/>
          <w:t>74</w:t>
          <w:fldChar w:fldCharType="end"/>
        </w:r>
      </w:hyperlink>
    </w:p>
    <w:p w14:paraId="55236DD4" w14:textId="2E377A51"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6" w:history="1">
        <w:r>
          <w:rPr>
            <w:rStyle w:val="Hyperlink"/>
          </w:rPr>
          <w:t>Figure 4.3: AUC Macro by Model &amp; Balance Strategy (enhanced features).</w:t>
        </w:r>
        <w:r>
          <w:rPr>
            <w:webHidden/>
          </w:rPr>
          <w:tab/>
          <w:fldChar w:fldCharType="begin"/>
          <w:instrText xml:space="preserve"> PAGEREF _Toc233585326 \h </w:instrText>
          <w:fldChar w:fldCharType="separate"/>
          <w:t>76</w:t>
          <w:fldChar w:fldCharType="end"/>
        </w:r>
      </w:hyperlink>
    </w:p>
    <w:p w14:paraId="4B394C3D" w14:textId="082ED490" w:rsidR="005B33A8" w:rsidRP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7" w:history="1">
        <w:r>
          <w:rPr>
            <w:rStyle w:val="Hyperlink"/>
          </w:rPr>
          <w:t>Figure 4.4: F1 Macro by Model &amp; Balance Strategy (baseline features).</w:t>
        </w:r>
        <w:r>
          <w:rPr>
            <w:webHidden/>
          </w:rPr>
          <w:tab/>
          <w:fldChar w:fldCharType="begin"/>
          <w:instrText xml:space="preserve"> PAGEREF _Toc233585327 \h </w:instrText>
          <w:fldChar w:fldCharType="separate"/>
          <w:t>77</w:t>
          <w:fldChar w:fldCharType="end"/>
        </w:r>
      </w:hyperlink>
    </w:p>
    <w:p w14:paraId="702E920E" w14:textId="244B0FEA" w:rsidR="005B33A8" w:rsidRP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8" w:history="1">
        <w:r>
          <w:rPr>
            <w:rStyle w:val="Hyperlink"/>
          </w:rPr>
          <w:t>Figure 4.5: ROC Curves for Top Models.</w:t>
        </w:r>
        <w:r>
          <w:rPr>
            <w:webHidden/>
          </w:rPr>
          <w:tab/>
          <w:fldChar w:fldCharType="begin"/>
          <w:instrText xml:space="preserve"> PAGEREF _Toc233585328 \h </w:instrText>
          <w:fldChar w:fldCharType="separate"/>
          <w:t>80</w:t>
          <w:fldChar w:fldCharType="end"/>
        </w:r>
      </w:hyperlink>
    </w:p>
    <w:p w14:paraId="45A61161" w14:textId="7FC5B172" w:rsidR="005B33A8" w:rsidRP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29" w:history="1">
        <w:r>
          <w:rPr>
            <w:rStyle w:val="Hyperlink"/>
          </w:rPr>
          <w:t>Figure 4.6: Confusion Matrices for Top 3 Models.</w:t>
        </w:r>
        <w:r>
          <w:rPr>
            <w:webHidden/>
          </w:rPr>
          <w:tab/>
          <w:fldChar w:fldCharType="begin"/>
          <w:instrText xml:space="preserve"> PAGEREF _Toc233585329 \h </w:instrText>
          <w:fldChar w:fldCharType="separate"/>
          <w:t>81</w:t>
          <w:fldChar w:fldCharType="end"/>
        </w:r>
      </w:hyperlink>
    </w:p>
    <w:p w14:paraId="0EF59E78" w14:textId="49C8E428" w:rsidR="005B33A8" w:rsidRP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30" w:history="1">
        <w:r>
          <w:rPr>
            <w:rStyle w:val="Hyperlink"/>
          </w:rPr>
          <w:t>Figure 4.7: Feature Importance across Model Types (1 of 2).</w:t>
        </w:r>
        <w:r>
          <w:rPr>
            <w:webHidden/>
          </w:rPr>
          <w:tab/>
          <w:fldChar w:fldCharType="begin"/>
          <w:instrText xml:space="preserve"> PAGEREF _Toc233585330 \h </w:instrText>
          <w:fldChar w:fldCharType="separate"/>
          <w:t>83</w:t>
          <w:fldChar w:fldCharType="end"/>
        </w:r>
      </w:hyperlink>
    </w:p>
    <w:p w14:paraId="7FCD081A" w14:textId="7D09FADC" w:rsidR="005B33A8" w:rsidRP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31" w:history="1">
        <w:r>
          <w:rPr>
            <w:rStyle w:val="Hyperlink"/>
          </w:rPr>
          <w:t>Figure 4.8: Feature Importance across Model Types (2 of 2).</w:t>
        </w:r>
        <w:r>
          <w:rPr>
            <w:webHidden/>
          </w:rPr>
          <w:tab/>
          <w:fldChar w:fldCharType="begin"/>
          <w:instrText xml:space="preserve"> PAGEREF _Toc233585331 \h </w:instrText>
          <w:fldChar w:fldCharType="separate"/>
          <w:t>84</w:t>
          <w:fldChar w:fldCharType="end"/>
        </w:r>
      </w:hyperlink>
    </w:p>
    <w:p w14:paraId="77BCDB95" w14:textId="6A3ED8BB" w:rsidR="005B33A8" w:rsidRP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32" w:history="1">
        <w:r>
          <w:rPr>
            <w:rStyle w:val="Hyperlink"/>
          </w:rPr>
          <w:t>Figure 4.9: Multi-step initial setup wizard screen.</w:t>
        </w:r>
        <w:r>
          <w:rPr>
            <w:webHidden/>
          </w:rPr>
          <w:tab/>
          <w:fldChar w:fldCharType="begin"/>
          <w:instrText xml:space="preserve"> PAGEREF _Toc233585332 \h </w:instrText>
          <w:fldChar w:fldCharType="separate"/>
          <w:t>86</w:t>
          <w:fldChar w:fldCharType="end"/>
        </w:r>
      </w:hyperlink>
    </w:p>
    <w:p w14:paraId="2340D300" w14:textId="353759AB" w:rsidR="005B33A8" w:rsidRP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33" w:history="1">
        <w:r>
          <w:rPr>
            <w:rStyle w:val="Hyperlink"/>
          </w:rPr>
          <w:t>Figure 4.10: Main KPI dashboard screen.</w:t>
        </w:r>
        <w:r>
          <w:rPr>
            <w:webHidden/>
          </w:rPr>
          <w:tab/>
          <w:fldChar w:fldCharType="begin"/>
          <w:instrText xml:space="preserve"> PAGEREF _Toc233585333 \h </w:instrText>
          <w:fldChar w:fldCharType="separate"/>
          <w:t>87</w:t>
          <w:fldChar w:fldCharType="end"/>
        </w:r>
      </w:hyperlink>
    </w:p>
    <w:p w14:paraId="08EB61D3" w14:textId="66AE4A9D" w:rsidR="005B33A8" w:rsidRP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34" w:history="1">
        <w:r>
          <w:rPr>
            <w:rStyle w:val="Hyperlink"/>
          </w:rPr>
          <w:t>Figure 4.11: Invoice prediction drilldown screen.</w:t>
        </w:r>
        <w:r>
          <w:rPr>
            <w:webHidden/>
          </w:rPr>
          <w:tab/>
          <w:fldChar w:fldCharType="begin"/>
          <w:instrText xml:space="preserve"> PAGEREF _Toc233585334 \h </w:instrText>
          <w:fldChar w:fldCharType="separate"/>
          <w:t>88</w:t>
          <w:fldChar w:fldCharType="end"/>
        </w:r>
      </w:hyperlink>
    </w:p>
    <w:p w14:paraId="49147F51" w14:textId="23B03CAE"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35" w:history="1">
        <w:r>
          <w:rPr>
            <w:rStyle w:val="Hyperlink"/>
          </w:rPr>
          <w:t>Figure 4.12: Comparative model dashboard screen.</w:t>
        </w:r>
        <w:r>
          <w:rPr>
            <w:webHidden/>
          </w:rPr>
          <w:tab/>
          <w:fldChar w:fldCharType="begin"/>
          <w:instrText xml:space="preserve"> PAGEREF _Toc233585335 \h </w:instrText>
          <w:fldChar w:fldCharType="separate"/>
          <w:t>89</w:t>
          <w:fldChar w:fldCharType="end"/>
        </w:r>
      </w:hyperlink>
    </w:p>
    <w:p w14:paraId="326531F3" w14:textId="154BC9A1"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36" w:history="1">
        <w:r>
          <w:rPr>
            <w:rStyle w:val="Hyperlink"/>
          </w:rPr>
          <w:t>Figure 4.13: Audit logs screen.</w:t>
        </w:r>
        <w:r>
          <w:rPr>
            <w:webHidden/>
          </w:rPr>
          <w:tab/>
          <w:fldChar w:fldCharType="begin"/>
          <w:instrText xml:space="preserve"> PAGEREF _Toc233585336 \h </w:instrText>
          <w:fldChar w:fldCharType="separate"/>
          <w:t>90</w:t>
          <w:fldChar w:fldCharType="end"/>
        </w:r>
      </w:hyperlink>
    </w:p>
    <w:p w14:paraId="6F3A03DA" w14:textId="49EAC794" w:rsidR="005B33A8" w:rsidRDefault="005B33A8">
      <w:pPr>
        <w:pStyle w:val="TableofFigures"/>
        <w:rPr>
          <w:rFonts w:asciiTheme="minorHAnsi" w:eastAsiaTheme="minorEastAsia" w:hAnsiTheme="minorHAnsi" w:cstheme="minorBidi"/>
          <w:kern w:val="2"/>
          <w:sz w:val="22"/>
          <w:lang w:val="en-PH" w:eastAsia="en-PH"/>
          <w14:ligatures w14:val="standardContextual"/>
        </w:rPr>
      </w:pPr>
      <w:hyperlink w:anchor="_Toc233585337" w:history="1">
        <w:r>
          <w:rPr>
            <w:rStyle w:val="Hyperlink"/>
          </w:rPr>
          <w:t>Figure 4.14: Settings screen.</w:t>
        </w:r>
        <w:r>
          <w:rPr>
            <w:webHidden/>
          </w:rPr>
          <w:tab/>
          <w:fldChar w:fldCharType="begin"/>
          <w:instrText xml:space="preserve"> PAGEREF _Toc233585337 \h </w:instrText>
          <w:fldChar w:fldCharType="separate"/>
          <w:t>91</w:t>
          <w:fldChar w:fldCharType="end"/>
        </w:r>
      </w:hyperlink>
    </w:p>
    <w:p w14:paraId="4765E509" w14:textId="2FAFBE97" w:rsidR="005B33A8" w:rsidRDefault="00EE139C" w:rsidP="00583EBB">
      <w:pPr>
        <w:ind w:firstLine="0"/>
        <w:rPr>
          <w:shd w:val="clear" w:color="auto" w:fill="FFFFFF"/>
        </w:rPr>
      </w:pPr>
      <w:r>
        <w:rPr>
          <w:shd w:val="clear" w:color="auto" w:fill="FFFFFF"/>
        </w:rPr>
        <w:fldChar w:fldCharType="end"/>
      </w:r>
    </w:p>
    <w:p w14:paraId="042F76F5" w14:textId="77777777" w:rsidR="005B33A8" w:rsidRDefault="005B33A8">
      <w:pPr>
        <w:autoSpaceDE/>
        <w:autoSpaceDN/>
        <w:adjustRightInd/>
        <w:spacing w:line="278" w:lineRule="auto"/>
        <w:ind w:firstLine="0"/>
        <w:jc w:val="left"/>
        <w:rPr>
          <w:shd w:val="clear" w:color="auto" w:fill="FFFFFF"/>
        </w:rPr>
      </w:pPr>
      <w:r>
        <w:rPr>
          <w:shd w:val="clear" w:color="auto" w:fill="FFFFFF"/>
        </w:rPr>
        <w:br w:type="page"/>
      </w:r>
    </w:p>
    <w:p w14:paraId="2B105DBE" w14:textId="77777777" w:rsidR="0083039C" w:rsidRPr="00FD0F64" w:rsidRDefault="0083039C" w:rsidP="001A282A">
      <w:pPr>
        <w:pStyle w:val="Heading1"/>
        <w:rPr>
          <w:shd w:val="clear" w:color="auto" w:fill="FFFFFF"/>
        </w:rPr>
      </w:pPr>
      <w:bookmarkStart w:id="16" w:name="_Toc204781953"/>
      <w:bookmarkStart w:id="17" w:name="_Toc204781978"/>
      <w:bookmarkStart w:id="18" w:name="_Toc233585250"/>
      <w:r>
        <w:rPr>
          <w:shd w:val="clear" w:color="auto" w:fill="FFFFFF"/>
        </w:rPr>
        <w:lastRenderedPageBreak/>
        <w:t>LIST OF TABLES</w:t>
      </w:r>
      <w:bookmarkEnd w:id="16"/>
      <w:bookmarkEnd w:id="17"/>
      <w:bookmarkEnd w:id="18"/>
    </w:p>
    <w:p w14:paraId="3F8F4375" w14:textId="5201BF0D" w:rsidR="005B33A8" w:rsidRDefault="0083039C">
      <w:pPr>
        <w:pStyle w:val="TableofFigures"/>
        <w:rPr>
          <w:rFonts w:asciiTheme="minorHAnsi" w:eastAsiaTheme="minorEastAsia" w:hAnsiTheme="minorHAnsi" w:cstheme="minorBidi"/>
          <w:kern w:val="2"/>
          <w:sz w:val="22"/>
          <w:lang w:val="en-PH" w:eastAsia="en-PH"/>
          <w14:ligatures w14:val="standardContextual"/>
        </w:rPr>
      </w:pPr>
      <w:r>
        <w:fldChar w:fldCharType="begin"/>
        <w:instrText xml:space="preserve"> TOC \c "Table" </w:instrText>
        <w:fldChar w:fldCharType="separate"/>
        <w:t>Table 1.1. Summary of existing machine learning approaches to invoice payment prediction.</w:t>
        <w:tab/>
        <w:fldChar w:fldCharType="begin"/>
        <w:instrText xml:space="preserve"> PAGEREF _Toc233585349 \h </w:instrText>
        <w:fldChar w:fldCharType="separate"/>
        <w:t>12</w:t>
        <w:fldChar w:fldCharType="end"/>
      </w:r>
    </w:p>
    <w:p w14:paraId="761BC015" w14:textId="50FF157D" w:rsidR="005B33A8" w:rsidRDefault="005B33A8">
      <w:pPr>
        <w:pStyle w:val="TableofFigures"/>
        <w:rPr>
          <w:rFonts w:asciiTheme="minorHAnsi" w:eastAsiaTheme="minorEastAsia" w:hAnsiTheme="minorHAnsi" w:cstheme="minorBidi"/>
          <w:kern w:val="2"/>
          <w:sz w:val="22"/>
          <w:lang w:val="en-PH" w:eastAsia="en-PH"/>
          <w14:ligatures w14:val="standardContextual"/>
        </w:rPr>
      </w:pPr>
      <w:r>
        <w:t>Table 2.1.  Trend of Bad Debts Expense (BDE), Student Balances, and Days Sales Outstanding (DSO), School Years 2019-2025.</w:t>
        <w:tab/>
        <w:fldChar w:fldCharType="begin"/>
        <w:instrText xml:space="preserve"> PAGEREF _Toc233585350 \h </w:instrText>
        <w:fldChar w:fldCharType="separate"/>
        <w:t>23</w:t>
        <w:fldChar w:fldCharType="end"/>
      </w:r>
    </w:p>
    <w:p w14:paraId="21A4EB01" w14:textId="53A6E2CF" w:rsidR="005B33A8" w:rsidRDefault="005B33A8">
      <w:pPr>
        <w:pStyle w:val="TableofFigures"/>
        <w:rPr>
          <w:rFonts w:asciiTheme="minorHAnsi" w:eastAsiaTheme="minorEastAsia" w:hAnsiTheme="minorHAnsi" w:cstheme="minorBidi"/>
          <w:kern w:val="2"/>
          <w:sz w:val="22"/>
          <w:lang w:val="en-PH" w:eastAsia="en-PH"/>
          <w14:ligatures w14:val="standardContextual"/>
        </w:rPr>
      </w:pPr>
      <w:r>
        <w:t>Table 2.2. Comparative analysis of existing invoice payment prediction and related studies.</w:t>
        <w:tab/>
        <w:fldChar w:fldCharType="begin"/>
        <w:instrText xml:space="preserve"> PAGEREF _Toc233585351 \h </w:instrText>
        <w:fldChar w:fldCharType="separate"/>
        <w:t>35</w:t>
        <w:fldChar w:fldCharType="end"/>
      </w:r>
    </w:p>
    <w:p w14:paraId="4ED84520" w14:textId="3AE7971F" w:rsidR="005B33A8" w:rsidRDefault="005B33A8">
      <w:pPr>
        <w:pStyle w:val="TableofFigures"/>
        <w:rPr>
          <w:rFonts w:asciiTheme="minorHAnsi" w:eastAsiaTheme="minorEastAsia" w:hAnsiTheme="minorHAnsi" w:cstheme="minorBidi"/>
          <w:kern w:val="2"/>
          <w:sz w:val="22"/>
          <w:lang w:val="en-PH" w:eastAsia="en-PH"/>
          <w14:ligatures w14:val="standardContextual"/>
        </w:rPr>
      </w:pPr>
      <w:r>
        <w:t xml:space="preserve">Table 3.1.  Entity data dictionary of the </w:t>
      </w:r>
      <w:r>
        <w:rPr>
          <w:i/>
          <w:iCs/>
        </w:rPr>
        <w:t>Transactions</w:t>
      </w:r>
      <w:r>
        <w:t xml:space="preserve"> table.</w:t>
        <w:tab/>
        <w:fldChar w:fldCharType="begin"/>
        <w:instrText xml:space="preserve"> PAGEREF _Toc233585352 \h </w:instrText>
        <w:fldChar w:fldCharType="separate"/>
        <w:t>47</w:t>
        <w:fldChar w:fldCharType="end"/>
      </w:r>
    </w:p>
    <w:p w14:paraId="59E0CC91" w14:textId="57C908F8" w:rsidR="005B33A8" w:rsidRDefault="005B33A8">
      <w:pPr>
        <w:pStyle w:val="TableofFigures"/>
        <w:rPr>
          <w:rFonts w:asciiTheme="minorHAnsi" w:eastAsiaTheme="minorEastAsia" w:hAnsiTheme="minorHAnsi" w:cstheme="minorBidi"/>
          <w:kern w:val="2"/>
          <w:sz w:val="22"/>
          <w:lang w:val="en-PH" w:eastAsia="en-PH"/>
          <w14:ligatures w14:val="standardContextual"/>
        </w:rPr>
      </w:pPr>
      <w:r>
        <w:t xml:space="preserve">Table 3.2.  Entity data dictionary of the </w:t>
      </w:r>
      <w:r>
        <w:rPr>
          <w:i/>
          <w:iCs/>
        </w:rPr>
        <w:t>Categories</w:t>
      </w:r>
      <w:r>
        <w:t xml:space="preserve"> table.</w:t>
        <w:tab/>
        <w:fldChar w:fldCharType="begin"/>
        <w:instrText xml:space="preserve"> PAGEREF _Toc233585353 \h </w:instrText>
        <w:fldChar w:fldCharType="separate"/>
        <w:t>48</w:t>
        <w:fldChar w:fldCharType="end"/>
      </w:r>
    </w:p>
    <w:p w14:paraId="2014BEC1" w14:textId="39F86BEB" w:rsidR="005B33A8" w:rsidRDefault="005B33A8">
      <w:pPr>
        <w:pStyle w:val="TableofFigures"/>
        <w:rPr>
          <w:rFonts w:asciiTheme="minorHAnsi" w:eastAsiaTheme="minorEastAsia" w:hAnsiTheme="minorHAnsi" w:cstheme="minorBidi"/>
          <w:kern w:val="2"/>
          <w:sz w:val="22"/>
          <w:lang w:val="en-PH" w:eastAsia="en-PH"/>
          <w14:ligatures w14:val="standardContextual"/>
        </w:rPr>
      </w:pPr>
      <w:r>
        <w:t xml:space="preserve">Table 3.3.  Entity data dictionary of the </w:t>
      </w:r>
      <w:r>
        <w:rPr>
          <w:i/>
          <w:iCs/>
        </w:rPr>
        <w:t>Credit Sales Fact Table (FT)</w:t>
      </w:r>
      <w:r>
        <w:t>.</w:t>
        <w:tab/>
        <w:fldChar w:fldCharType="begin"/>
        <w:instrText xml:space="preserve"> PAGEREF _Toc233585354 \h </w:instrText>
        <w:fldChar w:fldCharType="separate"/>
        <w:t>49</w:t>
        <w:fldChar w:fldCharType="end"/>
      </w:r>
    </w:p>
    <w:p w14:paraId="56E6B10D" w14:textId="6DBECB2A" w:rsidR="005B33A8" w:rsidRDefault="005B33A8">
      <w:pPr>
        <w:pStyle w:val="TableofFigures"/>
        <w:rPr>
          <w:rFonts w:asciiTheme="minorHAnsi" w:eastAsiaTheme="minorEastAsia" w:hAnsiTheme="minorHAnsi" w:cstheme="minorBidi"/>
          <w:kern w:val="2"/>
          <w:sz w:val="22"/>
          <w:lang w:val="en-PH" w:eastAsia="en-PH"/>
          <w14:ligatures w14:val="standardContextual"/>
        </w:rPr>
      </w:pPr>
      <w:r>
        <w:t>Table 3.4.  Hyperparameters used (Base Models).</w:t>
        <w:tab/>
        <w:fldChar w:fldCharType="begin"/>
        <w:instrText xml:space="preserve"> PAGEREF _Toc233585355 \h </w:instrText>
        <w:fldChar w:fldCharType="separate"/>
        <w:t>60</w:t>
        <w:fldChar w:fldCharType="end"/>
      </w:r>
    </w:p>
    <w:p w14:paraId="6B232FBD" w14:textId="2996B9BE" w:rsidR="005B33A8" w:rsidRDefault="005B33A8">
      <w:pPr>
        <w:pStyle w:val="TableofFigures"/>
        <w:rPr>
          <w:rFonts w:asciiTheme="minorHAnsi" w:eastAsiaTheme="minorEastAsia" w:hAnsiTheme="minorHAnsi" w:cstheme="minorBidi"/>
          <w:kern w:val="2"/>
          <w:sz w:val="22"/>
          <w:lang w:val="en-PH" w:eastAsia="en-PH"/>
          <w14:ligatures w14:val="standardContextual"/>
        </w:rPr>
      </w:pPr>
      <w:r>
        <w:t>Table 3.5.  Hyperparameters used (Ordinal Models).</w:t>
        <w:tab/>
        <w:fldChar w:fldCharType="begin"/>
        <w:instrText xml:space="preserve"> PAGEREF _Toc233585356 \h </w:instrText>
        <w:fldChar w:fldCharType="separate"/>
        <w:t>61</w:t>
        <w:fldChar w:fldCharType="end"/>
      </w:r>
    </w:p>
    <w:p w14:paraId="3FEB54B4" w14:textId="4F28CFCC" w:rsidR="005B33A8" w:rsidRDefault="005B33A8">
      <w:pPr>
        <w:pStyle w:val="TableofFigures"/>
        <w:rPr>
          <w:rFonts w:asciiTheme="minorHAnsi" w:eastAsiaTheme="minorEastAsia" w:hAnsiTheme="minorHAnsi" w:cstheme="minorBidi"/>
          <w:kern w:val="2"/>
          <w:sz w:val="22"/>
          <w:lang w:val="en-PH" w:eastAsia="en-PH"/>
          <w14:ligatures w14:val="standardContextual"/>
        </w:rPr>
      </w:pPr>
      <w:r>
        <w:t>Table 3.6. Hyperparameters used (Two-Stage Models).</w:t>
        <w:tab/>
        <w:fldChar w:fldCharType="begin"/>
        <w:instrText xml:space="preserve"> PAGEREF _Toc233585357 \h </w:instrText>
        <w:fldChar w:fldCharType="separate"/>
        <w:t>62</w:t>
        <w:fldChar w:fldCharType="end"/>
      </w:r>
    </w:p>
    <w:p w14:paraId="421D5EB9" w14:textId="1B5B8EBA" w:rsidR="005B33A8" w:rsidRDefault="005B33A8">
      <w:pPr>
        <w:pStyle w:val="TableofFigures"/>
        <w:rPr>
          <w:rFonts w:asciiTheme="minorHAnsi" w:eastAsiaTheme="minorEastAsia" w:hAnsiTheme="minorHAnsi" w:cstheme="minorBidi"/>
          <w:kern w:val="2"/>
          <w:sz w:val="22"/>
          <w:lang w:val="en-PH" w:eastAsia="en-PH"/>
          <w14:ligatures w14:val="standardContextual"/>
        </w:rPr>
      </w:pPr>
      <w:r>
        <w:t>Table 3.7.  List of the feature importance methods used per model.</w:t>
        <w:tab/>
        <w:fldChar w:fldCharType="begin"/>
        <w:instrText xml:space="preserve"> PAGEREF _Toc233585358 \h </w:instrText>
        <w:fldChar w:fldCharType="separate"/>
        <w:t>63</w:t>
        <w:fldChar w:fldCharType="end"/>
      </w:r>
    </w:p>
    <w:p w14:paraId="7BC7B72B" w14:textId="464ECC01" w:rsidR="005B33A8" w:rsidRDefault="005B33A8">
      <w:pPr>
        <w:pStyle w:val="TableofFigures"/>
        <w:rPr>
          <w:rFonts w:asciiTheme="minorHAnsi" w:eastAsiaTheme="minorEastAsia" w:hAnsiTheme="minorHAnsi" w:cstheme="minorBidi"/>
          <w:kern w:val="2"/>
          <w:sz w:val="22"/>
          <w:lang w:val="en-PH" w:eastAsia="en-PH"/>
          <w14:ligatures w14:val="standardContextual"/>
        </w:rPr>
      </w:pPr>
      <w:r>
        <w:t>Table 4.1. Peak performance per model family (Enhanced Feature Regime).</w:t>
        <w:tab/>
        <w:fldChar w:fldCharType="begin"/>
        <w:instrText xml:space="preserve"> PAGEREF _Toc233585359 \h </w:instrText>
        <w:fldChar w:fldCharType="separate"/>
        <w:t>71</w:t>
        <w:fldChar w:fldCharType="end"/>
      </w:r>
    </w:p>
    <w:p w14:paraId="26C8F1F1" w14:textId="37CAF644" w:rsidR="0083039C" w:rsidRPr="00FD0F64" w:rsidRDefault="0083039C" w:rsidP="001A282A">
      <w:r>
        <w:fldChar w:fldCharType="end"/>
      </w:r>
    </w:p>
    <w:p w14:paraId="05F660E1" w14:textId="77777777" w:rsidR="0083039C" w:rsidRPr="00FD0F64" w:rsidRDefault="0083039C" w:rsidP="001A282A"/>
    <w:p w14:paraId="57EF3F4D" w14:textId="77777777" w:rsidR="0083039C" w:rsidRPr="00FD0F64" w:rsidRDefault="0083039C" w:rsidP="001A282A">
      <w:pPr>
        <w:sectPr w:rsidR="0083039C" w:rsidRPr="00FD0F64">
          <w:endnotePr>
            <w:numFmt w:val="decimal"/>
          </w:endnotePr>
          <w:pgSz w:w="12240" w:h="15840"/>
          <w:pgMar w:top="1440" w:right="1440" w:bottom="1440" w:left="2160" w:header="720" w:footer="720" w:gutter="0"/>
          <w:pgNumType w:fmt="lowerRoman"/>
          <w:cols w:space="720"/>
          <w:docGrid w:linePitch="360"/>
        </w:sectPr>
      </w:pPr>
    </w:p>
    <w:p w14:paraId="105C4338" w14:textId="77777777" w:rsidR="003B108B" w:rsidRPr="00FD0F64" w:rsidRDefault="00E05849" w:rsidP="001A282A">
      <w:pPr>
        <w:pStyle w:val="Heading1"/>
      </w:pPr>
      <w:bookmarkStart w:id="19" w:name="_Toc204781954"/>
      <w:bookmarkStart w:id="20" w:name="_Toc204781979"/>
      <w:bookmarkStart w:id="21" w:name="_Toc233585251"/>
      <w:r>
        <w:lastRenderedPageBreak/>
        <w:t>CHAPTER 1:</w:t>
        <w:br/>
        <w:t>INTRODUCTION</w:t>
      </w:r>
      <w:bookmarkEnd w:id="19"/>
      <w:bookmarkEnd w:id="20"/>
      <w:bookmarkEnd w:id="21"/>
    </w:p>
    <w:p w14:paraId="3E8B7171" w14:textId="77777777" w:rsidR="00DC66EC" w:rsidRPr="00FD0F64" w:rsidRDefault="00DC66EC" w:rsidP="001A101A">
      <w:pPr>
        <w:pStyle w:val="ThesisParagraphText"/>
      </w:pPr>
      <w:r>
        <w:t xml:space="preserve">Machine learning (ML), as a branch of artificial intelligence, enables systems to discover patterns from historical data without explicit programming. In financial management, ML has been widely applied to credit scoring, default prediction, accounts-receivable optimization, and payment forecasting, consistently outperforming traditional statistical baselines [1, 2]. Its capacity to integrate heterogeneous, high-dimensional feature spaces makes it particularly suitable for the </w:t>
      </w:r>
      <w:r>
        <w:rPr>
          <w:i/>
          <w:iCs/>
        </w:rPr>
        <w:t>Invoice Payment Prediction Problem (IPPP)</w:t>
      </w:r>
      <w:r>
        <w:t>, the task of predicting when a customer will settle an outstanding invoice and into which payment-delay class a transaction will fall [3, 4].</w:t>
      </w:r>
    </w:p>
    <w:p w14:paraId="068BDB70" w14:textId="77777777" w:rsidR="00856161" w:rsidRDefault="00750A62" w:rsidP="001A101A">
      <w:pPr>
        <w:pStyle w:val="ThesisParagraphText"/>
      </w:pPr>
      <w:r>
        <w:t xml:space="preserve">A substantial body of machine learning research has addressed the IPPP and adjacent receivables-prediction problems, employing models such as Logistic Regression, Random Forest, XGBoost, LightGBM, and neural networks. Schoonbee, Moore, and van Vuuren [5] applied a machine-learning decision-support approach to invoice payment prediction in an educational setting and reported classification accuracies of approximately 80–85% using tree-based ensembles, while Moore and van Vuuren [4] combined survival analysis with machine learning in their Modelling Invoice Payment Predictions (MIPP) framework to forecast the settlement timing of customer invoices. In the educational domain, Mugorobin et al. [3] developed an estimation system for late payment of school tuition fees, and Martikainen [6] demonstrated that statistical learning methods such as logistic regression can predict late payment of sales invoices with actionable discrimination. At the customer level, Cheong [7] and Appel et al. [8] showed that ensemble models trained on transaction histories can reduce unnecessary collection interventions, and Abbas and </w:t>
        <w:lastRenderedPageBreak/>
        <w:t>Hussein [9] confirmed that modern boosting algorithms such as XGBoost and LightGBM significantly outperform conventional statistical baselines in loan default prediction.</w:t>
      </w:r>
    </w:p>
    <w:p w14:paraId="3E6E13EE" w14:textId="6755E9EA" w:rsidR="00854EC2" w:rsidRDefault="00750A62">
      <w:pPr>
        <w:pStyle w:val="ThesisParagraphText"/>
      </w:pPr>
      <w:r>
        <w:t>Despite these advances, existing approaches share three limitations: first, they model payment behavior using aggregate customer- or student-level features, discarding the line-item granularity at which invoices are actually issued; second, they treat payment delay as a binary or nominal multi-class target, ignoring the inherent ordering of delay brackets; and third, they benchmark only a narrow set of five to eight standard classifiers, leaving ordinal decompositions, hierarchical two-stage architectures, and survival-analysis-derived features systematically untested. This study addresses these gaps by introducing a multi-stage pipeline across 1,092 experimental configurations.</w:t>
      </w:r>
    </w:p>
    <w:p w14:paraId="65FBB097" w14:textId="77777777" w:rsidR="00854EC2" w:rsidRDefault="00854EC2">
      <w:pPr>
        <w:autoSpaceDE/>
        <w:autoSpaceDN/>
        <w:adjustRightInd/>
        <w:spacing w:line="278" w:lineRule="auto"/>
        <w:ind w:firstLine="0"/>
        <w:jc w:val="left"/>
        <w:rPr>
          <w:rFonts w:eastAsia="Calibri"/>
          <w:kern w:val="0"/>
          <w14:ligatures w14:val="none"/>
        </w:rPr>
      </w:pPr>
      <w:r>
        <w:br w:type="page"/>
      </w:r>
    </w:p>
    <w:p w14:paraId="1FFF6CCD" w14:textId="77777777" w:rsidR="00856161" w:rsidRDefault="00750A62">
      <w:pPr>
        <w:pStyle w:val="ThesisParagraphText"/>
      </w:pPr>
      <w:r>
        <w:lastRenderedPageBreak/>
        <w:t>Table 1.1 summarizes the most directly comparable invoice payment prediction studies, the datasets and models they employed, their reported performance, and the principal limitation each leaves unaddressed.</w:t>
      </w:r>
    </w:p>
    <w:p w14:paraId="24FDB80F" w14:textId="5ADBE75E" w:rsidR="00856161" w:rsidRDefault="00750A62" w:rsidP="004B3D0C">
      <w:pPr>
        <w:pStyle w:val="Caption"/>
        <w:jc w:val="both"/>
      </w:pPr>
      <w:bookmarkStart w:id="22" w:name="_Toc233585349"/>
      <w:r>
        <w:t>Table 1.</w:t>
      </w:r>
      <w:r>
        <w:rPr>
          <w:noProof/>
        </w:rPr>
        <w:fldChar w:fldCharType="begin"/>
        <w:instrText xml:space="preserve"> SEQ Table \* ARABIC \r 1 </w:instrText>
        <w:fldChar w:fldCharType="separate"/>
        <w:t>1</w:t>
        <w:fldChar w:fldCharType="end"/>
      </w:r>
      <w:r>
        <w:t>. Summary of existing machine learning approaches to invoice payment prediction.</w:t>
      </w:r>
      <w:bookmarkEnd w:id="22"/>
    </w:p>
    <w:tbl>
      <w:tblPr>
        <w:tblStyle w:val="PlainTable3"/>
        <w:tblW w:w="0" w:type="auto"/>
        <w:tblLook w:val="04A0" w:firstRow="1" w:lastRow="0" w:firstColumn="1" w:lastColumn="0" w:noHBand="0" w:noVBand="1"/>
      </w:tblPr>
      <w:tblGrid>
        <w:gridCol w:w="1804"/>
        <w:gridCol w:w="1481"/>
        <w:gridCol w:w="1778"/>
        <w:gridCol w:w="1761"/>
        <w:gridCol w:w="1816"/>
      </w:tblGrid>
      <w:tr w:rsidR="001A101A" w:rsidRPr="004B3D0C" w14:paraId="24BA4030" w14:textId="77777777" w:rsidTr="00AE45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bottom"/>
          </w:tcPr>
          <w:p w14:paraId="348AEB25" w14:textId="77777777" w:rsidR="00856161" w:rsidRPr="00854EC2" w:rsidRDefault="00750A62" w:rsidP="00854EC2">
            <w:pPr>
              <w:ind w:firstLine="0"/>
              <w:jc w:val="left"/>
              <w:rPr>
                <w:sz w:val="18"/>
                <w:szCs w:val="18"/>
              </w:rPr>
            </w:pPr>
            <w:r>
              <w:rPr>
                <w:sz w:val="18"/>
                <w:szCs w:val="18"/>
              </w:rPr>
              <w:t>Study</w:t>
            </w:r>
          </w:p>
        </w:tc>
        <w:tc>
          <w:tcPr>
            <w:tcW w:w="0" w:type="auto"/>
            <w:vAlign w:val="bottom"/>
          </w:tcPr>
          <w:p w14:paraId="506BC029" w14:textId="77777777" w:rsidR="00856161" w:rsidRPr="00854EC2" w:rsidRDefault="00750A62" w:rsidP="00854EC2">
            <w:pPr>
              <w:ind w:firstLine="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Dataset Type</w:t>
            </w:r>
          </w:p>
        </w:tc>
        <w:tc>
          <w:tcPr>
            <w:tcW w:w="0" w:type="auto"/>
            <w:vAlign w:val="bottom"/>
          </w:tcPr>
          <w:p w14:paraId="50B7B6F1" w14:textId="77777777" w:rsidR="00856161" w:rsidRPr="00854EC2" w:rsidRDefault="00750A62" w:rsidP="00854EC2">
            <w:pPr>
              <w:ind w:firstLine="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Models Used</w:t>
            </w:r>
          </w:p>
        </w:tc>
        <w:tc>
          <w:tcPr>
            <w:tcW w:w="0" w:type="auto"/>
            <w:vAlign w:val="bottom"/>
          </w:tcPr>
          <w:p w14:paraId="71F90703" w14:textId="77777777" w:rsidR="00AE4554" w:rsidRDefault="00750A62" w:rsidP="00854EC2">
            <w:pPr>
              <w:ind w:firstLine="0"/>
              <w:jc w:val="left"/>
              <w:cnfStyle w:val="100000000000" w:firstRow="1" w:lastRow="0" w:firstColumn="0" w:lastColumn="0" w:oddVBand="0" w:evenVBand="0" w:oddHBand="0" w:evenHBand="0" w:firstRowFirstColumn="0" w:firstRowLastColumn="0" w:lastRowFirstColumn="0" w:lastRowLastColumn="0"/>
              <w:rPr>
                <w:b w:val="0"/>
                <w:bCs w:val="0"/>
                <w:caps w:val="0"/>
                <w:sz w:val="18"/>
                <w:szCs w:val="18"/>
              </w:rPr>
            </w:pPr>
            <w:r>
              <w:rPr>
                <w:sz w:val="18"/>
                <w:szCs w:val="18"/>
              </w:rPr>
              <w:t>Best</w:t>
            </w:r>
          </w:p>
          <w:p w14:paraId="32F2116B" w14:textId="50629B9F" w:rsidR="00856161" w:rsidRPr="00854EC2" w:rsidRDefault="00750A62" w:rsidP="00854EC2">
            <w:pPr>
              <w:ind w:firstLine="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Accuracy / F1</w:t>
            </w:r>
          </w:p>
        </w:tc>
        <w:tc>
          <w:tcPr>
            <w:tcW w:w="0" w:type="auto"/>
            <w:vAlign w:val="bottom"/>
          </w:tcPr>
          <w:p w14:paraId="0B9315DC" w14:textId="77777777" w:rsidR="00856161" w:rsidRPr="00854EC2" w:rsidRDefault="00750A62" w:rsidP="00854EC2">
            <w:pPr>
              <w:ind w:firstLine="0"/>
              <w:jc w:val="left"/>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Key Limitation</w:t>
            </w:r>
          </w:p>
        </w:tc>
      </w:tr>
      <w:tr w:rsidR="00AE4554" w:rsidRPr="004B3D0C" w14:paraId="29256EEC" w14:textId="77777777" w:rsidTr="00AE4554">
        <w:trPr>
          <w:cnfStyle w:val="000000100000" w:firstRow="0" w:lastRow="0" w:firstColumn="0" w:lastColumn="0" w:oddVBand="0" w:evenVBand="0" w:oddHBand="1"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0" w:type="auto"/>
          </w:tcPr>
          <w:p w14:paraId="183D2BCF" w14:textId="77777777" w:rsidR="00856161" w:rsidRPr="00854EC2" w:rsidRDefault="00750A62" w:rsidP="00854EC2">
            <w:pPr>
              <w:ind w:firstLine="0"/>
              <w:jc w:val="left"/>
              <w:rPr>
                <w:sz w:val="18"/>
                <w:szCs w:val="18"/>
              </w:rPr>
            </w:pPr>
            <w:r>
              <w:rPr>
                <w:sz w:val="18"/>
                <w:szCs w:val="18"/>
              </w:rPr>
              <w:t>Moore &amp; van Vuuren (2020) [4]</w:t>
            </w:r>
          </w:p>
        </w:tc>
        <w:tc>
          <w:tcPr>
            <w:tcW w:w="0" w:type="auto"/>
          </w:tcPr>
          <w:p w14:paraId="7DC66AC7"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Corporate customer invoices</w:t>
            </w:r>
          </w:p>
        </w:tc>
        <w:tc>
          <w:tcPr>
            <w:tcW w:w="0" w:type="auto"/>
          </w:tcPr>
          <w:p w14:paraId="3FFB588B" w14:textId="77777777" w:rsidR="00856161" w:rsidRPr="00854EC2" w:rsidRDefault="00750A62" w:rsidP="00854EC2">
            <w:pPr>
              <w:ind w:hanging="32"/>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Survival analysis + ML (MIPP framework)</w:t>
            </w:r>
          </w:p>
        </w:tc>
        <w:tc>
          <w:tcPr>
            <w:tcW w:w="0" w:type="auto"/>
          </w:tcPr>
          <w:p w14:paraId="288096E7"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Time-to-payment estimates; bracket-level F1 not reported</w:t>
            </w:r>
          </w:p>
        </w:tc>
        <w:tc>
          <w:tcPr>
            <w:tcW w:w="0" w:type="auto"/>
          </w:tcPr>
          <w:p w14:paraId="6829DD8E"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Aggregate customer features; no ordinal target</w:t>
            </w:r>
          </w:p>
        </w:tc>
      </w:tr>
      <w:tr w:rsidR="001A101A" w:rsidRPr="004B3D0C" w14:paraId="1673E608" w14:textId="77777777" w:rsidTr="00AE4554">
        <w:trPr>
          <w:trHeight w:val="1656"/>
        </w:trPr>
        <w:tc>
          <w:tcPr>
            <w:cnfStyle w:val="001000000000" w:firstRow="0" w:lastRow="0" w:firstColumn="1" w:lastColumn="0" w:oddVBand="0" w:evenVBand="0" w:oddHBand="0" w:evenHBand="0" w:firstRowFirstColumn="0" w:firstRowLastColumn="0" w:lastRowFirstColumn="0" w:lastRowLastColumn="0"/>
            <w:tcW w:w="0" w:type="auto"/>
          </w:tcPr>
          <w:p w14:paraId="1C1D2183" w14:textId="77777777" w:rsidR="00856161" w:rsidRPr="00854EC2" w:rsidRDefault="00750A62" w:rsidP="00854EC2">
            <w:pPr>
              <w:ind w:firstLine="0"/>
              <w:jc w:val="left"/>
              <w:rPr>
                <w:sz w:val="18"/>
                <w:szCs w:val="18"/>
              </w:rPr>
            </w:pPr>
            <w:r>
              <w:rPr>
                <w:sz w:val="18"/>
                <w:szCs w:val="18"/>
              </w:rPr>
              <w:t>Schoonbee et al. (2021) [5]</w:t>
            </w:r>
          </w:p>
        </w:tc>
        <w:tc>
          <w:tcPr>
            <w:tcW w:w="0" w:type="auto"/>
          </w:tcPr>
          <w:p w14:paraId="249B66E6" w14:textId="77777777" w:rsidR="00856161" w:rsidRPr="00854EC2" w:rsidRDefault="00750A62" w:rsidP="00854EC2">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Educational institution invoices (South Africa)</w:t>
            </w:r>
          </w:p>
        </w:tc>
        <w:tc>
          <w:tcPr>
            <w:tcW w:w="0" w:type="auto"/>
          </w:tcPr>
          <w:p w14:paraId="78C743E4" w14:textId="77777777" w:rsidR="00856161" w:rsidRPr="00854EC2" w:rsidRDefault="00750A62" w:rsidP="00854EC2">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Logistic Regression, Random Forest, XGBoost, Neural Networks</w:t>
            </w:r>
          </w:p>
        </w:tc>
        <w:tc>
          <w:tcPr>
            <w:tcW w:w="0" w:type="auto"/>
          </w:tcPr>
          <w:p w14:paraId="0F8486D4" w14:textId="77777777" w:rsidR="00856161" w:rsidRPr="00854EC2" w:rsidRDefault="00750A62" w:rsidP="00854EC2">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Accuracy ≈ 80–85%</w:t>
            </w:r>
          </w:p>
        </w:tc>
        <w:tc>
          <w:tcPr>
            <w:tcW w:w="0" w:type="auto"/>
          </w:tcPr>
          <w:p w14:paraId="6A353660" w14:textId="77777777" w:rsidR="00856161" w:rsidRPr="00854EC2" w:rsidRDefault="00750A62" w:rsidP="00854EC2">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Broad student-level features; single-stage classifiers only</w:t>
            </w:r>
          </w:p>
        </w:tc>
      </w:tr>
      <w:tr w:rsidR="00AE4554" w:rsidRPr="004B3D0C" w14:paraId="0D286B71" w14:textId="77777777" w:rsidTr="00AE4554">
        <w:trPr>
          <w:cnfStyle w:val="000000100000" w:firstRow="0" w:lastRow="0" w:firstColumn="0" w:lastColumn="0" w:oddVBand="0" w:evenVBand="0" w:oddHBand="1"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0" w:type="auto"/>
          </w:tcPr>
          <w:p w14:paraId="774C7C9F" w14:textId="77777777" w:rsidR="00856161" w:rsidRPr="00854EC2" w:rsidRDefault="00750A62" w:rsidP="00854EC2">
            <w:pPr>
              <w:ind w:firstLine="0"/>
              <w:jc w:val="left"/>
              <w:rPr>
                <w:sz w:val="18"/>
                <w:szCs w:val="18"/>
              </w:rPr>
            </w:pPr>
            <w:r>
              <w:rPr>
                <w:sz w:val="18"/>
                <w:szCs w:val="18"/>
              </w:rPr>
              <w:t>Mugorobin et al. (2020) [3]</w:t>
            </w:r>
          </w:p>
        </w:tc>
        <w:tc>
          <w:tcPr>
            <w:tcW w:w="0" w:type="auto"/>
          </w:tcPr>
          <w:p w14:paraId="4C55D70C"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School tuition fee records</w:t>
            </w:r>
          </w:p>
        </w:tc>
        <w:tc>
          <w:tcPr>
            <w:tcW w:w="0" w:type="auto"/>
          </w:tcPr>
          <w:p w14:paraId="1427C7CC"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Rule-based estimation with classification</w:t>
            </w:r>
          </w:p>
        </w:tc>
        <w:tc>
          <w:tcPr>
            <w:tcW w:w="0" w:type="auto"/>
          </w:tcPr>
          <w:p w14:paraId="552887D1"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Not reported on standardized metrics</w:t>
            </w:r>
          </w:p>
        </w:tc>
        <w:tc>
          <w:tcPr>
            <w:tcW w:w="0" w:type="auto"/>
          </w:tcPr>
          <w:p w14:paraId="0EEF4B4C"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Heuristic system; no ensemble benchmarking</w:t>
            </w:r>
          </w:p>
        </w:tc>
      </w:tr>
      <w:tr w:rsidR="001A101A" w:rsidRPr="004B3D0C" w14:paraId="023D3C6B" w14:textId="77777777" w:rsidTr="00AE4554">
        <w:trPr>
          <w:trHeight w:val="1656"/>
        </w:trPr>
        <w:tc>
          <w:tcPr>
            <w:cnfStyle w:val="001000000000" w:firstRow="0" w:lastRow="0" w:firstColumn="1" w:lastColumn="0" w:oddVBand="0" w:evenVBand="0" w:oddHBand="0" w:evenHBand="0" w:firstRowFirstColumn="0" w:firstRowLastColumn="0" w:lastRowFirstColumn="0" w:lastRowLastColumn="0"/>
            <w:tcW w:w="0" w:type="auto"/>
          </w:tcPr>
          <w:p w14:paraId="62AE96CE" w14:textId="77777777" w:rsidR="00856161" w:rsidRPr="00854EC2" w:rsidRDefault="00750A62" w:rsidP="00854EC2">
            <w:pPr>
              <w:ind w:firstLine="0"/>
              <w:jc w:val="left"/>
              <w:rPr>
                <w:sz w:val="18"/>
                <w:szCs w:val="18"/>
              </w:rPr>
            </w:pPr>
            <w:r>
              <w:rPr>
                <w:sz w:val="18"/>
                <w:szCs w:val="18"/>
              </w:rPr>
              <w:t>Martikainen (2023) [6]</w:t>
            </w:r>
          </w:p>
        </w:tc>
        <w:tc>
          <w:tcPr>
            <w:tcW w:w="0" w:type="auto"/>
          </w:tcPr>
          <w:p w14:paraId="5EDC44FC" w14:textId="77777777" w:rsidR="00856161" w:rsidRPr="00854EC2" w:rsidRDefault="00750A62" w:rsidP="00854EC2">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B2B sales invoices (Finland)</w:t>
            </w:r>
          </w:p>
        </w:tc>
        <w:tc>
          <w:tcPr>
            <w:tcW w:w="0" w:type="auto"/>
          </w:tcPr>
          <w:p w14:paraId="434F63D2" w14:textId="77777777" w:rsidR="00856161" w:rsidRPr="00854EC2" w:rsidRDefault="00750A62" w:rsidP="00854EC2">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Logistic Regression, statistical learning</w:t>
            </w:r>
          </w:p>
        </w:tc>
        <w:tc>
          <w:tcPr>
            <w:tcW w:w="0" w:type="auto"/>
          </w:tcPr>
          <w:p w14:paraId="57B534D2" w14:textId="77777777" w:rsidR="00856161" w:rsidRPr="00854EC2" w:rsidRDefault="00750A62" w:rsidP="00854EC2">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Moderate discrimination (AUC-based)</w:t>
            </w:r>
          </w:p>
        </w:tc>
        <w:tc>
          <w:tcPr>
            <w:tcW w:w="0" w:type="auto"/>
          </w:tcPr>
          <w:p w14:paraId="5DB84BB5" w14:textId="77777777" w:rsidR="00856161" w:rsidRPr="00854EC2" w:rsidRDefault="00750A62" w:rsidP="00854EC2">
            <w:pPr>
              <w:ind w:firstLine="0"/>
              <w:jc w:val="lef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Few classifiers; no class-imbalance treatment</w:t>
            </w:r>
          </w:p>
        </w:tc>
      </w:tr>
      <w:tr w:rsidR="00AE4554" w:rsidRPr="004B3D0C" w14:paraId="02126022" w14:textId="77777777" w:rsidTr="00AE4554">
        <w:trPr>
          <w:cnfStyle w:val="000000100000" w:firstRow="0" w:lastRow="0" w:firstColumn="0" w:lastColumn="0" w:oddVBand="0" w:evenVBand="0" w:oddHBand="1" w:evenHBand="0" w:firstRowFirstColumn="0" w:firstRowLastColumn="0" w:lastRowFirstColumn="0" w:lastRowLastColumn="0"/>
          <w:trHeight w:val="1656"/>
        </w:trPr>
        <w:tc>
          <w:tcPr>
            <w:cnfStyle w:val="001000000000" w:firstRow="0" w:lastRow="0" w:firstColumn="1" w:lastColumn="0" w:oddVBand="0" w:evenVBand="0" w:oddHBand="0" w:evenHBand="0" w:firstRowFirstColumn="0" w:firstRowLastColumn="0" w:lastRowFirstColumn="0" w:lastRowLastColumn="0"/>
            <w:tcW w:w="0" w:type="auto"/>
          </w:tcPr>
          <w:p w14:paraId="02438A4D" w14:textId="77777777" w:rsidR="00856161" w:rsidRPr="00854EC2" w:rsidRDefault="00750A62" w:rsidP="00854EC2">
            <w:pPr>
              <w:ind w:firstLine="0"/>
              <w:jc w:val="left"/>
              <w:rPr>
                <w:sz w:val="18"/>
                <w:szCs w:val="18"/>
              </w:rPr>
            </w:pPr>
            <w:r>
              <w:rPr>
                <w:sz w:val="18"/>
                <w:szCs w:val="18"/>
              </w:rPr>
              <w:t>Cheong (2022) [7]</w:t>
            </w:r>
          </w:p>
        </w:tc>
        <w:tc>
          <w:tcPr>
            <w:tcW w:w="0" w:type="auto"/>
          </w:tcPr>
          <w:p w14:paraId="741D4CA4"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Corporate accounts receivable</w:t>
            </w:r>
          </w:p>
        </w:tc>
        <w:tc>
          <w:tcPr>
            <w:tcW w:w="0" w:type="auto"/>
          </w:tcPr>
          <w:p w14:paraId="231227E9"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Customer-level gradient boosting</w:t>
            </w:r>
          </w:p>
        </w:tc>
        <w:tc>
          <w:tcPr>
            <w:tcW w:w="0" w:type="auto"/>
          </w:tcPr>
          <w:p w14:paraId="0A91DD0E"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Reduced intervention actions; per-class F1 not reported</w:t>
            </w:r>
          </w:p>
        </w:tc>
        <w:tc>
          <w:tcPr>
            <w:tcW w:w="0" w:type="auto"/>
          </w:tcPr>
          <w:p w14:paraId="18DA1989" w14:textId="77777777" w:rsidR="00856161" w:rsidRPr="00854EC2" w:rsidRDefault="00750A62" w:rsidP="00854EC2">
            <w:pPr>
              <w:ind w:firstLine="0"/>
              <w:jc w:val="left"/>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Customer-level aggregation; no line-item granularity</w:t>
            </w:r>
          </w:p>
        </w:tc>
      </w:tr>
    </w:tbl>
    <w:p w14:paraId="71329B73" w14:textId="77777777" w:rsidR="004B3D0C" w:rsidRDefault="004B3D0C">
      <w:pPr>
        <w:pStyle w:val="ThesisParagraphText"/>
      </w:pPr>
    </w:p>
    <w:p w14:paraId="15FEB725" w14:textId="6AE869E0" w:rsidR="00856161" w:rsidRDefault="00750A62">
      <w:pPr>
        <w:pStyle w:val="ThesisParagraphText"/>
      </w:pPr>
      <w:r>
        <w:lastRenderedPageBreak/>
        <w:t>Two patterns emerge from Table 1.1. Across studies, predictive accuracy clusters around 80–85% for binary or coarse multi-class formulations, yet none of the cited works decomposes performance across ordered delay brackets, and none operates at the granularity of individual fee categories. These omissions motivate the granular, ordinal, and multi-stage design benchmarked in this study.</w:t>
      </w:r>
    </w:p>
    <w:p w14:paraId="67C4C229" w14:textId="3E9232D7" w:rsidR="004E5146" w:rsidRPr="00FD0F64" w:rsidRDefault="004E5146" w:rsidP="004E5146">
      <w:pPr>
        <w:pStyle w:val="Heading2"/>
        <w:numPr>
          <w:ilvl w:val="1"/>
          <w:numId w:val="20"/>
        </w:numPr>
      </w:pPr>
      <w:bookmarkStart w:id="23" w:name="_Toc233585252"/>
      <w:r>
        <w:t>Context of the Study</w:t>
      </w:r>
      <w:bookmarkEnd w:id="23"/>
    </w:p>
    <w:p w14:paraId="025986D3" w14:textId="530DDF86" w:rsidR="00F4780A" w:rsidRDefault="007373EE" w:rsidP="004E5146">
      <w:pPr>
        <w:pStyle w:val="ThesisParagraphText"/>
      </w:pPr>
      <w:r>
        <w:t>Existing IPPP research has largely focused on corporate trade credit and retail contexts [4, 6, 10], where the primary signal is aggregate invoice history, customer size, and industry classification. Educational institutions present a structurally distinct setting that has received comparatively little attention. In the Philippine private school sector, invoicing is shaped by installment plan selection (annual, semi-annual, quarterly, monthly), category-level subcategory charges (tuition, miscellaneous fees, course materials), and strong regulatory constraints that prevent service denial. Notably, the No Permit, No Exam Prohibition Act (Republic Act 11984) [11] bars schools from withholding examination privileges due to outstanding tuition, while DepEd and CHED memoranda further restrict collection enforcement. Schools must therefore continue instructional delivery regardless of receivable status, creating a structural vulnerability where cash flow management depends entirely on forecasting rather than enforcement.</w:t>
      </w:r>
    </w:p>
    <w:p w14:paraId="5645096C" w14:textId="77777777" w:rsidR="00F4780A" w:rsidRDefault="00F4780A">
      <w:pPr>
        <w:autoSpaceDE/>
        <w:autoSpaceDN/>
        <w:adjustRightInd/>
        <w:spacing w:line="278" w:lineRule="auto"/>
        <w:ind w:firstLine="0"/>
        <w:jc w:val="left"/>
        <w:rPr>
          <w:rFonts w:eastAsia="Calibri"/>
          <w:kern w:val="0"/>
          <w14:ligatures w14:val="none"/>
        </w:rPr>
      </w:pPr>
      <w:r>
        <w:br w:type="page"/>
      </w:r>
    </w:p>
    <w:p w14:paraId="3F95FDA8" w14:textId="19E11CD5" w:rsidR="00042B44" w:rsidRPr="00FD0F64" w:rsidRDefault="00042B44" w:rsidP="00042B44">
      <w:pPr>
        <w:pStyle w:val="Heading2"/>
        <w:numPr>
          <w:ilvl w:val="1"/>
          <w:numId w:val="20"/>
        </w:numPr>
      </w:pPr>
      <w:bookmarkStart w:id="24" w:name="_Toc233585253"/>
      <w:r>
        <w:lastRenderedPageBreak/>
        <w:t>The Problem, Gap, or Opportunity</w:t>
      </w:r>
      <w:bookmarkEnd w:id="24"/>
    </w:p>
    <w:p w14:paraId="7830E7ED" w14:textId="77777777" w:rsidR="00951DAD" w:rsidRPr="00FD0F64" w:rsidRDefault="00951DAD" w:rsidP="00047034">
      <w:pPr>
        <w:pStyle w:val="ThesisParagraphText"/>
        <w:ind w:firstLine="360"/>
      </w:pPr>
      <w:r>
        <w:t xml:space="preserve">Data from the partner institution, which is a private school in Montalban, Rizal, illustrate this challenge concretely. Over the 2019–2025 period, Bad Debts Expense rose from PHP 244,111 to PHP 469,102, the number of students in arrears climbed to 27, and Days Sales Outstanding reached 34 days. Despite flexible installment plans, reactive strategies like reminders, restructuring, and penalties have proven insufficient to preempt cash-flow shortfalls. </w:t>
      </w:r>
    </w:p>
    <w:p w14:paraId="073E7466" w14:textId="49D06459" w:rsidR="00F4780A" w:rsidRDefault="00951DAD" w:rsidP="00951DAD">
      <w:pPr>
        <w:pStyle w:val="ThesisParagraphText"/>
        <w:ind w:firstLine="360"/>
      </w:pPr>
      <w:r>
        <w:t>A proactive, predictive framework is operationally necessary. Prior work on IPPP in educational contexts has used broad student-level features without disaggregating by product or service category [3, 4, 5]. At the same time, methodological gaps persist in the general IPPP literature: existing benchmarks compare a small number of standard classifiers (typically 5–8 models) and rarely evaluate approaches that exploit the ordinal structure of payment-delay targets. Payment delay is inherently ordered: on-time, 1–30 days late, 31–60 days late, 61–90+ days late. Yet most classifiers treat it as a nominal multi-class problem, discarding the ranking information embedded in the label ordering. Ordinal classifiers [12] and two-stage ensemble architectures have demonstrated improvements in other ordered multi-class problems but have not been systematically evaluated in the IPPP context. Furthermore, the integration of survival-analysis techniques to model time-to-payment has not been benchmarked against standard resampling methods in this domain.</w:t>
      </w:r>
    </w:p>
    <w:p w14:paraId="5AA67EB3" w14:textId="77777777" w:rsidR="00F4780A" w:rsidRDefault="00F4780A">
      <w:pPr>
        <w:autoSpaceDE/>
        <w:autoSpaceDN/>
        <w:adjustRightInd/>
        <w:spacing w:line="278" w:lineRule="auto"/>
        <w:ind w:firstLine="0"/>
        <w:jc w:val="left"/>
        <w:rPr>
          <w:rFonts w:eastAsia="Calibri"/>
          <w:kern w:val="0"/>
          <w14:ligatures w14:val="none"/>
        </w:rPr>
      </w:pPr>
      <w:r>
        <w:br w:type="page"/>
      </w:r>
    </w:p>
    <w:p w14:paraId="020425EE" w14:textId="25BE02B7" w:rsidR="008D6D46" w:rsidRPr="00FD0F64" w:rsidRDefault="008D6D46" w:rsidP="00460034">
      <w:pPr>
        <w:pStyle w:val="Heading2"/>
        <w:numPr>
          <w:ilvl w:val="1"/>
          <w:numId w:val="20"/>
        </w:numPr>
      </w:pPr>
      <w:bookmarkStart w:id="25" w:name="_Toc233585254"/>
      <w:r>
        <w:lastRenderedPageBreak/>
        <w:t>Research Questions</w:t>
      </w:r>
      <w:bookmarkEnd w:id="25"/>
    </w:p>
    <w:p w14:paraId="4E117ADE" w14:textId="77777777" w:rsidR="00A42CC6" w:rsidRDefault="00460034" w:rsidP="007E0CE0">
      <w:pPr>
        <w:pStyle w:val="ThesisParagraphText"/>
        <w:ind w:firstLine="0"/>
      </w:pPr>
      <w:r>
        <w:t xml:space="preserve">This study seeks to answer the following questions: </w:t>
      </w:r>
    </w:p>
    <w:p w14:paraId="2AD9B591" w14:textId="77777777" w:rsidR="00A42CC6" w:rsidRDefault="00460034" w:rsidP="0068163B">
      <w:pPr>
        <w:pStyle w:val="ThesisParagraphText"/>
        <w:ind w:left="720" w:firstLine="0"/>
      </w:pPr>
      <w:r>
        <w:rPr>
          <w:b/>
          <w:bCs/>
        </w:rPr>
        <w:t>(1)</w:t>
      </w:r>
      <w:r>
        <w:t xml:space="preserve"> How do advanced ensemble architectures, specifically two-stage and ordinal classifiers, compare against traditional single-stage base models in predicting granular payment brackets within a private educational context? </w:t>
      </w:r>
    </w:p>
    <w:p w14:paraId="38107C4D" w14:textId="44C3D758" w:rsidR="00A42CC6" w:rsidRDefault="00460034" w:rsidP="00477850">
      <w:pPr>
        <w:pStyle w:val="ThesisParagraphText"/>
        <w:ind w:left="720" w:firstLine="0"/>
      </w:pPr>
      <w:r>
        <w:rPr>
          <w:b/>
          <w:bCs/>
        </w:rPr>
        <w:t>(2)</w:t>
      </w:r>
      <w:r>
        <w:t xml:space="preserve"> How do survival-analysis-derived features (hazard rates, survival probabilities) improve the predictive performance of classification models?</w:t>
      </w:r>
    </w:p>
    <w:p w14:paraId="3ABB20C2" w14:textId="77777777" w:rsidR="00A42CC6" w:rsidRDefault="00460034" w:rsidP="0068163B">
      <w:pPr>
        <w:pStyle w:val="ThesisParagraphText"/>
        <w:ind w:left="720" w:firstLine="0"/>
      </w:pPr>
      <w:r>
        <w:rPr>
          <w:b/>
          <w:bCs/>
        </w:rPr>
        <w:t>(3)</w:t>
      </w:r>
      <w:r>
        <w:t xml:space="preserve"> Which class-balancing strategies (SMOTE, hybrid undersampling, etc.) provide the most robust performance for educational accounts-receivable data characterized by extreme class imbalance? </w:t>
      </w:r>
    </w:p>
    <w:p w14:paraId="742FC9C4" w14:textId="1664F942" w:rsidR="00460034" w:rsidRPr="00A42CC6" w:rsidRDefault="00460034" w:rsidP="0068163B">
      <w:pPr>
        <w:pStyle w:val="ThesisParagraphText"/>
        <w:ind w:left="720" w:firstLine="0"/>
        <w:rPr>
          <w:b/>
          <w:bCs/>
        </w:rPr>
      </w:pPr>
      <w:r>
        <w:rPr>
          <w:b/>
          <w:bCs/>
        </w:rPr>
        <w:t>(4)</w:t>
      </w:r>
      <w:r>
        <w:t xml:space="preserve"> How do granular line-item features (product types, specific fees) influence payment timing compared to aggregate student-level variables?</w:t>
      </w:r>
    </w:p>
    <w:p w14:paraId="685C47C8" w14:textId="77777777" w:rsidR="009E17FB" w:rsidRPr="00FD0F64" w:rsidRDefault="009E17FB" w:rsidP="009E17FB">
      <w:pPr>
        <w:pStyle w:val="Heading2"/>
      </w:pPr>
      <w:bookmarkStart w:id="26" w:name="_Toc233585255"/>
      <w:r>
        <w:t>1.4 Research Objectives</w:t>
      </w:r>
      <w:bookmarkEnd w:id="26"/>
    </w:p>
    <w:p w14:paraId="1BE2F1F2" w14:textId="77777777" w:rsidR="008A0E22" w:rsidRDefault="00284755" w:rsidP="00C46876">
      <w:pPr>
        <w:pStyle w:val="ThesisParagraphText"/>
        <w:ind w:firstLine="0"/>
      </w:pPr>
      <w:r>
        <w:t xml:space="preserve">The primary goal of this research is to develop and benchmark a high-performance machine learning pipeline for educational IPPP. Specifically, the study aims to: </w:t>
      </w:r>
    </w:p>
    <w:p w14:paraId="656A7130" w14:textId="77777777" w:rsidR="008A0E22" w:rsidRDefault="00284755" w:rsidP="008A0E22">
      <w:pPr>
        <w:pStyle w:val="ThesisParagraphText"/>
        <w:ind w:left="720" w:firstLine="0"/>
      </w:pPr>
      <w:r>
        <w:rPr>
          <w:b/>
          <w:bCs/>
        </w:rPr>
        <w:t>(1)</w:t>
      </w:r>
      <w:r>
        <w:t xml:space="preserve"> Conduct a large-scale benchmarking over 1,092 experimental configurations to identify the optimal model/preprocessing combination. </w:t>
      </w:r>
    </w:p>
    <w:p w14:paraId="488FCD20" w14:textId="77777777" w:rsidR="008A0E22" w:rsidRDefault="00284755" w:rsidP="008A0E22">
      <w:pPr>
        <w:pStyle w:val="ThesisParagraphText"/>
        <w:ind w:left="720" w:firstLine="0"/>
      </w:pPr>
      <w:r>
        <w:rPr>
          <w:b/>
          <w:bCs/>
        </w:rPr>
        <w:t>(2)</w:t>
      </w:r>
      <w:r>
        <w:t xml:space="preserve"> Develop a two-stage ensemble architecture that separates delinquent from on-time invoices before classifying delay severity. </w:t>
      </w:r>
    </w:p>
    <w:p w14:paraId="1D5C81DA" w14:textId="77777777" w:rsidR="008A0E22" w:rsidRDefault="00284755" w:rsidP="008A0E22">
      <w:pPr>
        <w:pStyle w:val="ThesisParagraphText"/>
        <w:ind w:left="720" w:firstLine="0"/>
      </w:pPr>
      <w:r>
        <w:rPr>
          <w:b/>
          <w:bCs/>
        </w:rPr>
        <w:t>(3)</w:t>
      </w:r>
      <w:r>
        <w:t xml:space="preserve"> Evaluate the impact of survival-feature engineering on classifier sensitivity and recall for late-payment brackets. </w:t>
      </w:r>
    </w:p>
    <w:p w14:paraId="373AC3DC" w14:textId="6E8C7474" w:rsidR="00644089" w:rsidRPr="00FD0F64" w:rsidRDefault="00284755" w:rsidP="008A0E22">
      <w:pPr>
        <w:pStyle w:val="ThesisParagraphText"/>
        <w:ind w:left="720" w:firstLine="0"/>
      </w:pPr>
      <w:r>
        <w:rPr>
          <w:b/>
          <w:bCs/>
        </w:rPr>
        <w:t>(4)</w:t>
      </w:r>
      <w:r>
        <w:t xml:space="preserve"> Provide an empirically grounded framework for private schools to transition from reactive to proactive receivable management.</w:t>
      </w:r>
    </w:p>
    <w:p w14:paraId="03AD105D" w14:textId="77777777" w:rsidR="00477850" w:rsidRDefault="00750A62" w:rsidP="00477850">
      <w:pPr>
        <w:pStyle w:val="Heading2"/>
      </w:pPr>
      <w:bookmarkStart w:id="27" w:name="_Toc233585256"/>
      <w:r>
        <w:lastRenderedPageBreak/>
        <w:t>1.5 Significance of the Study</w:t>
      </w:r>
      <w:bookmarkEnd w:id="27"/>
    </w:p>
    <w:p w14:paraId="1F410A7B" w14:textId="0B1A1BE6" w:rsidR="00477850" w:rsidRPr="00ED7F72" w:rsidRDefault="00477850" w:rsidP="00477850">
      <w:pPr>
        <w:pStyle w:val="ThesisParagraphText"/>
        <w:rPr>
          <w:rFonts w:eastAsiaTheme="majorEastAsia"/>
          <w:kern w:val="2"/>
          <w14:ligatures w14:val="standardContextual"/>
        </w:rPr>
      </w:pPr>
      <w:r>
        <w:rPr>
          <w:lang w:val="en-PH" w:eastAsia="en-PH"/>
        </w:rPr>
        <w:t>This study offers direct operational value to the partner institution. As shown in Table 2.1, bad debts expense rose from PHP 248,650 in school year 2019 to PHP 352,075 in 2025, with Days Sales Outstanding persisting between 36 and 49 days in recent years, indicating that reactive collection practices have not sufficiently contained receivable risk. By predicting the payment bracket of every invoice at issuance, the system enables finance officers to anticipate cash shortfalls, target reminders and restructuring offers before due dates lapse, and reduce bad-debt exposure by shifting from reactive to proactive cash flow management. Beyond the partner school, the framework is transferable to Philippine private schools broadly: such institutions share substantially similar installment-billing structures and operate under the same enforcement constraints imposed by Republic Act 11984 [11], so any school capable of exporting standard revenue and enrollment records can retrain the pipeline on its own data without architectural modification.</w:t>
      </w:r>
    </w:p>
    <w:p w14:paraId="1D3BCCB4" w14:textId="77777777" w:rsidR="00477850" w:rsidRPr="00477850" w:rsidRDefault="00477850" w:rsidP="00477850">
      <w:pPr>
        <w:pStyle w:val="ThesisParagraphText"/>
        <w:rPr>
          <w:lang w:val="en-PH" w:eastAsia="en-PH"/>
        </w:rPr>
      </w:pPr>
      <w:r>
        <w:rPr>
          <w:lang w:val="en-PH" w:eastAsia="en-PH"/>
        </w:rPr>
        <w:t>      For the academic community, this is the first study to benchmark ordinal classifiers and two-stage ensemble architectures specifically for the educational Invoice Payment Prediction Problem, directly addressing the methodological gaps identified in Schoonbee et al. [5] and Moore and van Vuuren [4]. For data science practice more generally, the study demonstrates that survival-analysis feature engineering has conditional rather than universal utility: Cox-derived hazard features improve distance-based and probabilistic learners while contributing redundant or noisy signal to high-capacity tree ensembles. This finding carries implications beyond the IPPP, suggesting that feature engineering effort should be allocated according to the inductive capacity of the downstream learner rather than applied uniformly across model families.</w:t>
      </w:r>
    </w:p>
    <w:p w14:paraId="659BB94F" w14:textId="0482422F" w:rsidR="00856161" w:rsidRDefault="00750A62">
      <w:pPr>
        <w:pStyle w:val="Heading2"/>
      </w:pPr>
      <w:bookmarkStart w:id="28" w:name="_Toc233585257"/>
      <w:r>
        <w:lastRenderedPageBreak/>
        <w:t>1.6 Alignment with United Nations Sustainable Development Goals</w:t>
      </w:r>
      <w:bookmarkEnd w:id="28"/>
    </w:p>
    <w:p w14:paraId="2220EEAE" w14:textId="77777777" w:rsidR="00856161" w:rsidRDefault="00750A62">
      <w:pPr>
        <w:pStyle w:val="ThesisParagraphText"/>
      </w:pPr>
      <w:r>
        <w:t>This research contributes to several of the United Nations Sustainable Development Goals (SDGs) articulated in the 2030 Agenda for Sustainable Development [13]. With respect to SDG 4 (Quality Education), the prediction system protects an institution's capacity to deliver quality education by helping it maintain financial sustainability: schools facing cash flow crises may be forced to cut staff, reduce learning resources, or close programs, so proactive receivables management directly protects educational continuity. With respect to SDG 8 (Decent Work and Economic Growth), predictive accounts-receivable management reduces financial uncertainty for small and medium-sized private educational institutions, supporting their role as employers and contributors to local economic activity.</w:t>
      </w:r>
    </w:p>
    <w:p w14:paraId="64716106" w14:textId="77777777" w:rsidR="00856161" w:rsidRDefault="00750A62">
      <w:pPr>
        <w:pStyle w:val="ThesisParagraphText"/>
      </w:pPr>
      <w:r>
        <w:t>The study likewise advances SDG 10 (Reduced Inequalities), because the model enables schools to identify at-risk families earlier and to offer targeted payment assistance, installment restructuring or referral for social welfare certification, rather than punitive enforcement, consistent with the equity-oriented intent of Republic Act 11984 [11]. With respect to SDG 16 (Peace, Justice, and Strong Institutions), the use of pseudonymized data, compliance with the Data Privacy Act of 2012, and a transparent, fully logged machine learning methodology demonstrate responsible institutional governance and data stewardship. Finally, in support of SDG 17 (Partnerships for the Goals), the open benchmarking framework and the accompanying web prototype are designed to be replicable by other institutions, supporting knowledge sharing and institutional capacity building across the sector.</w:t>
      </w:r>
    </w:p>
    <w:p w14:paraId="6CA41EE2" w14:textId="77777777" w:rsidR="008F6B74" w:rsidRPr="00FD0F64" w:rsidRDefault="008F6B74" w:rsidP="008F6B74">
      <w:pPr>
        <w:pStyle w:val="Heading2"/>
      </w:pPr>
      <w:bookmarkStart w:id="29" w:name="_Toc233585258"/>
      <w:r>
        <w:lastRenderedPageBreak/>
        <w:t>1.7 Scope and Limitations</w:t>
      </w:r>
      <w:bookmarkEnd w:id="29"/>
    </w:p>
    <w:p w14:paraId="6F41C008" w14:textId="77777777" w:rsidR="00C27E59" w:rsidRPr="00FD0F64" w:rsidRDefault="00C27E59" w:rsidP="00C27E59">
      <w:pPr>
        <w:pStyle w:val="ThesisParagraphText"/>
        <w:ind w:firstLine="720"/>
      </w:pPr>
      <w:r>
        <w:t xml:space="preserve">This study is focused on the Invoice Payment Prediction Problem within a single private educational institution in the Philippines. The dataset comprises 6,527 unique invoice records spanning three academic years (2022–2025). The research evaluates fifteen specific classifier types across seven resampling strategies and two feature regimes. </w:t>
      </w:r>
    </w:p>
    <w:p w14:paraId="45AFA5D1" w14:textId="5A9DD943" w:rsidR="00DF7EF9" w:rsidRDefault="00C27E59" w:rsidP="00DD5178">
      <w:pPr>
        <w:pStyle w:val="ThesisParagraphText"/>
        <w:ind w:firstLine="720"/>
      </w:pPr>
      <w:r>
        <w:t>Several limitations bound the interpretation of these results. The study draws on data from a single institution, which may limit generalizability to schools with significantly different demographic or socioeconomic profiles. The predictive models are trained on historical journal entries and therefore cannot account for real-time external economic shocks, such as localized inflation or family-level crises, that are not captured in the pseudonymized financial records. Finally, the survival features are derived from a Cox Proportional Hazards model, which assumes a linear relationship between covariates and the log-hazard and may consequently miss non-linear temporal interactions.</w:t>
        <w:br w:type="page"/>
      </w:r>
    </w:p>
    <w:p w14:paraId="2CEF702A" w14:textId="77777777" w:rsidR="00BF5DAF" w:rsidRPr="00FD0F64" w:rsidRDefault="00E05849" w:rsidP="0038438F">
      <w:pPr>
        <w:pStyle w:val="Heading1"/>
      </w:pPr>
      <w:bookmarkStart w:id="30" w:name="_Toc204781961"/>
      <w:bookmarkStart w:id="31" w:name="_Toc204781986"/>
      <w:bookmarkStart w:id="32" w:name="_Toc233585259"/>
      <w:r>
        <w:lastRenderedPageBreak/>
        <w:t>CHAPTER 2</w:t>
      </w:r>
      <w:r>
        <w:rPr>
          <w:color w:val="FFFFFF" w:themeColor="background1"/>
        </w:rPr>
        <w:t>:</w:t>
      </w:r>
      <w:r>
        <w:br/>
        <w:t>REVIEW OF RELATED LITERATURE &amp; STUDIES</w:t>
      </w:r>
      <w:bookmarkEnd w:id="30"/>
      <w:bookmarkEnd w:id="31"/>
      <w:bookmarkEnd w:id="32"/>
    </w:p>
    <w:p w14:paraId="05028584" w14:textId="77777777" w:rsidR="004E0828" w:rsidRDefault="000D1FB7" w:rsidP="004E0828">
      <w:pPr>
        <w:pStyle w:val="Heading2"/>
      </w:pPr>
      <w:bookmarkStart w:id="33" w:name="_Toc233585260"/>
      <w:r>
        <w:t>2.1 Introduction</w:t>
      </w:r>
      <w:bookmarkEnd w:id="33"/>
    </w:p>
    <w:p w14:paraId="4F477A62" w14:textId="100E3CCF" w:rsidR="004E0828" w:rsidRPr="004E0828" w:rsidRDefault="004E0828" w:rsidP="001853D5">
      <w:pPr>
        <w:pStyle w:val="ThesisParagraphText"/>
        <w:rPr>
          <w:rFonts w:eastAsiaTheme="majorEastAsia"/>
          <w:kern w:val="2"/>
          <w14:ligatures w14:val="standardContextual"/>
        </w:rPr>
      </w:pPr>
      <w:r>
        <w:rPr>
          <w:lang w:val="en-PH" w:eastAsia="en-PH"/>
        </w:rPr>
        <w:t>This chapter reviews the body of literature and studies relevant to the prediction of invoice payment behaviors using machine learning (ML), focusing on the unique challenges faced by educational institutions. It establishes the institutional and financial context of the partner school, compares invoicing and receivables practices across sectors, and examines the role of ML in financial forecasting and invoice payment prediction, highlighting the importance of granular, student- and product-specific variables in improving predictive accuracy.</w:t>
      </w:r>
    </w:p>
    <w:p w14:paraId="042ED261" w14:textId="77777777" w:rsidR="004E0828" w:rsidRPr="00CF63BA" w:rsidRDefault="004E0828" w:rsidP="00CF63BA">
      <w:pPr>
        <w:pStyle w:val="ThesisParagraphText"/>
      </w:pPr>
      <w:r>
        <w:rPr>
          <w:lang w:val="en-PH" w:eastAsia="en-PH"/>
        </w:rPr>
        <w:t>      The chapter subsequently discusses tuition debt collection in learning institutions, covering industry practices, school-level strategies, operational consequences of unpaid fees, and the socioeconomic and behavioral factors that influence payment behaviors. It then assesses existing intervention strategies and justifies the study's chosen approach, before reviewing methodological advances in ordinal classification, two-stage ensemble architectures, and survival analysis that inform this study's expanded model set, closing with a synthesis of findings and gaps to position this research within the academic discourse.</w:t>
      </w:r>
    </w:p>
    <w:p w14:paraId="13497F60" w14:textId="77777777" w:rsidR="004E0828" w:rsidRPr="004E0828" w:rsidRDefault="004E0828" w:rsidP="001853D5">
      <w:pPr>
        <w:pStyle w:val="ThesisParagraphText"/>
        <w:rPr>
          <w:lang w:val="en-PH" w:eastAsia="en-PH"/>
        </w:rPr>
      </w:pPr>
      <w:r>
        <w:rPr>
          <w:lang w:val="en-PH" w:eastAsia="en-PH"/>
        </w:rPr>
        <w:t>      Through this structure, this chapter not only reviews existing knowledge but also clarifies the specific gaps this study addresses: the lack of granular, institution-specific features in predictive models; the absence of ordinal and two-stage classifiers in educational IPPP benchmarks; and the untested utility of survival-derived features as engineered inputs for payment-timing models.</w:t>
      </w:r>
    </w:p>
    <w:p w14:paraId="6142064B" w14:textId="2B285745" w:rsidR="00656D85" w:rsidRPr="00FD0F64" w:rsidRDefault="00656D85" w:rsidP="00656D85">
      <w:pPr>
        <w:pStyle w:val="Heading2"/>
      </w:pPr>
      <w:bookmarkStart w:id="34" w:name="_Toc233585261"/>
      <w:r>
        <w:lastRenderedPageBreak/>
        <w:t>2.2 Global and Cross-Sector Practices in Receivables  and Debt Management</w:t>
      </w:r>
      <w:bookmarkEnd w:id="34"/>
    </w:p>
    <w:p w14:paraId="3CF84935" w14:textId="77777777" w:rsidR="00BE2040" w:rsidRPr="00FD0F64" w:rsidRDefault="00BE2040" w:rsidP="006665DA">
      <w:pPr>
        <w:pStyle w:val="ThesisParagraphText"/>
      </w:pPr>
      <w:r>
        <w:t>Invoicing and managing receivables vary depending on the sector, reflecting the various needs and differences in service delivery, customer expectations, and regulations. Restaurants and the retail industry follow a full-payment model; customers pay upfront before they receive goods or services, which minimizes the risk of unpaid bills. The healthcare industry, meanwhile, typically handles emergency services upfront but depends on insurance or post-care billing to manage receivables. In the education sector, however, access to learning is considered crucial, and withholding it would breach both legal rights and policy commitments. These differences show how schools face a unique challenge, requiring the need to balance accessibility with financial sustainability.</w:t>
      </w:r>
    </w:p>
    <w:p w14:paraId="1C1D478E" w14:textId="77777777" w:rsidR="00BE2040" w:rsidRPr="00FD0F64" w:rsidRDefault="00BE2040" w:rsidP="006665DA">
      <w:pPr>
        <w:pStyle w:val="ThesisParagraphText"/>
      </w:pPr>
      <w:r>
        <w:t>On the corporate finance side, companies often use smart, data-backed methods to manage their receivables. Peng and Tian [14] created an intelligent optimization model that showcases how predictive analytics can lessen financial pressure by foreseeing potential late payments. Similarly, Ramkumar and Karthick [15] found that machine learning techniques significantly outperform traditional methods in predicting how and when payments will be made. More recent studies, such as Abbas and Hussein [9], confirm that ML models like XGBoost and LightGBM significantly improve the accuracy of loan default prediction compared to conventional statistical approaches. These findings underscore the growing reliance on predictive modeling across industries to safeguard liquidity and reduce bad debt accumulation.</w:t>
      </w:r>
    </w:p>
    <w:p w14:paraId="2A4EC923" w14:textId="77777777" w:rsidR="00BE2040" w:rsidRPr="00FD0F64" w:rsidRDefault="00BE2040" w:rsidP="006665DA">
      <w:pPr>
        <w:pStyle w:val="ThesisParagraphText"/>
      </w:pPr>
      <w:r>
        <w:t xml:space="preserve">This challenge has become more pronounced in the Philippine context with the enactment of the No Permit, No Exam Prohibition Act (RA 11984) [11], which bars schools from denying students access to examinations due to unpaid tuition. While the law </w:t>
        <w:lastRenderedPageBreak/>
        <w:t>promotes educational equity, it also removes one of the primary reinforcement mechanisms schools previously relied on to ensure timely payments. Respicio and Co. Law [16] warned that this shift may lead to higher accounts receivable balances, delayed cash inflows, and increased risk of bad debts unless schools adopt proactive financial management strategies. The implementing guidelines further introduce administrative steps. Requiring students to submit social welfare certifications and promissory documents which lengthen collection cycles and extend credit exposure.</w:t>
      </w:r>
    </w:p>
    <w:p w14:paraId="2B87002F" w14:textId="77777777" w:rsidR="00E761CD" w:rsidRPr="00FD0F64" w:rsidRDefault="00BE2040" w:rsidP="00AB3E4C">
      <w:pPr>
        <w:pStyle w:val="ThesisParagraphText"/>
      </w:pPr>
      <w:r>
        <w:t>These cross-sector practices reveal two insights relevant to this study. First, industries that minimize receivable risk do so by requiring upfront payment or leveraging external systems like insurance; options unavailable to schools. Second, sectors that face higher receivable risks increasingly rely on predictive analytics and ML to anticipate defaults and prioritize interventions. These insights provide a foundation for examining how similar approaches can be adapted to the educational context, where financial sustainability must be balanced with accessibility. The following section examines how educational institutions worldwide have responded to this challenge through their tuition collection strategies.</w:t>
      </w:r>
    </w:p>
    <w:p w14:paraId="751ED4F3" w14:textId="77777777" w:rsidR="00E761CD" w:rsidRPr="00FD0F64" w:rsidRDefault="00E761CD" w:rsidP="00E761CD">
      <w:pPr>
        <w:pStyle w:val="Heading2"/>
      </w:pPr>
      <w:bookmarkStart w:id="35" w:name="_Toc233585262"/>
      <w:r>
        <w:t>2.3 Tuition Collection Strategies in Educational Institutions Worldwide</w:t>
      </w:r>
      <w:bookmarkEnd w:id="35"/>
    </w:p>
    <w:p w14:paraId="3ADC723A" w14:textId="77777777" w:rsidR="00CC403E" w:rsidRPr="00FD0F64" w:rsidRDefault="00CC403E" w:rsidP="00CC403E">
      <w:pPr>
        <w:pStyle w:val="ThesisParagraphText"/>
      </w:pPr>
      <w:r>
        <w:t>Educational institutions across the globe employ a variety of tuition collection strategies, shaped by their financial structures, regulatory environments, and commitments to accessibility. Unlike corporate sectors where upfront payment is the norm, schools often extend credit to students and families in the form of installment plans, deferred payments, or fee exemptions. These arrangements are designed to promote inclusivity but also expose institutions to heightened risks of delayed or non-payment.</w:t>
      </w:r>
    </w:p>
    <w:p w14:paraId="3616EFF7" w14:textId="77777777" w:rsidR="00CC403E" w:rsidRPr="00FD0F64" w:rsidRDefault="00CC403E" w:rsidP="00CC403E">
      <w:pPr>
        <w:pStyle w:val="ThesisParagraphText"/>
      </w:pPr>
      <w:r>
        <w:lastRenderedPageBreak/>
        <w:t>In South Africa, Mestry [17] emphasized that non-payment or partial payment of school fees disrupts budget execution and undermines institutional goals, while Naicker [18] found that fluctuating fee payments complicate financial planning and threaten sustainability. The Education Policy and Data Center [19] similarly documented implementation gaps in fee collection policies, where unclear guidelines led to inconsistent and delayed payments. MRI Software TPN [20] also noted that unpaid fees force reductions in staff and infrastructure investment. Broader reports by the Associated Press [21] and the World Bank [22] confirm that unpredictable school-fee systems across Sub-Saharan Africa have caused both increased arrears and higher dropout rates, further destabilizing education systems.</w:t>
      </w:r>
    </w:p>
    <w:p w14:paraId="2900A8DB" w14:textId="77777777" w:rsidR="00CC403E" w:rsidRPr="00FD0F64" w:rsidRDefault="00CC403E" w:rsidP="00CC403E">
      <w:pPr>
        <w:pStyle w:val="ThesisParagraphText"/>
      </w:pPr>
      <w:r>
        <w:t>In Asia, similar patterns emerge. Thuy et al. [23] compared machine learning and deep learning models in student credit scoring in Vietnam, highlighting the growing need for predictive approaches to manage tuition-related risks. Their findings suggest that data-driven models can help schools anticipate defaults and design targeted interventions. In the Philippines, Carvajal et al. [24] revealed that low levels of financial literacy contribute to poor debt management among students, while Mencias-Tabernilla [25] documented how teachers themselves often struggle with debt, indirectly affecting household capacity to meet tuition obligations.</w:t>
      </w:r>
    </w:p>
    <w:p w14:paraId="195A9009" w14:textId="77777777" w:rsidR="00AB3E4C" w:rsidRPr="00FD0F64" w:rsidRDefault="00CC403E" w:rsidP="00CC403E">
      <w:pPr>
        <w:pStyle w:val="ThesisParagraphText"/>
      </w:pPr>
      <w:r>
        <w:t xml:space="preserve">These international experiences show two consistent themes. First, tuition-based institutions must balance their social mission of accessibility with the financial necessity of sustainability. Second, traditional collection mechanisms such as installment plans, promissory notes, or punitive restrictions are increasingly inadequate in volatile economic and policy environments. As a result, schools worldwide are beginning to explore more </w:t>
        <w:lastRenderedPageBreak/>
        <w:t>proactive and data-driven approaches to receivables management to anticipate defaults and mitigate their operational impact. These global pressures take a specific institutional form in the Philippines, where regulatory constraints further narrow the collection options available to private schools, as the next section details.</w:t>
      </w:r>
    </w:p>
    <w:p w14:paraId="42545EC5" w14:textId="77777777" w:rsidR="00CC403E" w:rsidRPr="00FD0F64" w:rsidRDefault="00D013EE" w:rsidP="00D013EE">
      <w:pPr>
        <w:pStyle w:val="Heading2"/>
      </w:pPr>
      <w:bookmarkStart w:id="36" w:name="_Toc233585263"/>
      <w:r>
        <w:t>2.4 Institutional Context: Philippine Schools and the Partner Institution</w:t>
      </w:r>
      <w:bookmarkEnd w:id="36"/>
    </w:p>
    <w:p w14:paraId="39C47991" w14:textId="77777777" w:rsidR="00161F43" w:rsidRPr="00FD0F64" w:rsidRDefault="00161F43" w:rsidP="00161F43">
      <w:pPr>
        <w:pStyle w:val="ThesisParagraphText"/>
      </w:pPr>
      <w:r>
        <w:t>The data for this study were drawn from a private Christian educational institution located in Montalban, Rizal, established in 2006. The school offers a comprehensive curriculum spanning pre-elementary (Nursery to Kinder 2), elementary (Grades 1-6), junior high school (Grades 7-10), and special education programs.</w:t>
      </w:r>
    </w:p>
    <w:p w14:paraId="41788CE3" w14:textId="77777777" w:rsidR="00856161" w:rsidRDefault="00750A62">
      <w:pPr>
        <w:pStyle w:val="ThesisParagraphText"/>
      </w:pPr>
      <w:r>
        <w:t>Table 2.1 summarizes the institution's bad debts expense, student balances, and Days Sales Outstanding across school years 2019–2025, documenting the receivables trend that motivates this study.</w:t>
      </w:r>
    </w:p>
    <w:p w14:paraId="48C1B8CE" w14:textId="6AA512AA" w:rsidR="007A55CD" w:rsidRPr="00FD0F64" w:rsidRDefault="00336D4B" w:rsidP="00336D4B">
      <w:pPr>
        <w:pStyle w:val="Caption"/>
      </w:pPr>
      <w:bookmarkStart w:id="37" w:name="_Toc233585350"/>
      <w:r>
        <w:t>Table 2.</w:t>
      </w:r>
      <w:r>
        <w:rPr>
          <w:noProof/>
        </w:rPr>
        <w:fldChar w:fldCharType="begin"/>
        <w:instrText xml:space="preserve"> SEQ Table \* ARABIC \r 1 </w:instrText>
        <w:fldChar w:fldCharType="separate"/>
        <w:t>1</w:t>
        <w:fldChar w:fldCharType="end"/>
      </w:r>
      <w:r>
        <w:t>.  Trend of Bad Debts Expense (BDE), Student Balances, and Days Sales Outstanding (DSO), School Years 2019-2025.</w:t>
      </w:r>
      <w:bookmarkEnd w:id="37"/>
    </w:p>
    <w:tbl>
      <w:tblPr>
        <w:tblStyle w:val="PlainTable5"/>
        <w:tblW w:w="0" w:type="auto"/>
        <w:tblLayout w:type="fixed"/>
        <w:tblLook w:val="06A0" w:firstRow="1" w:lastRow="0" w:firstColumn="1" w:lastColumn="0" w:noHBand="1" w:noVBand="1"/>
      </w:tblPr>
      <w:tblGrid>
        <w:gridCol w:w="1440"/>
        <w:gridCol w:w="1440"/>
        <w:gridCol w:w="1440"/>
        <w:gridCol w:w="1440"/>
        <w:gridCol w:w="1440"/>
        <w:gridCol w:w="1440"/>
      </w:tblGrid>
      <w:tr w:rsidR="00336D4B" w:rsidRPr="00FD0F64" w14:paraId="62190557" w14:textId="77777777" w:rsidTr="007D1C45">
        <w:trPr>
          <w:cnfStyle w:val="100000000000" w:firstRow="1" w:lastRow="0" w:firstColumn="0" w:lastColumn="0" w:oddVBand="0" w:evenVBand="0" w:oddHBand="0" w:evenHBand="0" w:firstRowFirstColumn="0" w:firstRowLastColumn="0" w:lastRowFirstColumn="0" w:lastRowLastColumn="0"/>
          <w:trHeight w:val="300"/>
        </w:trPr>
        <w:tc>
          <w:tcPr>
            <w:cnfStyle w:val="001000000100" w:firstRow="0" w:lastRow="0" w:firstColumn="1" w:lastColumn="0" w:oddVBand="0" w:evenVBand="0" w:oddHBand="0" w:evenHBand="0" w:firstRowFirstColumn="1" w:firstRowLastColumn="0" w:lastRowFirstColumn="0" w:lastRowLastColumn="0"/>
            <w:tcW w:w="1440" w:type="dxa"/>
            <w:vAlign w:val="bottom"/>
          </w:tcPr>
          <w:p w14:paraId="4ADB9698" w14:textId="77777777" w:rsidR="00336D4B" w:rsidRPr="00FD0F64" w:rsidRDefault="00336D4B" w:rsidP="007D1C45">
            <w:pPr>
              <w:spacing w:line="240" w:lineRule="auto"/>
              <w:ind w:hanging="23"/>
              <w:jc w:val="center"/>
              <w:rPr>
                <w:sz w:val="18"/>
                <w:szCs w:val="16"/>
              </w:rPr>
            </w:pPr>
            <w:r>
              <w:rPr>
                <w:sz w:val="18"/>
                <w:szCs w:val="16"/>
              </w:rPr>
              <w:t>School year</w:t>
            </w:r>
          </w:p>
        </w:tc>
        <w:tc>
          <w:tcPr>
            <w:tcW w:w="1440" w:type="dxa"/>
            <w:vAlign w:val="bottom"/>
          </w:tcPr>
          <w:p w14:paraId="652D244D"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Pr>
                <w:sz w:val="18"/>
                <w:szCs w:val="16"/>
              </w:rPr>
              <w:t>Amount of BDE (in PH₱)</w:t>
            </w:r>
          </w:p>
        </w:tc>
        <w:tc>
          <w:tcPr>
            <w:tcW w:w="1440" w:type="dxa"/>
            <w:vAlign w:val="bottom"/>
          </w:tcPr>
          <w:p w14:paraId="0FD68B12"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Pr>
                <w:sz w:val="18"/>
                <w:szCs w:val="16"/>
              </w:rPr>
              <w:t>% (Bad Debts vs Gross Accounts Receivables)</w:t>
            </w:r>
          </w:p>
        </w:tc>
        <w:tc>
          <w:tcPr>
            <w:tcW w:w="1440" w:type="dxa"/>
            <w:vAlign w:val="bottom"/>
          </w:tcPr>
          <w:p w14:paraId="34A1F700"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Pr>
                <w:sz w:val="18"/>
                <w:szCs w:val="16"/>
              </w:rPr>
              <w:t>No. Of Enrolled</w:t>
            </w:r>
          </w:p>
        </w:tc>
        <w:tc>
          <w:tcPr>
            <w:tcW w:w="1440" w:type="dxa"/>
            <w:vAlign w:val="bottom"/>
          </w:tcPr>
          <w:p w14:paraId="448D7D16"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Pr>
                <w:sz w:val="18"/>
                <w:szCs w:val="16"/>
              </w:rPr>
              <w:t>No. Of Students with Balance Left</w:t>
            </w:r>
          </w:p>
        </w:tc>
        <w:tc>
          <w:tcPr>
            <w:tcW w:w="1440" w:type="dxa"/>
            <w:vAlign w:val="bottom"/>
          </w:tcPr>
          <w:p w14:paraId="030496C7" w14:textId="77777777" w:rsidR="00336D4B" w:rsidRPr="00FD0F64" w:rsidRDefault="00336D4B" w:rsidP="007D1C45">
            <w:pPr>
              <w:spacing w:line="240" w:lineRule="auto"/>
              <w:ind w:hanging="23"/>
              <w:jc w:val="center"/>
              <w:cnfStyle w:val="100000000000" w:firstRow="1" w:lastRow="0" w:firstColumn="0" w:lastColumn="0" w:oddVBand="0" w:evenVBand="0" w:oddHBand="0" w:evenHBand="0" w:firstRowFirstColumn="0" w:firstRowLastColumn="0" w:lastRowFirstColumn="0" w:lastRowLastColumn="0"/>
              <w:rPr>
                <w:sz w:val="18"/>
                <w:szCs w:val="16"/>
              </w:rPr>
            </w:pPr>
            <w:r>
              <w:rPr>
                <w:sz w:val="18"/>
                <w:szCs w:val="16"/>
              </w:rPr>
              <w:t>Days Sales Outstanding</w:t>
            </w:r>
          </w:p>
        </w:tc>
      </w:tr>
      <w:tr w:rsidR="00336D4B" w:rsidRPr="00FD0F64" w14:paraId="0F338AC0"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74EECB86" w14:textId="77777777" w:rsidR="00336D4B" w:rsidRPr="00FD0F64" w:rsidRDefault="00336D4B" w:rsidP="007D1C45">
            <w:pPr>
              <w:spacing w:line="240" w:lineRule="auto"/>
              <w:rPr>
                <w:sz w:val="18"/>
                <w:szCs w:val="16"/>
              </w:rPr>
            </w:pPr>
            <w:r>
              <w:rPr>
                <w:sz w:val="18"/>
                <w:szCs w:val="16"/>
              </w:rPr>
              <w:t>2019</w:t>
            </w:r>
          </w:p>
        </w:tc>
        <w:tc>
          <w:tcPr>
            <w:tcW w:w="1440" w:type="dxa"/>
          </w:tcPr>
          <w:p w14:paraId="0802BA43" w14:textId="77777777" w:rsidR="00336D4B" w:rsidRPr="00FD0F64" w:rsidRDefault="00336D4B"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248,650</w:t>
            </w:r>
          </w:p>
        </w:tc>
        <w:tc>
          <w:tcPr>
            <w:tcW w:w="1440" w:type="dxa"/>
          </w:tcPr>
          <w:p w14:paraId="6BB04313" w14:textId="77777777" w:rsidR="00336D4B" w:rsidRPr="00FD0F64" w:rsidRDefault="001A6738"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12.0%</w:t>
            </w:r>
          </w:p>
        </w:tc>
        <w:tc>
          <w:tcPr>
            <w:tcW w:w="1440" w:type="dxa"/>
          </w:tcPr>
          <w:p w14:paraId="640A2C95"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290</w:t>
            </w:r>
          </w:p>
        </w:tc>
        <w:tc>
          <w:tcPr>
            <w:tcW w:w="1440" w:type="dxa"/>
          </w:tcPr>
          <w:p w14:paraId="755D338E"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16</w:t>
            </w:r>
          </w:p>
        </w:tc>
        <w:tc>
          <w:tcPr>
            <w:tcW w:w="1440" w:type="dxa"/>
          </w:tcPr>
          <w:p w14:paraId="138FD037" w14:textId="77777777" w:rsidR="00336D4B" w:rsidRPr="00FD0F64" w:rsidRDefault="00EA31D4"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88</w:t>
            </w:r>
          </w:p>
        </w:tc>
      </w:tr>
      <w:tr w:rsidR="00336D4B" w:rsidRPr="00FD0F64" w14:paraId="5134A978"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475EA724" w14:textId="77777777" w:rsidR="00336D4B" w:rsidRPr="00FD0F64" w:rsidRDefault="00336D4B" w:rsidP="007D1C45">
            <w:pPr>
              <w:spacing w:line="240" w:lineRule="auto"/>
              <w:rPr>
                <w:sz w:val="18"/>
                <w:szCs w:val="16"/>
              </w:rPr>
            </w:pPr>
            <w:r>
              <w:rPr>
                <w:sz w:val="18"/>
                <w:szCs w:val="16"/>
              </w:rPr>
              <w:t>2020</w:t>
            </w:r>
          </w:p>
        </w:tc>
        <w:tc>
          <w:tcPr>
            <w:tcW w:w="1440" w:type="dxa"/>
          </w:tcPr>
          <w:p w14:paraId="153EDD2F" w14:textId="77777777" w:rsidR="00336D4B" w:rsidRPr="00FD0F64" w:rsidRDefault="00F803A1"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7,850</w:t>
            </w:r>
          </w:p>
        </w:tc>
        <w:tc>
          <w:tcPr>
            <w:tcW w:w="1440" w:type="dxa"/>
          </w:tcPr>
          <w:p w14:paraId="27B80408" w14:textId="77777777" w:rsidR="00336D4B" w:rsidRPr="00FD0F64" w:rsidRDefault="00F22A49"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0.8%</w:t>
            </w:r>
          </w:p>
        </w:tc>
        <w:tc>
          <w:tcPr>
            <w:tcW w:w="1440" w:type="dxa"/>
          </w:tcPr>
          <w:p w14:paraId="597F63F9"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150</w:t>
            </w:r>
          </w:p>
        </w:tc>
        <w:tc>
          <w:tcPr>
            <w:tcW w:w="1440" w:type="dxa"/>
          </w:tcPr>
          <w:p w14:paraId="072B22B9" w14:textId="77777777" w:rsidR="00336D4B" w:rsidRPr="00FD0F64" w:rsidRDefault="000529D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w:t>
            </w:r>
          </w:p>
        </w:tc>
        <w:tc>
          <w:tcPr>
            <w:tcW w:w="1440" w:type="dxa"/>
          </w:tcPr>
          <w:p w14:paraId="1CDFCFD4" w14:textId="77777777"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134</w:t>
            </w:r>
          </w:p>
        </w:tc>
      </w:tr>
      <w:tr w:rsidR="00336D4B" w:rsidRPr="00FD0F64" w14:paraId="30556657"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6C5635EF" w14:textId="77777777" w:rsidR="00336D4B" w:rsidRPr="00FD0F64" w:rsidRDefault="00336D4B" w:rsidP="007D1C45">
            <w:pPr>
              <w:spacing w:line="240" w:lineRule="auto"/>
              <w:rPr>
                <w:sz w:val="18"/>
                <w:szCs w:val="16"/>
              </w:rPr>
            </w:pPr>
            <w:r>
              <w:rPr>
                <w:sz w:val="18"/>
                <w:szCs w:val="16"/>
              </w:rPr>
              <w:t>2021</w:t>
            </w:r>
          </w:p>
        </w:tc>
        <w:tc>
          <w:tcPr>
            <w:tcW w:w="1440" w:type="dxa"/>
          </w:tcPr>
          <w:p w14:paraId="42600DC1" w14:textId="77777777" w:rsidR="00336D4B" w:rsidRPr="00FD0F64" w:rsidRDefault="00336D4B"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3,450</w:t>
            </w:r>
          </w:p>
        </w:tc>
        <w:tc>
          <w:tcPr>
            <w:tcW w:w="1440" w:type="dxa"/>
          </w:tcPr>
          <w:p w14:paraId="79FC8FBC"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0.1%</w:t>
            </w:r>
          </w:p>
        </w:tc>
        <w:tc>
          <w:tcPr>
            <w:tcW w:w="1440" w:type="dxa"/>
          </w:tcPr>
          <w:p w14:paraId="69230B57"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197</w:t>
            </w:r>
          </w:p>
        </w:tc>
        <w:tc>
          <w:tcPr>
            <w:tcW w:w="1440" w:type="dxa"/>
          </w:tcPr>
          <w:p w14:paraId="0077061D"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w:t>
            </w:r>
          </w:p>
        </w:tc>
        <w:tc>
          <w:tcPr>
            <w:tcW w:w="1440" w:type="dxa"/>
          </w:tcPr>
          <w:p w14:paraId="71324386" w14:textId="77777777"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38</w:t>
            </w:r>
          </w:p>
        </w:tc>
      </w:tr>
      <w:tr w:rsidR="00336D4B" w:rsidRPr="00FD0F64" w14:paraId="23452094"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5743E3F5" w14:textId="77777777" w:rsidR="00336D4B" w:rsidRPr="00FD0F64" w:rsidRDefault="00336D4B" w:rsidP="007D1C45">
            <w:pPr>
              <w:spacing w:line="240" w:lineRule="auto"/>
              <w:rPr>
                <w:sz w:val="18"/>
                <w:szCs w:val="16"/>
              </w:rPr>
            </w:pPr>
            <w:r>
              <w:rPr>
                <w:sz w:val="18"/>
                <w:szCs w:val="16"/>
              </w:rPr>
              <w:t>2022</w:t>
            </w:r>
          </w:p>
        </w:tc>
        <w:tc>
          <w:tcPr>
            <w:tcW w:w="1440" w:type="dxa"/>
          </w:tcPr>
          <w:p w14:paraId="628D0B5D" w14:textId="77777777" w:rsidR="00336D4B" w:rsidRPr="00FD0F64" w:rsidRDefault="00E85A25"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51,172</w:t>
            </w:r>
          </w:p>
        </w:tc>
        <w:tc>
          <w:tcPr>
            <w:tcW w:w="1440" w:type="dxa"/>
          </w:tcPr>
          <w:p w14:paraId="57F9D510" w14:textId="77777777" w:rsidR="00336D4B" w:rsidRPr="00FD0F64" w:rsidRDefault="00F22A49"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0.8%</w:t>
            </w:r>
          </w:p>
        </w:tc>
        <w:tc>
          <w:tcPr>
            <w:tcW w:w="1440" w:type="dxa"/>
          </w:tcPr>
          <w:p w14:paraId="266F9E55"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446</w:t>
            </w:r>
          </w:p>
        </w:tc>
        <w:tc>
          <w:tcPr>
            <w:tcW w:w="1440" w:type="dxa"/>
          </w:tcPr>
          <w:p w14:paraId="2319DC5A" w14:textId="77777777" w:rsidR="00336D4B" w:rsidRPr="00FD0F64" w:rsidRDefault="000529D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7</w:t>
            </w:r>
          </w:p>
        </w:tc>
        <w:tc>
          <w:tcPr>
            <w:tcW w:w="1440" w:type="dxa"/>
          </w:tcPr>
          <w:p w14:paraId="32272863" w14:textId="77777777"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53</w:t>
            </w:r>
          </w:p>
        </w:tc>
      </w:tr>
      <w:tr w:rsidR="00336D4B" w:rsidRPr="00FD0F64" w14:paraId="1ADAED25"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2DFF939A" w14:textId="77777777" w:rsidR="00336D4B" w:rsidRPr="00FD0F64" w:rsidRDefault="00336D4B" w:rsidP="007D1C45">
            <w:pPr>
              <w:spacing w:line="240" w:lineRule="auto"/>
              <w:rPr>
                <w:sz w:val="18"/>
                <w:szCs w:val="16"/>
              </w:rPr>
            </w:pPr>
            <w:r>
              <w:rPr>
                <w:sz w:val="18"/>
                <w:szCs w:val="16"/>
              </w:rPr>
              <w:t>2023</w:t>
            </w:r>
          </w:p>
        </w:tc>
        <w:tc>
          <w:tcPr>
            <w:tcW w:w="1440" w:type="dxa"/>
          </w:tcPr>
          <w:p w14:paraId="40CE3983" w14:textId="77777777" w:rsidR="00336D4B" w:rsidRPr="00FD0F64" w:rsidRDefault="00336D4B"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256,592</w:t>
            </w:r>
          </w:p>
        </w:tc>
        <w:tc>
          <w:tcPr>
            <w:tcW w:w="1440" w:type="dxa"/>
          </w:tcPr>
          <w:p w14:paraId="428123C4"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2.5%</w:t>
            </w:r>
          </w:p>
        </w:tc>
        <w:tc>
          <w:tcPr>
            <w:tcW w:w="1440" w:type="dxa"/>
          </w:tcPr>
          <w:p w14:paraId="6F45F37C"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477</w:t>
            </w:r>
          </w:p>
        </w:tc>
        <w:tc>
          <w:tcPr>
            <w:tcW w:w="1440" w:type="dxa"/>
          </w:tcPr>
          <w:p w14:paraId="699AE1B7" w14:textId="77777777" w:rsidR="00336D4B" w:rsidRPr="00FD0F64" w:rsidRDefault="003A5FE1"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17</w:t>
            </w:r>
          </w:p>
        </w:tc>
        <w:tc>
          <w:tcPr>
            <w:tcW w:w="1440" w:type="dxa"/>
          </w:tcPr>
          <w:p w14:paraId="75D22B7A" w14:textId="77777777"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49</w:t>
            </w:r>
          </w:p>
        </w:tc>
      </w:tr>
      <w:tr w:rsidR="00336D4B" w:rsidRPr="00FD0F64" w14:paraId="4818AEF1"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5BC867CD" w14:textId="77777777" w:rsidR="00336D4B" w:rsidRPr="00FD0F64" w:rsidRDefault="00336D4B" w:rsidP="007D1C45">
            <w:pPr>
              <w:spacing w:line="240" w:lineRule="auto"/>
              <w:rPr>
                <w:sz w:val="18"/>
                <w:szCs w:val="16"/>
              </w:rPr>
            </w:pPr>
            <w:r>
              <w:rPr>
                <w:sz w:val="18"/>
                <w:szCs w:val="16"/>
              </w:rPr>
              <w:t>2024</w:t>
            </w:r>
          </w:p>
        </w:tc>
        <w:tc>
          <w:tcPr>
            <w:tcW w:w="1440" w:type="dxa"/>
          </w:tcPr>
          <w:p w14:paraId="324308A1" w14:textId="77777777" w:rsidR="00336D4B" w:rsidRPr="00FD0F64" w:rsidRDefault="00D41B62"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347,824</w:t>
            </w:r>
          </w:p>
        </w:tc>
        <w:tc>
          <w:tcPr>
            <w:tcW w:w="1440" w:type="dxa"/>
          </w:tcPr>
          <w:p w14:paraId="50AEC435" w14:textId="77777777" w:rsidR="00336D4B" w:rsidRPr="00FD0F64" w:rsidRDefault="00C52064"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3.2%</w:t>
            </w:r>
          </w:p>
        </w:tc>
        <w:tc>
          <w:tcPr>
            <w:tcW w:w="1440" w:type="dxa"/>
          </w:tcPr>
          <w:p w14:paraId="5BA9F62D"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441</w:t>
            </w:r>
          </w:p>
        </w:tc>
        <w:tc>
          <w:tcPr>
            <w:tcW w:w="1440" w:type="dxa"/>
          </w:tcPr>
          <w:p w14:paraId="2255FCC8" w14:textId="77777777" w:rsidR="00336D4B" w:rsidRPr="00FD0F64" w:rsidRDefault="003A5FE1"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18</w:t>
            </w:r>
          </w:p>
        </w:tc>
        <w:tc>
          <w:tcPr>
            <w:tcW w:w="1440" w:type="dxa"/>
          </w:tcPr>
          <w:p w14:paraId="57CF55BA" w14:textId="77777777" w:rsidR="00336D4B" w:rsidRPr="00FD0F64" w:rsidRDefault="00F872E5"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38</w:t>
            </w:r>
          </w:p>
        </w:tc>
      </w:tr>
      <w:tr w:rsidR="00336D4B" w:rsidRPr="00FD0F64" w14:paraId="3E832B52" w14:textId="77777777" w:rsidTr="007D1C45">
        <w:trPr>
          <w:trHeight w:val="300"/>
        </w:trPr>
        <w:tc>
          <w:tcPr>
            <w:cnfStyle w:val="001000000000" w:firstRow="0" w:lastRow="0" w:firstColumn="1" w:lastColumn="0" w:oddVBand="0" w:evenVBand="0" w:oddHBand="0" w:evenHBand="0" w:firstRowFirstColumn="0" w:firstRowLastColumn="0" w:lastRowFirstColumn="0" w:lastRowLastColumn="0"/>
            <w:tcW w:w="1440" w:type="dxa"/>
          </w:tcPr>
          <w:p w14:paraId="75FC1C61" w14:textId="77777777" w:rsidR="00336D4B" w:rsidRPr="00FD0F64" w:rsidRDefault="00336D4B" w:rsidP="007D1C45">
            <w:pPr>
              <w:spacing w:line="240" w:lineRule="auto"/>
              <w:rPr>
                <w:sz w:val="18"/>
                <w:szCs w:val="16"/>
              </w:rPr>
            </w:pPr>
            <w:r>
              <w:rPr>
                <w:sz w:val="18"/>
                <w:szCs w:val="16"/>
              </w:rPr>
              <w:t>2025</w:t>
            </w:r>
          </w:p>
        </w:tc>
        <w:tc>
          <w:tcPr>
            <w:tcW w:w="1440" w:type="dxa"/>
          </w:tcPr>
          <w:p w14:paraId="63D9A45B" w14:textId="77777777" w:rsidR="00336D4B" w:rsidRPr="00FD0F64" w:rsidRDefault="005874E6" w:rsidP="007D1C45">
            <w:pPr>
              <w:spacing w:line="240" w:lineRule="auto"/>
              <w:ind w:firstLine="608"/>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352,075</w:t>
            </w:r>
          </w:p>
        </w:tc>
        <w:tc>
          <w:tcPr>
            <w:tcW w:w="1440" w:type="dxa"/>
          </w:tcPr>
          <w:p w14:paraId="2F831F49" w14:textId="77777777" w:rsidR="00336D4B" w:rsidRPr="00FD0F64" w:rsidRDefault="00C01546"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3.3%</w:t>
            </w:r>
          </w:p>
        </w:tc>
        <w:tc>
          <w:tcPr>
            <w:tcW w:w="1440" w:type="dxa"/>
          </w:tcPr>
          <w:p w14:paraId="54540065" w14:textId="77777777" w:rsidR="00336D4B" w:rsidRPr="00FD0F64" w:rsidRDefault="00336D4B"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415</w:t>
            </w:r>
          </w:p>
        </w:tc>
        <w:tc>
          <w:tcPr>
            <w:tcW w:w="1440" w:type="dxa"/>
          </w:tcPr>
          <w:p w14:paraId="35A00A78" w14:textId="77777777" w:rsidR="00336D4B" w:rsidRPr="00FD0F64" w:rsidRDefault="00D13397"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39</w:t>
            </w:r>
          </w:p>
        </w:tc>
        <w:tc>
          <w:tcPr>
            <w:tcW w:w="1440" w:type="dxa"/>
          </w:tcPr>
          <w:p w14:paraId="57BE6706" w14:textId="77777777" w:rsidR="00336D4B" w:rsidRPr="00FD0F64" w:rsidRDefault="00BC3DE9" w:rsidP="007D1C45">
            <w:pPr>
              <w:spacing w:line="240" w:lineRule="auto"/>
              <w:jc w:val="right"/>
              <w:cnfStyle w:val="000000000000" w:firstRow="0" w:lastRow="0" w:firstColumn="0" w:lastColumn="0" w:oddVBand="0" w:evenVBand="0" w:oddHBand="0" w:evenHBand="0" w:firstRowFirstColumn="0" w:firstRowLastColumn="0" w:lastRowFirstColumn="0" w:lastRowLastColumn="0"/>
              <w:rPr>
                <w:sz w:val="18"/>
                <w:szCs w:val="16"/>
              </w:rPr>
            </w:pPr>
            <w:r>
              <w:rPr>
                <w:sz w:val="18"/>
                <w:szCs w:val="16"/>
              </w:rPr>
              <w:t>36</w:t>
            </w:r>
          </w:p>
        </w:tc>
      </w:tr>
    </w:tbl>
    <w:p w14:paraId="4921AFF9" w14:textId="77777777" w:rsidR="00161F43" w:rsidRPr="00FD0F64" w:rsidRDefault="00161F43" w:rsidP="00161F43">
      <w:pPr>
        <w:pStyle w:val="ThesisParagraphText"/>
      </w:pPr>
      <w:r>
        <w:t xml:space="preserve">These patterns reveal that, despite offering flexible payment options, schools remain at risk when families fail to pay on time. The upward trend in bad debt expense lowers an institution's liquidity, challenging its ability to fund operations, invest in resources, and maintain educational quality. In contrast with other businesses that can vet clients for </w:t>
        <w:lastRenderedPageBreak/>
        <w:t>creditworthiness, Philippine educational institutions operate under laws that emphasize accessibility. The 1987 Philippine Constitution (Art. XIV, Sec. 1-2) and various DepEd Orders make clear that schools cannot turn families away based on financial situation. Recent legislation, RA 11984, further ensures that students cannot be barred from exams over unpaid tuition [11, 16, 26]. While these regulations promote fairness, they amplify the financial challenges faced by private schools, making receivable predictions all the more critical.</w:t>
      </w:r>
    </w:p>
    <w:p w14:paraId="2C68AC5D" w14:textId="77777777" w:rsidR="00856161" w:rsidRDefault="00750A62">
      <w:pPr>
        <w:pStyle w:val="ThesisParagraphText"/>
      </w:pPr>
      <w:r>
        <w:t>Taken together, the institutional record in Table 2.1 motivates the prediction problem at the center of this study. Bad debts expense has risen sharply since 2021, the number of students carrying unpaid balances has grown even as enrollment stabilized, and Days Sales Outstanding has remained in the 36–49 day range despite the availability of installment plans. Because the school can neither screen enrollees for creditworthiness nor enforce payment through academic sanctions, the only remaining managerial lever is anticipation: knowing, at the moment an invoice is issued, how likely it is to be paid late and by how much. That is precisely the granular forecasting capability this study develops.</w:t>
      </w:r>
    </w:p>
    <w:p w14:paraId="46A93B82" w14:textId="77777777" w:rsidR="00161F43" w:rsidRPr="00FD0F64" w:rsidRDefault="00161F43" w:rsidP="00161F43">
      <w:pPr>
        <w:pStyle w:val="Heading2"/>
      </w:pPr>
      <w:bookmarkStart w:id="38" w:name="_Toc233585264"/>
      <w:r>
        <w:t>2.5 Machine Learning in Credit Default Risk Forecasting</w:t>
      </w:r>
      <w:bookmarkEnd w:id="38"/>
    </w:p>
    <w:p w14:paraId="655CCE41" w14:textId="77777777" w:rsidR="002F4AAC" w:rsidRPr="00FD0F64" w:rsidRDefault="002F4AAC" w:rsidP="002F4AAC">
      <w:pPr>
        <w:pStyle w:val="ThesisParagraphText"/>
      </w:pPr>
      <w:r>
        <w:t>Machine learning (ML) is increasingly redefining the industry's approach to financial forecasting. Research shows it can sift through complex datasets, uncovering patterns that improve decision-making accuracy [1, 2]. Its greatest strength lies in handling vast amounts of data and revealing nonlinear patterns that traditional statistical methods often miss, making ML an indispensable asset in fields like risk assessment, credit scoring, and payment prediction.</w:t>
      </w:r>
    </w:p>
    <w:p w14:paraId="34618043" w14:textId="77777777" w:rsidR="002F4AAC" w:rsidRPr="00FD0F64" w:rsidRDefault="002F4AAC" w:rsidP="002F4AAC">
      <w:pPr>
        <w:pStyle w:val="ThesisParagraphText"/>
      </w:pPr>
      <w:r>
        <w:lastRenderedPageBreak/>
        <w:t>Foundational research by Breiman (2001) [1] introduced random forests, an ensemble method that has become fundamental in risk assessment and payment prediction tasks. Lessman et al. (2015) [27] benchmarked leading classification algorithms for credit scoring and discovered that ML models, like gradient boosting and random forests, markedly enhance predictive accuracy compared to traditional methods such as logistic regression. Baesens et al. (2003) [28] highlighted the interpretability of neural networks when combined with rule extraction, bridging the gap between predictive power and decision transparency. Recent developments by Xu et al. (2024) [29] demonstrated how deep learning and big data can be leveraged to predict financial risk behaviors, underscoring the growing importance of contextual and behavioral variables in model performance.</w:t>
      </w:r>
    </w:p>
    <w:p w14:paraId="1B824C5B" w14:textId="77777777" w:rsidR="002F4AAC" w:rsidRPr="00FD0F64" w:rsidRDefault="002F4AAC" w:rsidP="002F4AAC">
      <w:pPr>
        <w:pStyle w:val="ThesisParagraphText"/>
      </w:pPr>
      <w:r>
        <w:t>Despite these advances, challenges remain. Feature selection and interpretability continue to be critical issues, especially in institutional contexts where decision-makers require not only accurate predictions but also transparent justifications for interventions. As Tsai, Huang, and Chen (2017) [30] noted in their study on hybrid ML techniques for credit rating, combining multiple algorithms can improve accuracy but often at the cost of interpretability. This tension between predictive performance and explainability is particularly relevant in education finance, where stakeholders must balance technical sophistication with accountability and trust. While these studies address credit risk in general, the same algorithmic advances form the technical foundation for the more specific task at hand, predicting when individual invoices will be paid, which the next section reviews.</w:t>
      </w:r>
    </w:p>
    <w:p w14:paraId="70B7F381" w14:textId="77777777" w:rsidR="002F4AAC" w:rsidRPr="00FD0F64" w:rsidRDefault="002F4AAC" w:rsidP="002F4AAC">
      <w:pPr>
        <w:pStyle w:val="Heading2"/>
      </w:pPr>
      <w:bookmarkStart w:id="39" w:name="_Toc233585265"/>
      <w:r>
        <w:lastRenderedPageBreak/>
        <w:t>2.6 Invoice Payment Prediction Models</w:t>
      </w:r>
      <w:bookmarkEnd w:id="39"/>
    </w:p>
    <w:p w14:paraId="5C05A1C2" w14:textId="77777777" w:rsidR="004D40E2" w:rsidRPr="00FD0F64" w:rsidRDefault="004D40E2" w:rsidP="004D40E2">
      <w:pPr>
        <w:pStyle w:val="ThesisParagraphText"/>
      </w:pPr>
      <w:r>
        <w:t>A central theme in the invoice payment prediction literature is the continuous effort to refine models through improved variable selection and methodological approaches. Early studies applied ML to accounts receivable and customer-level data, demonstrating the potential of predictive analytics in managing cash flow. Appel et al. [8] developed ML models to predict account receivables, emphasizing the importance of transaction histories and customer segmentation. Cheong [7] introduced customer-level predictive modeling for receivables, showing how individualized features could reduce unnecessary interventions.</w:t>
      </w:r>
    </w:p>
    <w:p w14:paraId="5F1B8018" w14:textId="77777777" w:rsidR="004D40E2" w:rsidRPr="00FD0F64" w:rsidRDefault="004D40E2" w:rsidP="004D40E2">
      <w:pPr>
        <w:pStyle w:val="ThesisParagraphText"/>
      </w:pPr>
      <w:r>
        <w:t>In the educational context, Moore and van Vuuren [4] proposed the Modelling Invoice Payment Predictions (MIPP) framework, which combined survival analysis with ML to forecast student payment behaviors. Their work demonstrated that historical payment patterns could improve accuracy, though the framework did not incorporate granular product or service categories. Extending this line of inquiry, Schoonbee, Moore, and van Vuuren [5] applied ML to South African educational data, creating a decision-support system that improved institutional forecasting. However, their models remained focused on broad student-level features rather than detailed, transaction-specific variables.</w:t>
      </w:r>
    </w:p>
    <w:p w14:paraId="3D0DF2C8" w14:textId="77777777" w:rsidR="004D40E2" w:rsidRPr="00FD0F64" w:rsidRDefault="004D40E2" w:rsidP="004D40E2">
      <w:pPr>
        <w:pStyle w:val="ThesisParagraphText"/>
      </w:pPr>
      <w:r>
        <w:t xml:space="preserve">Other studies have explored statistical and hybrid approaches. Martikainen [6] applied statistical learning methods to predict late payment of sales invoices, providing evidence that even relatively simple models can yield actionable insights when applied to institutional data. In parallel, Mugorobin et al. [3] developed an estimation system for late tuition payments, underscoring the operational importance of predictive tools in schools. Khedr and Sheeja [10] reviewed ML applications in supply chain management, </w:t>
        <w:lastRenderedPageBreak/>
        <w:t>highlighting the role of digitization and transaction-level granularity in improving payment behavior analysis.</w:t>
      </w:r>
    </w:p>
    <w:p w14:paraId="5B27C93B" w14:textId="77777777" w:rsidR="00856161" w:rsidRDefault="00750A62">
      <w:pPr>
        <w:pStyle w:val="ThesisParagraphText"/>
      </w:pPr>
      <w:r>
        <w:t>Across these studies, a specific methodological gap emerges: none of the cited works benchmarked ordinal classifiers or two-stage hierarchical architectures at scale for invoice payment prediction. Reported comparisons are limited to small sets of single-stage classifiers, typically five to eight models evaluated under one or two preprocessing regimes. This leaves open the question of whether architectures that explicitly exploit the ordered, heavily imbalanced structure of payment-delay targets can outperform conventional designs, the question this study answers across 1,092 experimental configurations.</w:t>
      </w:r>
    </w:p>
    <w:p w14:paraId="205FCFD3" w14:textId="77777777" w:rsidR="00CF6B44" w:rsidRPr="00FD0F64" w:rsidRDefault="00CF6B44" w:rsidP="00CF6B44">
      <w:pPr>
        <w:pStyle w:val="Heading2"/>
      </w:pPr>
      <w:bookmarkStart w:id="40" w:name="_Toc233585266"/>
      <w:r>
        <w:t>2.7 Granular Feature Modeling and Student-Specific Variables</w:t>
      </w:r>
      <w:bookmarkEnd w:id="40"/>
    </w:p>
    <w:p w14:paraId="16B4A101" w14:textId="77777777" w:rsidR="00074BC8" w:rsidRPr="00FD0F64" w:rsidRDefault="00074BC8" w:rsidP="00074BC8">
      <w:pPr>
        <w:pStyle w:val="ThesisParagraphText"/>
      </w:pPr>
      <w:r>
        <w:t xml:space="preserve">While existing invoice prediction models have demonstrated the value of historical payment data, recent research suggests that granularity (the inclusion of fine-grained, transaction-specific variables) can substantially improve predictive accuracy. In retail analytics, Wei et al. [31] introduced the Retail Product Checkout (RPC) dataset, which showed that distinguishing products at a detailed level significantly enhanced model performance. </w:t>
      </w:r>
    </w:p>
    <w:p w14:paraId="2A91648D" w14:textId="77777777" w:rsidR="00CF6B44" w:rsidRPr="00FD0F64" w:rsidRDefault="00074BC8" w:rsidP="001346A5">
      <w:pPr>
        <w:pStyle w:val="ThesisParagraphText"/>
      </w:pPr>
      <w:r>
        <w:t xml:space="preserve">To address this gap, this study integrates student-product categories into invoice prediction. Features identified from the literature include: </w:t>
      </w:r>
      <w:r>
        <w:rPr>
          <w:b/>
          <w:bCs/>
        </w:rPr>
        <w:t>(a)</w:t>
      </w:r>
      <w:r>
        <w:t xml:space="preserve"> Demographic and socioeconomic variables: family income, household debt, financial literacy [24, 25]. </w:t>
      </w:r>
      <w:r>
        <w:rPr>
          <w:b/>
          <w:bCs/>
        </w:rPr>
        <w:t xml:space="preserve">(b) </w:t>
      </w:r>
      <w:r>
        <w:t xml:space="preserve">Academic and institutional variables: program type, year level, installment plan [11, 17, 18, 19, 20, 23]. </w:t>
      </w:r>
      <w:r>
        <w:rPr>
          <w:b/>
          <w:bCs/>
        </w:rPr>
        <w:t>(c)</w:t>
      </w:r>
      <w:r>
        <w:t xml:space="preserve"> Behavioral and transactional variables: historical arrears, frequency of </w:t>
        <w:lastRenderedPageBreak/>
        <w:t xml:space="preserve">late payments [3, 11, 16]. </w:t>
      </w:r>
      <w:r>
        <w:rPr>
          <w:b/>
          <w:bCs/>
        </w:rPr>
        <w:t>(d)</w:t>
      </w:r>
      <w:r>
        <w:t xml:space="preserve"> Policy and contextual variables: RA 11984 compliance, macroeconomic shocks [11, 21, 22, 26].</w:t>
      </w:r>
    </w:p>
    <w:p w14:paraId="26CB501D" w14:textId="77777777" w:rsidR="001C100D" w:rsidRPr="00FD0F64" w:rsidRDefault="001C100D" w:rsidP="001C100D">
      <w:pPr>
        <w:pStyle w:val="Heading2"/>
      </w:pPr>
      <w:bookmarkStart w:id="41" w:name="_Toc233585267"/>
      <w:r>
        <w:t>2.8 Socioeconomic and Behavioral Factors Affecting Payment</w:t>
      </w:r>
      <w:bookmarkEnd w:id="41"/>
    </w:p>
    <w:p w14:paraId="60CD28AC" w14:textId="77777777" w:rsidR="001C100D" w:rsidRPr="00FD0F64" w:rsidRDefault="001C100D" w:rsidP="001C100D">
      <w:pPr>
        <w:pStyle w:val="ThesisParagraphText"/>
      </w:pPr>
      <w:r>
        <w:t>At the macro level, political and economic stressors directly affect household income and, consequently, tuition payment behavior. Voghouei et al. [32] demonstrated that political and economic instability can significantly affect financial development, reducing the capacity of households to meet recurring obligations. Legal and policy frameworks further shape payment dynamics. The 1987 Philippine Constitution (Art. XIV, Sec. 1-2) guarantees the right to education, while DepEd Orders prohibit schools from denying enrollment based on financial incapacity. Together, these factors explain why invoices in private schools often remain unpaid for extended periods, underscoring the need for predictive interventions.</w:t>
      </w:r>
    </w:p>
    <w:p w14:paraId="399E3AE8" w14:textId="77777777" w:rsidR="00856161" w:rsidRDefault="00750A62">
      <w:pPr>
        <w:pStyle w:val="ThesisParagraphText"/>
      </w:pPr>
      <w:r>
        <w:t xml:space="preserve">Philippine evidence sharpens this picture at the household level. Carvajal et al. [24] surveyed financial literacy and debt management practices and found that low financial literacy is associated with poor debt management, a mechanism that translates directly into erratic tuition payment: families that do not budget for recurring obligations accumulate school balances even when income is nominally sufficient. Mencias-Tabernilla [25] documented the expenditure patterns and debt profiles of Filipino teachers, showing that chronic indebtedness extends even to salaried education professionals; if the households of stable wage earners struggle with recurring debt, tuition-paying families with irregular incomes are plausibly at greater risk. Finally, the implementing context of RA 11984 [11, 16, 26] shapes behavior on both sides of the transaction: students cannot be barred from examinations over unpaid fees, while schools must channel hardship cases through social </w:t>
        <w:lastRenderedPageBreak/>
        <w:t>welfare certification and restructuring procedures. These local realities make payment-timing prediction more valuable in the Philippine setting than in jurisdictions where enforcement remains available.</w:t>
      </w:r>
    </w:p>
    <w:p w14:paraId="0646A9C1" w14:textId="77777777" w:rsidR="00F17FE8" w:rsidRPr="00FD0F64" w:rsidRDefault="008F7C5A" w:rsidP="008F7C5A">
      <w:pPr>
        <w:pStyle w:val="Heading2"/>
      </w:pPr>
      <w:bookmarkStart w:id="42" w:name="_Toc233585268"/>
      <w:r>
        <w:t>2.9 Intervention Strategies and Justification</w:t>
      </w:r>
      <w:bookmarkEnd w:id="42"/>
    </w:p>
    <w:p w14:paraId="5FEB11ED" w14:textId="77777777" w:rsidR="00F45450" w:rsidRPr="00FD0F64" w:rsidRDefault="00F45450" w:rsidP="00F45450">
      <w:pPr>
        <w:pStyle w:val="Heading3"/>
      </w:pPr>
      <w:bookmarkStart w:id="43" w:name="_Toc233585269"/>
      <w:r>
        <w:t>2.9.1 Current Institutional Practices in Tuition Collection</w:t>
      </w:r>
      <w:bookmarkEnd w:id="43"/>
    </w:p>
    <w:p w14:paraId="581B8F82" w14:textId="77777777" w:rsidR="00B7667B" w:rsidRPr="00FD0F64" w:rsidRDefault="00B7667B" w:rsidP="00B7667B">
      <w:r>
        <w:t>Educational institutions typically employ a layered set of collection mechanisms. The most common first-line instrument is the administrative reminder campaign, ranging from printed statements of account to scheduled text-message and email reminders ahead of due dates, which practitioner literature identifies as the cheapest and most scalable intervention [33, 34]. When reminders fail, schools escalate to formal instruments: promissory notes that document a committed payment date, late-payment fees or surcharge schedules intended to price delinquency, and installment restructuring that converts an overdue lump sum into smaller scheduled payments [34, 35]. Some institutions complement these with incentives such as early-payment discounts or sibling rebates to reward timely settlement [33]. These practices, consistent with the tuition collection literature [33, 34, 35], remain the dominant standard operating procedures in many schools, including the partner institution. Their common weakness is that all of them, except early-payment incentives, are triggered only after an invoice has already become delinquent.</w:t>
      </w:r>
    </w:p>
    <w:p w14:paraId="345D42F9" w14:textId="77777777" w:rsidR="00E86349" w:rsidRPr="00FD0F64" w:rsidRDefault="00E86349" w:rsidP="00E86349">
      <w:pPr>
        <w:pStyle w:val="Heading3"/>
      </w:pPr>
      <w:bookmarkStart w:id="44" w:name="_Toc233585270"/>
      <w:r>
        <w:t>2.9.2 Structural and Policy Constraints on Enforcement</w:t>
      </w:r>
      <w:bookmarkEnd w:id="44"/>
    </w:p>
    <w:p w14:paraId="78DF0EA3" w14:textId="77777777" w:rsidR="002441DC" w:rsidRPr="00FD0F64" w:rsidRDefault="002441DC" w:rsidP="00D73289">
      <w:r>
        <w:t xml:space="preserve">The effectiveness of these strategies is procedurally constrained by RA 11984 [11, 16, 26]. The law categorically prohibits schools from denying examinations to students with outstanding balances, removing the single strongest enforcement mechanism previously available to private institutions [11]. Its implementing guidelines add further </w:t>
        <w:lastRenderedPageBreak/>
        <w:t>procedural requirements: students invoking financial hardship must submit certifications from the Department of Social Welfare and Development (DSWD), and schools are in turn expected to provide installment restructuring or deferred payment arrangements rather than refuse service [16, 26]. Legal commentary has warned that this combination lengthens collection cycles, extends credit exposure, and may raise accounts receivable balances unless schools adopt proactive financial management [16]. As a result, institutions are structurally bound to continue providing instruction even as receivables accumulate, which converts collections from an enforcement problem into a forecasting problem.</w:t>
      </w:r>
    </w:p>
    <w:p w14:paraId="20418EA9" w14:textId="77777777" w:rsidR="00D73289" w:rsidRPr="00FD0F64" w:rsidRDefault="00D73289" w:rsidP="00D73289">
      <w:pPr>
        <w:pStyle w:val="Heading3"/>
      </w:pPr>
      <w:bookmarkStart w:id="45" w:name="_Toc233585271"/>
      <w:r>
        <w:t>2.9.3 Machine Learning as a Proactive Alternative</w:t>
      </w:r>
      <w:bookmarkEnd w:id="45"/>
    </w:p>
    <w:p w14:paraId="0E0A9E39" w14:textId="77777777" w:rsidR="008D74CD" w:rsidRPr="00FD0F64" w:rsidRDefault="008D74CD" w:rsidP="008D74CD">
      <w:r>
        <w:t>Given the limitations of traditional strategies, machine learning offers a structurally different alternative: rather than reacting to delinquency after a due date has lapsed, a predictive model assigns every invoice a payment-delay risk estimate at the moment it is issued. Studies in credit scoring and receivables management [7, 10, 27, 36] demonstrate that predictive models trained on granular behavioral features consistently outperform reactive heuristics, because they convert historical payment patterns into forward-looking early-warning signals.</w:t>
      </w:r>
    </w:p>
    <w:p w14:paraId="4864A65B" w14:textId="77777777" w:rsidR="00856161" w:rsidRDefault="00750A62" w:rsidP="001346A5">
      <w:pPr>
        <w:pStyle w:val="ThesisParagraphText"/>
      </w:pPr>
      <w:r>
        <w:t xml:space="preserve">The operational mechanism is straightforward. An invoice predicted to fall into a late bracket can be routed to a pre-due-date intervention, such as an earlier reminder, a proactive offer of installment restructuring, or a guidance conversation with the family, while invoices predicted to be paid on time require no action at all. This targeting matters under RA 11984: since post-due-date enforcement is legally restricted, the value of knowing which invoices are at risk before they become delinquent is amplified. Cheong [7] showed that customer-level prediction reduces unnecessary intervention actions, and </w:t>
        <w:lastRenderedPageBreak/>
        <w:t>Schoonbee et al. [5] demonstrated decision-support value in an educational context; this study extends that logic to category-level invoices in a Philippine private school.</w:t>
      </w:r>
    </w:p>
    <w:p w14:paraId="584ECCFF" w14:textId="77777777" w:rsidR="008D74CD" w:rsidRPr="00FD0F64" w:rsidRDefault="00DD2985" w:rsidP="00DD2985">
      <w:pPr>
        <w:pStyle w:val="Heading2"/>
      </w:pPr>
      <w:bookmarkStart w:id="46" w:name="_Toc233585272"/>
      <w:r>
        <w:t>2.10 Ordinal Classification and Two-Stage Architectures</w:t>
      </w:r>
      <w:bookmarkEnd w:id="46"/>
    </w:p>
    <w:p w14:paraId="621B279B" w14:textId="77777777" w:rsidR="00C633AE" w:rsidRPr="00FD0F64" w:rsidRDefault="00C633AE" w:rsidP="00C633AE">
      <w:pPr>
        <w:pStyle w:val="ThesisParagraphText"/>
      </w:pPr>
      <w:r>
        <w:t>A fundamental property of payment-delay targets is their inherent ordering, from on-time settlement through progressively later payment brackets. Frank and Hall [12] introduced a simple and influential approach to ordinal classification that decomposes a k-class ordinal problem into k-1 binary sub-problems: for the four payment brackets used in this study, three binary classifiers are trained to estimate P(target &gt; on-time), P(target &gt; 1–30 days), and P(target &gt; 31–60 days), and the per-class probabilities are then recovered by differencing the cumulative estimates. Because each binary sub-problem preserves the ordering of the label space, the decomposition allows any probabilistic base classifier to exploit ranking information that a nominal multi-class formulation discards.</w:t>
      </w:r>
    </w:p>
    <w:p w14:paraId="46CB3E66" w14:textId="77777777" w:rsidR="00856161" w:rsidRDefault="00750A62">
      <w:pPr>
        <w:pStyle w:val="ThesisParagraphText"/>
      </w:pPr>
      <w:r>
        <w:t>Two-stage architectures approach the same label structure from a different angle: where the Frank–Hall scheme is a decomposed view of one ordinal problem, a two-stage design is hierarchical. A first-stage binary classifier separates on-time from late invoices, directly attacking the dominant source of class imbalance, and a second-stage multi-class model, trained only on delinquent records, determines delay severity. The hierarchy mirrors institutional decision-making (first, will this invoice be late; second, how late) and allows each stage to specialize on a better-balanced sub-problem. Architectures of this kind have proven effective in credit risk [27], medical diagnosis [28], and receivables management [36], but had not previously been benchmarked at scale for the IPPP.</w:t>
      </w:r>
    </w:p>
    <w:p w14:paraId="7E25A7C4" w14:textId="77777777" w:rsidR="00CA1CA5" w:rsidRPr="00FD0F64" w:rsidRDefault="00CA1CA5" w:rsidP="00CA1CA5">
      <w:pPr>
        <w:pStyle w:val="Heading2"/>
      </w:pPr>
      <w:bookmarkStart w:id="47" w:name="_Toc233585273"/>
      <w:r>
        <w:lastRenderedPageBreak/>
        <w:t>2.11 Survival Analysis in Accounts Receivable Prediction</w:t>
      </w:r>
      <w:bookmarkEnd w:id="47"/>
    </w:p>
    <w:p w14:paraId="05A20CCF" w14:textId="77777777" w:rsidR="00C875F4" w:rsidRPr="00FD0F64" w:rsidRDefault="00C875F4" w:rsidP="00C875F4">
      <w:pPr>
        <w:pStyle w:val="ThesisParagraphText"/>
      </w:pPr>
      <w:r>
        <w:t>Survival analysis provides a statistical framework for modeling the time until an event occurs, here, the time until an invoice is fully paid. Its defining advantage over standard classification is its treatment of censoring: at any observation cutoff, some invoices remain unpaid, and their eventual payment delay is unknown rather than missing. A conventional late/not-late variable must either discard these records or mislabel them, whereas survival methods retain censored invoices and extract partial information from the fact that they have survived unpaid up to the cutoff. The Cox Proportional Hazards model [37] formalizes this by expressing each invoice's hazard rate, the instantaneous probability of payment at time t given non-payment until t, as a baseline hazard scaled by an exponential function of the invoice's covariates. Each invoice therefore receives a continuous risk profile (partial hazard, expected settlement time, survival probability at reference horizons) rather than a single binary flag, a conceptually richer representation of payment timing.</w:t>
      </w:r>
    </w:p>
    <w:p w14:paraId="34D20564" w14:textId="77777777" w:rsidR="00856161" w:rsidRDefault="00750A62">
      <w:pPr>
        <w:pStyle w:val="ThesisParagraphText"/>
      </w:pPr>
      <w:r>
        <w:t>Moore and van Vuuren [4] integrated survival analysis with machine learning in the MIPP framework, using time-to-payment modeling to inform invoice predictions. This study extends that work in a specific way: instead of using the survival model as the predictor, it uses Cox PH outputs (hazard rates, survival probabilities, expected settlement times) as engineered input features for downstream classifiers, and then measures their marginal value experimentally. Prior work in credit risk suggests such features help probabilistic models more than tree ensembles [28, 36], a hypothesis this study tests directly across feature regimes.</w:t>
      </w:r>
    </w:p>
    <w:p w14:paraId="78259CE6" w14:textId="77777777" w:rsidR="00C875F4" w:rsidRPr="00FD0F64" w:rsidRDefault="004B6D2C" w:rsidP="004B6D2C">
      <w:pPr>
        <w:pStyle w:val="Heading2"/>
      </w:pPr>
      <w:bookmarkStart w:id="48" w:name="_Toc233585274"/>
      <w:r>
        <w:lastRenderedPageBreak/>
        <w:t>2.12 Synthesis of Methods, Findings, and Gaps in Literature</w:t>
      </w:r>
      <w:bookmarkEnd w:id="48"/>
    </w:p>
    <w:p w14:paraId="56012002" w14:textId="00AC44CD" w:rsidR="00682FCF" w:rsidRPr="00FD0F64" w:rsidRDefault="00682FCF" w:rsidP="0069078B">
      <w:pPr>
        <w:pStyle w:val="ThesisParagraphText"/>
      </w:pPr>
      <w:r>
        <w:t>ML models outperform baseline statistical approaches in forecasting late payments and credit risk [7, 36]. Several gaps remain: (1) lack of granular student-product variables [3, 4, 5]; (2) limited application in private educational institutions [10, 31]; (3) few ordinal IPPP benchmarks; and (4) lack of two-stage architectures and systematic survival feature testing.</w:t>
      </w:r>
    </w:p>
    <w:p w14:paraId="0435E1B2" w14:textId="4B473AAA" w:rsidR="001346A5" w:rsidRDefault="00750A62">
      <w:pPr>
        <w:pStyle w:val="ThesisParagraphText"/>
      </w:pPr>
      <w:r>
        <w:t>Each of these gaps maps directly onto the research objectives stated in Section 1.4. Gap (1), the lack of granular student-product variables, is directly addressed by Objective (4), which evaluates how line-item features derived from category-level invoices influence payment timing relative to aggregate student-level variables. Gap (2), the limited application of invoice prediction in private educational institutions, is addressed by Objective (1), which conducts the benchmarking on six years of records from a Philippine private school and by Objective (4)'s institution-specific feature set. Gap (3), the scarcity of ordinal IPPP benchmarks, and gap (4), the absence of two-stage architectures and systematic survival-feature testing, are addressed jointly by Objectives (1), (2), and (3): the 1,092-configuration benchmark includes three ordinal decompositions and six two-stage pipelines (Objective 2) and isolates the marginal contribution of survival-analysis-derived features across all model families (Objective 3). The synthesis of the literature thus leads directly to the methodology developed in Chapter 3.</w:t>
      </w:r>
    </w:p>
    <w:p w14:paraId="06A25FE8" w14:textId="77777777" w:rsidR="001346A5" w:rsidRDefault="001346A5">
      <w:pPr>
        <w:autoSpaceDE/>
        <w:autoSpaceDN/>
        <w:adjustRightInd/>
        <w:spacing w:line="278" w:lineRule="auto"/>
        <w:ind w:firstLine="0"/>
        <w:jc w:val="left"/>
        <w:rPr>
          <w:rFonts w:eastAsia="Calibri"/>
          <w:kern w:val="0"/>
          <w14:ligatures w14:val="none"/>
        </w:rPr>
      </w:pPr>
      <w:r>
        <w:br w:type="page"/>
      </w:r>
    </w:p>
    <w:p w14:paraId="22200B89" w14:textId="77777777" w:rsidR="00856161" w:rsidRDefault="00750A62">
      <w:pPr>
        <w:pStyle w:val="Heading2"/>
      </w:pPr>
      <w:bookmarkStart w:id="49" w:name="_Toc233585275"/>
      <w:r>
        <w:lastRenderedPageBreak/>
        <w:t>2.13 Comparative Analysis of Existing Technologies</w:t>
      </w:r>
      <w:bookmarkEnd w:id="49"/>
    </w:p>
    <w:p w14:paraId="6ACB0CED" w14:textId="77777777" w:rsidR="00097CE7" w:rsidRDefault="00097CE7" w:rsidP="004901E4">
      <w:pPr>
        <w:pStyle w:val="ThesisParagraphText"/>
      </w:pPr>
      <w:r>
        <w:t>Before positioning this study's methodology, it is necessary to compare existing technologies for invoice payment prediction side by side. The studies reviewed differ in domain, feature granularity, algorithmic family, and evaluation protocol, differences easily lost in narrative form. A structured comparison serves three purposes: it reveals which methodological choices recur across unrelated domains, distinguishing genuine best practices from domain-specific conventions; it exposes evaluation gaps that limit the comparability of published results; and it establishes the baseline against which the present study's contribution can be judged. Table 2.2, presented across the next two pages, consolidates the eight studies most relevant to the IPPP, spanning educational, corporate, and consumer-credit domains.</w:t>
      </w:r>
    </w:p>
    <w:p w14:paraId="2989739B" w14:textId="03678242" w:rsidR="00097CE7" w:rsidRDefault="00097CE7" w:rsidP="004901E4">
      <w:pPr>
        <w:pStyle w:val="ThesisParagraphText"/>
        <w:sectPr w:rsidR="00097CE7">
          <w:headerReference w:type="default" r:id="rId10"/>
          <w:footerReference w:type="default" r:id="rId11"/>
          <w:headerReference w:type="first" r:id="rId12"/>
          <w:footerReference w:type="first" r:id="rId13"/>
          <w:endnotePr>
            <w:numFmt w:val="decimal"/>
          </w:endnotePr>
          <w:pgSz w:w="12240" w:h="15840"/>
          <w:pgMar w:top="1440" w:right="1440" w:bottom="1440" w:left="2160" w:header="720" w:footer="720" w:gutter="0"/>
          <w:lnNumType w:countBy="1" w:restart="continuous"/>
          <w:cols w:space="720"/>
          <w:titlePg/>
          <w:docGrid w:linePitch="360"/>
        </w:sectPr>
      </w:pPr>
      <w:r>
        <w:t>Four patterns emerge from Table 2.2. First, tree-based ensembles and boosting algorithms are the consistent performance leaders across every domain tested, displacing both classical statistical models and deep learning alternatives on tabular financial data. Second, reported performance clusters in the 80–85% accuracy range for binary or coarse multi-class formulations, suggesting a practical ceiling for aggregate-feature approaches. Third, every study operates on aggregate customer- or student-level features; none model receivables at individual fee-category granularity, despite evidence that fine-grained features improve prediction. Fourth, and most consequentially, none evaluates ordinal decompositions, hierarchical two-stage architectures, or survival-derived features against resampling strategies. The present study fills this gap precisely, benchmarking fifteen architectures, three ordinal and six two-stage designs, across seven balancing strategies and two feature regimes on category-level educational invoices.</w:t>
      </w:r>
    </w:p>
    <w:p w14:paraId="0DC7CDD6" w14:textId="76B777BA" w:rsidR="00856161" w:rsidRDefault="00750A62">
      <w:pPr>
        <w:pStyle w:val="Caption"/>
      </w:pPr>
      <w:bookmarkStart w:id="50" w:name="_Toc233585351"/>
      <w:r>
        <w:lastRenderedPageBreak/>
        <w:t>Table 2.</w:t>
      </w:r>
      <w:r>
        <w:rPr>
          <w:noProof/>
        </w:rPr>
        <w:fldChar w:fldCharType="begin"/>
        <w:instrText xml:space="preserve"> SEQ Table \* ARABIC </w:instrText>
        <w:fldChar w:fldCharType="separate"/>
        <w:t>2</w:t>
        <w:fldChar w:fldCharType="end"/>
      </w:r>
      <w:r>
        <w:t>. Comparative analysis of existing invoice payment prediction and related studies.</w:t>
      </w:r>
      <w:bookmarkEnd w:id="50"/>
    </w:p>
    <w:tbl>
      <w:tblPr>
        <w:tblStyle w:val="TableGridLight"/>
        <w:tblW w:w="0" w:type="auto"/>
        <w:tblLook w:val="04A0" w:firstRow="1" w:lastRow="0" w:firstColumn="1" w:lastColumn="0" w:noHBand="0" w:noVBand="1"/>
      </w:tblPr>
      <w:tblGrid>
        <w:gridCol w:w="1643"/>
        <w:gridCol w:w="696"/>
        <w:gridCol w:w="1844"/>
        <w:gridCol w:w="2045"/>
        <w:gridCol w:w="2190"/>
        <w:gridCol w:w="2243"/>
        <w:gridCol w:w="2289"/>
      </w:tblGrid>
      <w:tr w:rsidR="001346A5" w14:paraId="52FEFFEB" w14:textId="77777777" w:rsidTr="00140334">
        <w:tc>
          <w:tcPr>
            <w:tcW w:w="0" w:type="auto"/>
            <w:vAlign w:val="bottom"/>
          </w:tcPr>
          <w:p w14:paraId="45304DA7" w14:textId="77777777" w:rsidR="00856161" w:rsidRDefault="00750A62" w:rsidP="00140334">
            <w:pPr>
              <w:ind w:firstLine="0"/>
              <w:jc w:val="left"/>
            </w:pPr>
            <w:r>
              <w:rPr>
                <w:b/>
              </w:rPr>
              <w:t>Study</w:t>
            </w:r>
          </w:p>
        </w:tc>
        <w:tc>
          <w:tcPr>
            <w:tcW w:w="0" w:type="auto"/>
            <w:vAlign w:val="bottom"/>
          </w:tcPr>
          <w:p w14:paraId="691FE15F" w14:textId="77777777" w:rsidR="00856161" w:rsidRDefault="00750A62" w:rsidP="00140334">
            <w:pPr>
              <w:ind w:firstLine="0"/>
              <w:jc w:val="left"/>
            </w:pPr>
            <w:r>
              <w:rPr>
                <w:b/>
              </w:rPr>
              <w:t>Year</w:t>
            </w:r>
          </w:p>
        </w:tc>
        <w:tc>
          <w:tcPr>
            <w:tcW w:w="0" w:type="auto"/>
            <w:vAlign w:val="bottom"/>
          </w:tcPr>
          <w:p w14:paraId="0715F453" w14:textId="77777777" w:rsidR="00856161" w:rsidRDefault="00750A62" w:rsidP="00140334">
            <w:pPr>
              <w:ind w:firstLine="0"/>
              <w:jc w:val="left"/>
            </w:pPr>
            <w:r>
              <w:rPr>
                <w:b/>
              </w:rPr>
              <w:t>Domain</w:t>
            </w:r>
          </w:p>
        </w:tc>
        <w:tc>
          <w:tcPr>
            <w:tcW w:w="0" w:type="auto"/>
            <w:vAlign w:val="bottom"/>
          </w:tcPr>
          <w:p w14:paraId="704ABC76" w14:textId="77777777" w:rsidR="00856161" w:rsidRDefault="00750A62" w:rsidP="00140334">
            <w:pPr>
              <w:ind w:firstLine="0"/>
              <w:jc w:val="left"/>
            </w:pPr>
            <w:r>
              <w:rPr>
                <w:b/>
              </w:rPr>
              <w:t>Method</w:t>
            </w:r>
          </w:p>
        </w:tc>
        <w:tc>
          <w:tcPr>
            <w:tcW w:w="0" w:type="auto"/>
            <w:vAlign w:val="bottom"/>
          </w:tcPr>
          <w:p w14:paraId="7E2CF06D" w14:textId="77777777" w:rsidR="00856161" w:rsidRDefault="00750A62" w:rsidP="00140334">
            <w:pPr>
              <w:ind w:firstLine="0"/>
              <w:jc w:val="left"/>
            </w:pPr>
            <w:r>
              <w:rPr>
                <w:b/>
              </w:rPr>
              <w:t>Features Used</w:t>
            </w:r>
          </w:p>
        </w:tc>
        <w:tc>
          <w:tcPr>
            <w:tcW w:w="0" w:type="auto"/>
            <w:vAlign w:val="bottom"/>
          </w:tcPr>
          <w:p w14:paraId="1D1085A7" w14:textId="77777777" w:rsidR="00856161" w:rsidRDefault="00750A62" w:rsidP="00140334">
            <w:pPr>
              <w:ind w:firstLine="0"/>
              <w:jc w:val="left"/>
            </w:pPr>
            <w:r>
              <w:rPr>
                <w:b/>
              </w:rPr>
              <w:t>Performance Metrics</w:t>
            </w:r>
          </w:p>
        </w:tc>
        <w:tc>
          <w:tcPr>
            <w:tcW w:w="0" w:type="auto"/>
            <w:vAlign w:val="bottom"/>
          </w:tcPr>
          <w:p w14:paraId="1DE41B7B" w14:textId="77777777" w:rsidR="00856161" w:rsidRDefault="00750A62" w:rsidP="00140334">
            <w:pPr>
              <w:ind w:firstLine="0"/>
              <w:jc w:val="left"/>
            </w:pPr>
            <w:r>
              <w:rPr>
                <w:b/>
              </w:rPr>
              <w:t>Limitations</w:t>
            </w:r>
          </w:p>
        </w:tc>
      </w:tr>
      <w:tr w:rsidR="001346A5" w14:paraId="499E9D1F" w14:textId="77777777" w:rsidTr="001346A5">
        <w:tc>
          <w:tcPr>
            <w:tcW w:w="0" w:type="auto"/>
          </w:tcPr>
          <w:p w14:paraId="1BACCA17" w14:textId="77777777" w:rsidR="00856161" w:rsidRDefault="00750A62" w:rsidP="001346A5">
            <w:pPr>
              <w:ind w:firstLine="0"/>
              <w:jc w:val="left"/>
            </w:pPr>
            <w:r>
              <w:t>Schoonbee et al. [5]</w:t>
            </w:r>
          </w:p>
        </w:tc>
        <w:tc>
          <w:tcPr>
            <w:tcW w:w="0" w:type="auto"/>
          </w:tcPr>
          <w:p w14:paraId="4ED1A786" w14:textId="77777777" w:rsidR="00856161" w:rsidRDefault="00750A62" w:rsidP="001346A5">
            <w:pPr>
              <w:ind w:firstLine="0"/>
              <w:jc w:val="left"/>
            </w:pPr>
            <w:r>
              <w:t>2021</w:t>
            </w:r>
          </w:p>
        </w:tc>
        <w:tc>
          <w:tcPr>
            <w:tcW w:w="0" w:type="auto"/>
          </w:tcPr>
          <w:p w14:paraId="5C14B158" w14:textId="77777777" w:rsidR="00856161" w:rsidRDefault="00750A62" w:rsidP="001346A5">
            <w:pPr>
              <w:ind w:firstLine="0"/>
              <w:jc w:val="left"/>
            </w:pPr>
            <w:r>
              <w:t>Educational invoices (South Africa)</w:t>
            </w:r>
          </w:p>
        </w:tc>
        <w:tc>
          <w:tcPr>
            <w:tcW w:w="0" w:type="auto"/>
          </w:tcPr>
          <w:p w14:paraId="20E46BDD" w14:textId="5DCFBA31" w:rsidR="00856161" w:rsidRDefault="00750A62" w:rsidP="001346A5">
            <w:pPr>
              <w:ind w:firstLine="0"/>
              <w:jc w:val="left"/>
            </w:pPr>
            <w:r>
              <w:t>LR, RF, XGBoost, NN decision support</w:t>
            </w:r>
          </w:p>
        </w:tc>
        <w:tc>
          <w:tcPr>
            <w:tcW w:w="0" w:type="auto"/>
          </w:tcPr>
          <w:p w14:paraId="760AD087" w14:textId="77777777" w:rsidR="00856161" w:rsidRDefault="00750A62" w:rsidP="001346A5">
            <w:pPr>
              <w:ind w:firstLine="0"/>
              <w:jc w:val="left"/>
            </w:pPr>
            <w:r>
              <w:t>Student-level payment history, demographics</w:t>
            </w:r>
          </w:p>
        </w:tc>
        <w:tc>
          <w:tcPr>
            <w:tcW w:w="0" w:type="auto"/>
          </w:tcPr>
          <w:p w14:paraId="17EEC3AE" w14:textId="77777777" w:rsidR="00856161" w:rsidRDefault="00750A62" w:rsidP="001346A5">
            <w:pPr>
              <w:ind w:firstLine="0"/>
              <w:jc w:val="left"/>
            </w:pPr>
            <w:r>
              <w:t>Accuracy ≈ 80–85%</w:t>
            </w:r>
          </w:p>
        </w:tc>
        <w:tc>
          <w:tcPr>
            <w:tcW w:w="0" w:type="auto"/>
          </w:tcPr>
          <w:p w14:paraId="3DD5AEC5" w14:textId="77777777" w:rsidR="00856161" w:rsidRDefault="00750A62" w:rsidP="001346A5">
            <w:pPr>
              <w:ind w:firstLine="0"/>
              <w:jc w:val="left"/>
            </w:pPr>
            <w:r>
              <w:t>Aggregate features; nominal targets</w:t>
            </w:r>
          </w:p>
        </w:tc>
      </w:tr>
      <w:tr w:rsidR="001346A5" w14:paraId="5F5EF001" w14:textId="77777777" w:rsidTr="001346A5">
        <w:tc>
          <w:tcPr>
            <w:tcW w:w="0" w:type="auto"/>
          </w:tcPr>
          <w:p w14:paraId="64FE9B21" w14:textId="77777777" w:rsidR="00856161" w:rsidRDefault="00750A62" w:rsidP="001346A5">
            <w:pPr>
              <w:ind w:firstLine="0"/>
              <w:jc w:val="left"/>
            </w:pPr>
            <w:r>
              <w:t>Moore &amp; van Vuuren [4]</w:t>
            </w:r>
          </w:p>
        </w:tc>
        <w:tc>
          <w:tcPr>
            <w:tcW w:w="0" w:type="auto"/>
          </w:tcPr>
          <w:p w14:paraId="16923E45" w14:textId="77777777" w:rsidR="00856161" w:rsidRDefault="00750A62" w:rsidP="001346A5">
            <w:pPr>
              <w:ind w:firstLine="0"/>
              <w:jc w:val="left"/>
            </w:pPr>
            <w:r>
              <w:t>2020</w:t>
            </w:r>
          </w:p>
        </w:tc>
        <w:tc>
          <w:tcPr>
            <w:tcW w:w="0" w:type="auto"/>
          </w:tcPr>
          <w:p w14:paraId="036BAB85" w14:textId="77777777" w:rsidR="00856161" w:rsidRDefault="00750A62" w:rsidP="001346A5">
            <w:pPr>
              <w:ind w:firstLine="0"/>
              <w:jc w:val="left"/>
            </w:pPr>
            <w:r>
              <w:t>Customer invoices</w:t>
            </w:r>
          </w:p>
        </w:tc>
        <w:tc>
          <w:tcPr>
            <w:tcW w:w="0" w:type="auto"/>
          </w:tcPr>
          <w:p w14:paraId="549FC79C" w14:textId="77777777" w:rsidR="00856161" w:rsidRDefault="00750A62" w:rsidP="001346A5">
            <w:pPr>
              <w:ind w:firstLine="0"/>
              <w:jc w:val="left"/>
            </w:pPr>
            <w:r>
              <w:t>Survival analysis + ML (MIPP)</w:t>
            </w:r>
          </w:p>
        </w:tc>
        <w:tc>
          <w:tcPr>
            <w:tcW w:w="0" w:type="auto"/>
          </w:tcPr>
          <w:p w14:paraId="10B991A7" w14:textId="77777777" w:rsidR="00856161" w:rsidRDefault="00750A62" w:rsidP="001346A5">
            <w:pPr>
              <w:ind w:firstLine="0"/>
              <w:jc w:val="left"/>
            </w:pPr>
            <w:r>
              <w:t>Invoice history, customer attributes</w:t>
            </w:r>
          </w:p>
        </w:tc>
        <w:tc>
          <w:tcPr>
            <w:tcW w:w="0" w:type="auto"/>
          </w:tcPr>
          <w:p w14:paraId="3A156F50" w14:textId="77777777" w:rsidR="00856161" w:rsidRDefault="00750A62" w:rsidP="001346A5">
            <w:pPr>
              <w:ind w:firstLine="0"/>
              <w:jc w:val="left"/>
            </w:pPr>
            <w:r>
              <w:t>Time-to-payment estimates</w:t>
            </w:r>
          </w:p>
        </w:tc>
        <w:tc>
          <w:tcPr>
            <w:tcW w:w="0" w:type="auto"/>
          </w:tcPr>
          <w:p w14:paraId="635C1A04" w14:textId="77777777" w:rsidR="00856161" w:rsidRDefault="00750A62" w:rsidP="001346A5">
            <w:pPr>
              <w:ind w:firstLine="0"/>
              <w:jc w:val="left"/>
            </w:pPr>
            <w:r>
              <w:t>No ordinal brackets; no resampling study</w:t>
            </w:r>
          </w:p>
        </w:tc>
      </w:tr>
      <w:tr w:rsidR="001346A5" w14:paraId="62279DAE" w14:textId="77777777" w:rsidTr="001346A5">
        <w:tc>
          <w:tcPr>
            <w:tcW w:w="0" w:type="auto"/>
          </w:tcPr>
          <w:p w14:paraId="582A4D6C" w14:textId="77777777" w:rsidR="00856161" w:rsidRDefault="00750A62" w:rsidP="001346A5">
            <w:pPr>
              <w:ind w:firstLine="0"/>
              <w:jc w:val="left"/>
            </w:pPr>
            <w:r>
              <w:t>Mugorobin et al. [3]</w:t>
            </w:r>
          </w:p>
        </w:tc>
        <w:tc>
          <w:tcPr>
            <w:tcW w:w="0" w:type="auto"/>
          </w:tcPr>
          <w:p w14:paraId="69E91A20" w14:textId="77777777" w:rsidR="00856161" w:rsidRDefault="00750A62" w:rsidP="001346A5">
            <w:pPr>
              <w:ind w:firstLine="0"/>
              <w:jc w:val="left"/>
            </w:pPr>
            <w:r>
              <w:t>2020</w:t>
            </w:r>
          </w:p>
        </w:tc>
        <w:tc>
          <w:tcPr>
            <w:tcW w:w="0" w:type="auto"/>
          </w:tcPr>
          <w:p w14:paraId="2E9C1B10" w14:textId="77777777" w:rsidR="00856161" w:rsidRDefault="00750A62" w:rsidP="001346A5">
            <w:pPr>
              <w:ind w:firstLine="0"/>
              <w:jc w:val="left"/>
            </w:pPr>
            <w:r>
              <w:t>School tuition (Indonesia)</w:t>
            </w:r>
          </w:p>
        </w:tc>
        <w:tc>
          <w:tcPr>
            <w:tcW w:w="0" w:type="auto"/>
          </w:tcPr>
          <w:p w14:paraId="35C6FBB2" w14:textId="77777777" w:rsidR="00856161" w:rsidRDefault="00750A62" w:rsidP="001346A5">
            <w:pPr>
              <w:ind w:firstLine="0"/>
              <w:jc w:val="left"/>
            </w:pPr>
            <w:r>
              <w:t>Rule-based estimation with classification</w:t>
            </w:r>
          </w:p>
        </w:tc>
        <w:tc>
          <w:tcPr>
            <w:tcW w:w="0" w:type="auto"/>
          </w:tcPr>
          <w:p w14:paraId="2DB2AF10" w14:textId="77777777" w:rsidR="00856161" w:rsidRDefault="00750A62" w:rsidP="001346A5">
            <w:pPr>
              <w:ind w:firstLine="0"/>
              <w:jc w:val="left"/>
            </w:pPr>
            <w:r>
              <w:t>Tuition payment timeliness records</w:t>
            </w:r>
          </w:p>
        </w:tc>
        <w:tc>
          <w:tcPr>
            <w:tcW w:w="0" w:type="auto"/>
          </w:tcPr>
          <w:p w14:paraId="3AF2B2A8" w14:textId="77777777" w:rsidR="00856161" w:rsidRDefault="00750A62" w:rsidP="001346A5">
            <w:pPr>
              <w:ind w:firstLine="0"/>
              <w:jc w:val="left"/>
            </w:pPr>
            <w:r>
              <w:t>Accuracy on small institutional sample</w:t>
            </w:r>
          </w:p>
        </w:tc>
        <w:tc>
          <w:tcPr>
            <w:tcW w:w="0" w:type="auto"/>
          </w:tcPr>
          <w:p w14:paraId="0BBCB991" w14:textId="77777777" w:rsidR="00856161" w:rsidRDefault="00750A62" w:rsidP="001346A5">
            <w:pPr>
              <w:ind w:firstLine="0"/>
              <w:jc w:val="left"/>
            </w:pPr>
            <w:r>
              <w:t>Heuristic; no ensemble benchmarking</w:t>
            </w:r>
          </w:p>
        </w:tc>
      </w:tr>
      <w:tr w:rsidR="001346A5" w14:paraId="07FC0A7A" w14:textId="77777777" w:rsidTr="001346A5">
        <w:tc>
          <w:tcPr>
            <w:tcW w:w="0" w:type="auto"/>
          </w:tcPr>
          <w:p w14:paraId="24D90A48" w14:textId="77777777" w:rsidR="00856161" w:rsidRDefault="00750A62" w:rsidP="001346A5">
            <w:pPr>
              <w:ind w:firstLine="0"/>
              <w:jc w:val="left"/>
            </w:pPr>
            <w:r>
              <w:t>Martikainen [6]</w:t>
            </w:r>
          </w:p>
        </w:tc>
        <w:tc>
          <w:tcPr>
            <w:tcW w:w="0" w:type="auto"/>
          </w:tcPr>
          <w:p w14:paraId="356C3F7A" w14:textId="77777777" w:rsidR="00856161" w:rsidRDefault="00750A62" w:rsidP="001346A5">
            <w:pPr>
              <w:ind w:firstLine="0"/>
              <w:jc w:val="left"/>
            </w:pPr>
            <w:r>
              <w:t>2023</w:t>
            </w:r>
          </w:p>
        </w:tc>
        <w:tc>
          <w:tcPr>
            <w:tcW w:w="0" w:type="auto"/>
          </w:tcPr>
          <w:p w14:paraId="14CC0490" w14:textId="77777777" w:rsidR="00856161" w:rsidRDefault="00750A62" w:rsidP="001346A5">
            <w:pPr>
              <w:ind w:firstLine="0"/>
              <w:jc w:val="left"/>
            </w:pPr>
            <w:r>
              <w:t>B2B sales invoices (Finland)</w:t>
            </w:r>
          </w:p>
        </w:tc>
        <w:tc>
          <w:tcPr>
            <w:tcW w:w="0" w:type="auto"/>
          </w:tcPr>
          <w:p w14:paraId="71D7C899" w14:textId="77777777" w:rsidR="00856161" w:rsidRDefault="00750A62" w:rsidP="001346A5">
            <w:pPr>
              <w:ind w:firstLine="0"/>
              <w:jc w:val="left"/>
            </w:pPr>
            <w:r>
              <w:t>Statistical learning, logistic regression</w:t>
            </w:r>
          </w:p>
        </w:tc>
        <w:tc>
          <w:tcPr>
            <w:tcW w:w="0" w:type="auto"/>
          </w:tcPr>
          <w:p w14:paraId="7E378FF0" w14:textId="77777777" w:rsidR="00856161" w:rsidRDefault="00750A62" w:rsidP="001346A5">
            <w:pPr>
              <w:ind w:firstLine="0"/>
              <w:jc w:val="left"/>
            </w:pPr>
            <w:r>
              <w:t>Invoice and customer attributes</w:t>
            </w:r>
          </w:p>
        </w:tc>
        <w:tc>
          <w:tcPr>
            <w:tcW w:w="0" w:type="auto"/>
          </w:tcPr>
          <w:p w14:paraId="3499DBDB" w14:textId="77777777" w:rsidR="00856161" w:rsidRDefault="00750A62" w:rsidP="001346A5">
            <w:pPr>
              <w:ind w:firstLine="0"/>
              <w:jc w:val="left"/>
            </w:pPr>
            <w:r>
              <w:t>Moderate AUC discrimination</w:t>
            </w:r>
          </w:p>
        </w:tc>
        <w:tc>
          <w:tcPr>
            <w:tcW w:w="0" w:type="auto"/>
          </w:tcPr>
          <w:p w14:paraId="0D94292B" w14:textId="77777777" w:rsidR="00856161" w:rsidRDefault="00750A62" w:rsidP="001346A5">
            <w:pPr>
              <w:ind w:firstLine="0"/>
              <w:jc w:val="left"/>
            </w:pPr>
            <w:r>
              <w:t>Few classifiers; imbalance untreated</w:t>
            </w:r>
          </w:p>
        </w:tc>
      </w:tr>
      <w:tr w:rsidR="001346A5" w14:paraId="36F8D95B" w14:textId="77777777" w:rsidTr="001346A5">
        <w:tc>
          <w:tcPr>
            <w:tcW w:w="0" w:type="auto"/>
          </w:tcPr>
          <w:p w14:paraId="6B2A921B" w14:textId="77777777" w:rsidR="00856161" w:rsidRDefault="00750A62" w:rsidP="001346A5">
            <w:pPr>
              <w:ind w:firstLine="0"/>
              <w:jc w:val="left"/>
            </w:pPr>
            <w:r>
              <w:lastRenderedPageBreak/>
              <w:t>Cheong [7]</w:t>
            </w:r>
          </w:p>
        </w:tc>
        <w:tc>
          <w:tcPr>
            <w:tcW w:w="0" w:type="auto"/>
          </w:tcPr>
          <w:p w14:paraId="5B3400F4" w14:textId="77777777" w:rsidR="00856161" w:rsidRDefault="00750A62" w:rsidP="001346A5">
            <w:pPr>
              <w:ind w:firstLine="0"/>
              <w:jc w:val="left"/>
            </w:pPr>
            <w:r>
              <w:t>2022</w:t>
            </w:r>
          </w:p>
        </w:tc>
        <w:tc>
          <w:tcPr>
            <w:tcW w:w="0" w:type="auto"/>
          </w:tcPr>
          <w:p w14:paraId="75158740" w14:textId="77777777" w:rsidR="00856161" w:rsidRDefault="00750A62" w:rsidP="001346A5">
            <w:pPr>
              <w:ind w:firstLine="0"/>
              <w:jc w:val="left"/>
            </w:pPr>
            <w:r>
              <w:t>Corporate accounts receivable</w:t>
            </w:r>
          </w:p>
        </w:tc>
        <w:tc>
          <w:tcPr>
            <w:tcW w:w="0" w:type="auto"/>
          </w:tcPr>
          <w:p w14:paraId="55F290B1" w14:textId="77777777" w:rsidR="00856161" w:rsidRDefault="00750A62" w:rsidP="001346A5">
            <w:pPr>
              <w:ind w:firstLine="0"/>
              <w:jc w:val="left"/>
            </w:pPr>
            <w:r>
              <w:t>Customer-level gradient boosting</w:t>
            </w:r>
          </w:p>
        </w:tc>
        <w:tc>
          <w:tcPr>
            <w:tcW w:w="0" w:type="auto"/>
          </w:tcPr>
          <w:p w14:paraId="55A5CC9D" w14:textId="77777777" w:rsidR="00856161" w:rsidRDefault="00750A62" w:rsidP="001346A5">
            <w:pPr>
              <w:ind w:firstLine="0"/>
              <w:jc w:val="left"/>
            </w:pPr>
            <w:r>
              <w:t>Customer payment history, segmentation</w:t>
            </w:r>
          </w:p>
        </w:tc>
        <w:tc>
          <w:tcPr>
            <w:tcW w:w="0" w:type="auto"/>
          </w:tcPr>
          <w:p w14:paraId="54A7759B" w14:textId="77777777" w:rsidR="00856161" w:rsidRDefault="00750A62" w:rsidP="001346A5">
            <w:pPr>
              <w:ind w:firstLine="0"/>
              <w:jc w:val="left"/>
            </w:pPr>
            <w:r>
              <w:t>Reduction in unnecessary interventions</w:t>
            </w:r>
          </w:p>
        </w:tc>
        <w:tc>
          <w:tcPr>
            <w:tcW w:w="0" w:type="auto"/>
          </w:tcPr>
          <w:p w14:paraId="37579B98" w14:textId="77777777" w:rsidR="00856161" w:rsidRDefault="00750A62" w:rsidP="001346A5">
            <w:pPr>
              <w:ind w:firstLine="0"/>
              <w:jc w:val="left"/>
            </w:pPr>
            <w:r>
              <w:t>Customer aggregation; no line-item detail</w:t>
            </w:r>
          </w:p>
        </w:tc>
      </w:tr>
      <w:tr w:rsidR="001346A5" w14:paraId="7B69691D" w14:textId="77777777" w:rsidTr="001346A5">
        <w:tc>
          <w:tcPr>
            <w:tcW w:w="0" w:type="auto"/>
          </w:tcPr>
          <w:p w14:paraId="03B74850" w14:textId="77777777" w:rsidR="00856161" w:rsidRDefault="00750A62" w:rsidP="001346A5">
            <w:pPr>
              <w:ind w:firstLine="0"/>
              <w:jc w:val="left"/>
            </w:pPr>
            <w:r>
              <w:t>Appel et al. [8]</w:t>
            </w:r>
          </w:p>
        </w:tc>
        <w:tc>
          <w:tcPr>
            <w:tcW w:w="0" w:type="auto"/>
          </w:tcPr>
          <w:p w14:paraId="295DC6C8" w14:textId="77777777" w:rsidR="00856161" w:rsidRDefault="00750A62" w:rsidP="001346A5">
            <w:pPr>
              <w:ind w:firstLine="0"/>
              <w:jc w:val="left"/>
            </w:pPr>
            <w:r>
              <w:t>2021</w:t>
            </w:r>
          </w:p>
        </w:tc>
        <w:tc>
          <w:tcPr>
            <w:tcW w:w="0" w:type="auto"/>
          </w:tcPr>
          <w:p w14:paraId="0D9FB675" w14:textId="77777777" w:rsidR="00856161" w:rsidRDefault="00750A62" w:rsidP="001346A5">
            <w:pPr>
              <w:ind w:firstLine="0"/>
              <w:jc w:val="left"/>
            </w:pPr>
            <w:r>
              <w:t>Corporate accounts receivable</w:t>
            </w:r>
          </w:p>
        </w:tc>
        <w:tc>
          <w:tcPr>
            <w:tcW w:w="0" w:type="auto"/>
          </w:tcPr>
          <w:p w14:paraId="43276B23" w14:textId="77777777" w:rsidR="00856161" w:rsidRDefault="00750A62" w:rsidP="001346A5">
            <w:pPr>
              <w:ind w:firstLine="0"/>
              <w:jc w:val="left"/>
            </w:pPr>
            <w:r>
              <w:t>Supervised ML on transaction histories</w:t>
            </w:r>
          </w:p>
        </w:tc>
        <w:tc>
          <w:tcPr>
            <w:tcW w:w="0" w:type="auto"/>
          </w:tcPr>
          <w:p w14:paraId="5A46063D" w14:textId="77777777" w:rsidR="00856161" w:rsidRDefault="00750A62" w:rsidP="001346A5">
            <w:pPr>
              <w:ind w:firstLine="0"/>
              <w:jc w:val="left"/>
            </w:pPr>
            <w:r>
              <w:t>Transaction history, customer segmentation</w:t>
            </w:r>
          </w:p>
        </w:tc>
        <w:tc>
          <w:tcPr>
            <w:tcW w:w="0" w:type="auto"/>
          </w:tcPr>
          <w:p w14:paraId="4B6A3AE9" w14:textId="77777777" w:rsidR="00856161" w:rsidRDefault="00750A62" w:rsidP="001346A5">
            <w:pPr>
              <w:ind w:firstLine="0"/>
              <w:jc w:val="left"/>
            </w:pPr>
            <w:r>
              <w:t>Precision on overdue-account detection</w:t>
            </w:r>
          </w:p>
        </w:tc>
        <w:tc>
          <w:tcPr>
            <w:tcW w:w="0" w:type="auto"/>
          </w:tcPr>
          <w:p w14:paraId="4562D3F0" w14:textId="77777777" w:rsidR="00856161" w:rsidRDefault="00750A62" w:rsidP="001346A5">
            <w:pPr>
              <w:ind w:firstLine="0"/>
              <w:jc w:val="left"/>
            </w:pPr>
            <w:r>
              <w:t>Corporate context; binary target</w:t>
            </w:r>
          </w:p>
        </w:tc>
      </w:tr>
      <w:tr w:rsidR="001346A5" w14:paraId="26F24737" w14:textId="77777777" w:rsidTr="001346A5">
        <w:tc>
          <w:tcPr>
            <w:tcW w:w="0" w:type="auto"/>
          </w:tcPr>
          <w:p w14:paraId="15F26FF4" w14:textId="77777777" w:rsidR="00856161" w:rsidRDefault="00750A62" w:rsidP="001346A5">
            <w:pPr>
              <w:ind w:firstLine="0"/>
              <w:jc w:val="left"/>
            </w:pPr>
            <w:r>
              <w:t>Thuy et al. [23]</w:t>
            </w:r>
          </w:p>
        </w:tc>
        <w:tc>
          <w:tcPr>
            <w:tcW w:w="0" w:type="auto"/>
          </w:tcPr>
          <w:p w14:paraId="10BDA535" w14:textId="77777777" w:rsidR="00856161" w:rsidRDefault="00750A62" w:rsidP="001346A5">
            <w:pPr>
              <w:ind w:firstLine="0"/>
              <w:jc w:val="left"/>
            </w:pPr>
            <w:r>
              <w:t>2025</w:t>
            </w:r>
          </w:p>
        </w:tc>
        <w:tc>
          <w:tcPr>
            <w:tcW w:w="0" w:type="auto"/>
          </w:tcPr>
          <w:p w14:paraId="56779342" w14:textId="77777777" w:rsidR="00856161" w:rsidRDefault="00750A62" w:rsidP="001346A5">
            <w:pPr>
              <w:ind w:firstLine="0"/>
              <w:jc w:val="left"/>
            </w:pPr>
            <w:r>
              <w:t>Student credit scoring (Vietnam)</w:t>
            </w:r>
          </w:p>
        </w:tc>
        <w:tc>
          <w:tcPr>
            <w:tcW w:w="0" w:type="auto"/>
          </w:tcPr>
          <w:p w14:paraId="44591CE0" w14:textId="77777777" w:rsidR="00856161" w:rsidRDefault="00750A62" w:rsidP="001346A5">
            <w:pPr>
              <w:ind w:firstLine="0"/>
              <w:jc w:val="left"/>
            </w:pPr>
            <w:r>
              <w:t>ML vs. deep learning comparison</w:t>
            </w:r>
          </w:p>
        </w:tc>
        <w:tc>
          <w:tcPr>
            <w:tcW w:w="0" w:type="auto"/>
          </w:tcPr>
          <w:p w14:paraId="29B5854F" w14:textId="77777777" w:rsidR="00856161" w:rsidRDefault="00750A62" w:rsidP="001346A5">
            <w:pPr>
              <w:ind w:firstLine="0"/>
              <w:jc w:val="left"/>
            </w:pPr>
            <w:r>
              <w:t>Academic, demographic, financial features</w:t>
            </w:r>
          </w:p>
        </w:tc>
        <w:tc>
          <w:tcPr>
            <w:tcW w:w="0" w:type="auto"/>
          </w:tcPr>
          <w:p w14:paraId="33C7E990" w14:textId="77777777" w:rsidR="00856161" w:rsidRDefault="00750A62" w:rsidP="001346A5">
            <w:pPr>
              <w:ind w:firstLine="0"/>
              <w:jc w:val="left"/>
            </w:pPr>
            <w:r>
              <w:t>ML ensembles competitive with deep learning</w:t>
            </w:r>
          </w:p>
        </w:tc>
        <w:tc>
          <w:tcPr>
            <w:tcW w:w="0" w:type="auto"/>
          </w:tcPr>
          <w:p w14:paraId="17580631" w14:textId="77777777" w:rsidR="00856161" w:rsidRDefault="00750A62" w:rsidP="001346A5">
            <w:pPr>
              <w:ind w:firstLine="0"/>
              <w:jc w:val="left"/>
            </w:pPr>
            <w:r>
              <w:t>Credit scoring, not invoice-level prediction</w:t>
            </w:r>
          </w:p>
        </w:tc>
      </w:tr>
      <w:tr w:rsidR="001346A5" w14:paraId="10245737" w14:textId="77777777" w:rsidTr="001346A5">
        <w:tc>
          <w:tcPr>
            <w:tcW w:w="0" w:type="auto"/>
          </w:tcPr>
          <w:p w14:paraId="37A2D269" w14:textId="77777777" w:rsidR="00856161" w:rsidRDefault="00750A62" w:rsidP="001346A5">
            <w:pPr>
              <w:ind w:firstLine="0"/>
              <w:jc w:val="left"/>
            </w:pPr>
            <w:r>
              <w:t>Abbas &amp; Hussein [9]</w:t>
            </w:r>
          </w:p>
        </w:tc>
        <w:tc>
          <w:tcPr>
            <w:tcW w:w="0" w:type="auto"/>
          </w:tcPr>
          <w:p w14:paraId="7C6EE048" w14:textId="77777777" w:rsidR="00856161" w:rsidRDefault="00750A62" w:rsidP="001346A5">
            <w:pPr>
              <w:ind w:firstLine="0"/>
              <w:jc w:val="left"/>
            </w:pPr>
            <w:r>
              <w:t>2024</w:t>
            </w:r>
          </w:p>
        </w:tc>
        <w:tc>
          <w:tcPr>
            <w:tcW w:w="0" w:type="auto"/>
          </w:tcPr>
          <w:p w14:paraId="449F17B4" w14:textId="77777777" w:rsidR="00856161" w:rsidRDefault="00750A62" w:rsidP="001346A5">
            <w:pPr>
              <w:ind w:firstLine="0"/>
              <w:jc w:val="left"/>
            </w:pPr>
            <w:r>
              <w:t>Consumer loan default</w:t>
            </w:r>
          </w:p>
        </w:tc>
        <w:tc>
          <w:tcPr>
            <w:tcW w:w="0" w:type="auto"/>
          </w:tcPr>
          <w:p w14:paraId="265D1D73" w14:textId="77777777" w:rsidR="00856161" w:rsidRDefault="00750A62" w:rsidP="001346A5">
            <w:pPr>
              <w:ind w:firstLine="0"/>
              <w:jc w:val="left"/>
            </w:pPr>
            <w:r>
              <w:t>XGBoost, LightGBM</w:t>
            </w:r>
          </w:p>
        </w:tc>
        <w:tc>
          <w:tcPr>
            <w:tcW w:w="0" w:type="auto"/>
          </w:tcPr>
          <w:p w14:paraId="5D3F7C13" w14:textId="77777777" w:rsidR="00856161" w:rsidRDefault="00750A62" w:rsidP="001346A5">
            <w:pPr>
              <w:ind w:firstLine="0"/>
              <w:jc w:val="left"/>
            </w:pPr>
            <w:r>
              <w:t>Borrower financial attributes</w:t>
            </w:r>
          </w:p>
        </w:tc>
        <w:tc>
          <w:tcPr>
            <w:tcW w:w="0" w:type="auto"/>
          </w:tcPr>
          <w:p w14:paraId="6787C0B0" w14:textId="77777777" w:rsidR="00856161" w:rsidRDefault="00750A62" w:rsidP="001346A5">
            <w:pPr>
              <w:ind w:firstLine="0"/>
              <w:jc w:val="left"/>
            </w:pPr>
            <w:r>
              <w:t>Boosting outperforms statistical baselines</w:t>
            </w:r>
          </w:p>
        </w:tc>
        <w:tc>
          <w:tcPr>
            <w:tcW w:w="0" w:type="auto"/>
          </w:tcPr>
          <w:p w14:paraId="5DF80D55" w14:textId="77777777" w:rsidR="00856161" w:rsidRDefault="00750A62" w:rsidP="001346A5">
            <w:pPr>
              <w:ind w:firstLine="0"/>
              <w:jc w:val="left"/>
            </w:pPr>
            <w:r>
              <w:t>Default prediction; no payment-delay granularity</w:t>
            </w:r>
          </w:p>
        </w:tc>
      </w:tr>
    </w:tbl>
    <w:p w14:paraId="5167286C" w14:textId="77777777" w:rsidR="001346A5" w:rsidRDefault="001346A5">
      <w:pPr>
        <w:autoSpaceDE/>
        <w:autoSpaceDN/>
        <w:adjustRightInd/>
        <w:spacing w:line="278" w:lineRule="auto"/>
        <w:ind w:firstLine="0"/>
        <w:jc w:val="left"/>
        <w:sectPr w:rsidR="001346A5" w:rsidSect="001346A5">
          <w:endnotePr>
            <w:numFmt w:val="decimal"/>
          </w:endnotePr>
          <w:pgSz w:w="15840" w:h="12240" w:orient="landscape"/>
          <w:pgMar w:top="1440" w:right="1440" w:bottom="2160" w:left="1440" w:header="720" w:footer="720" w:gutter="0"/>
          <w:lnNumType w:countBy="1" w:restart="continuous"/>
          <w:cols w:space="720"/>
          <w:titlePg/>
          <w:docGrid w:linePitch="360"/>
        </w:sectPr>
      </w:pPr>
    </w:p>
    <w:p w14:paraId="76FB5968" w14:textId="77777777" w:rsidR="00B66C9B" w:rsidRPr="00FD0F64" w:rsidRDefault="00B046CE" w:rsidP="002C3DB6">
      <w:pPr>
        <w:pStyle w:val="Heading2"/>
      </w:pPr>
      <w:bookmarkStart w:id="51" w:name="_Toc233585276"/>
      <w:r>
        <w:lastRenderedPageBreak/>
        <w:t>2.14 Theoretical Framework</w:t>
      </w:r>
      <w:bookmarkEnd w:id="51"/>
    </w:p>
    <w:p w14:paraId="23A1DE79" w14:textId="77777777" w:rsidR="00856161" w:rsidRDefault="00750A62">
      <w:pPr>
        <w:pStyle w:val="ThesisParagraphText"/>
      </w:pPr>
      <w:r>
        <w:t>Figure 2.1 presents the conceptual framework that integrates the four theoretical lenses guiding this study, tracing how raw institutional data flow through preprocessing, predictive modeling, and decision support to inform receivables management.</w:t>
      </w:r>
    </w:p>
    <w:p w14:paraId="13E08CD2" w14:textId="77777777" w:rsidR="00856161" w:rsidRDefault="00750A62">
      <w:pPr>
        <w:pStyle w:val="NoSpacing"/>
      </w:pPr>
      <w:r>
        <w:rPr>
          <w:noProof/>
        </w:rPr>
        <w:drawing>
          <wp:anchor distT="0" distB="0" distL="114300" distR="114300" simplePos="0" relativeHeight="251658240" behindDoc="1" locked="0" layoutInCell="1" allowOverlap="1" wp14:anchorId="34EAE5CD" wp14:editId="1C6F679F">
            <wp:simplePos x="0" y="0"/>
            <wp:positionH relativeFrom="column">
              <wp:posOffset>-86360</wp:posOffset>
            </wp:positionH>
            <wp:positionV relativeFrom="paragraph">
              <wp:posOffset>385445</wp:posOffset>
            </wp:positionV>
            <wp:extent cx="5394960" cy="5241394"/>
            <wp:effectExtent l="0" t="0" r="0" b="0"/>
            <wp:wrapTopAndBottom/>
            <wp:docPr id="164958424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8983"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394960" cy="5241394"/>
                    </a:xfrm>
                    <a:prstGeom prst="rect">
                      <a:avLst/>
                    </a:prstGeom>
                  </pic:spPr>
                </pic:pic>
              </a:graphicData>
            </a:graphic>
            <wp14:sizeRelH relativeFrom="margin">
              <wp14:pctWidth>0</wp14:pctWidth>
            </wp14:sizeRelH>
            <wp14:sizeRelV relativeFrom="margin">
              <wp14:pctHeight>0</wp14:pctHeight>
            </wp14:sizeRelV>
          </wp:anchor>
        </w:drawing>
      </w:r>
    </w:p>
    <w:p w14:paraId="51FCED59" w14:textId="4B7D2C48" w:rsidR="00E01831" w:rsidRPr="00FD0F64" w:rsidRDefault="00E01831" w:rsidP="00E01831">
      <w:pPr>
        <w:pStyle w:val="Caption"/>
      </w:pPr>
      <w:bookmarkStart w:id="52" w:name="_Toc213699185"/>
      <w:bookmarkStart w:id="53" w:name="_Toc229191306"/>
      <w:bookmarkStart w:id="54" w:name="_Toc229345189"/>
      <w:bookmarkStart w:id="55" w:name="_Toc233585313"/>
      <w:r>
        <w:t>Figure 2.</w:t>
        <w:fldChar w:fldCharType="begin"/>
        <w:instrText>SEQ Figure \* ARABIC \s 1</w:instrText>
        <w:fldChar w:fldCharType="separate"/>
      </w:r>
      <w:r>
        <w:rPr>
          <w:noProof/>
        </w:rPr>
        <w:t>1</w:t>
      </w:r>
      <w:r>
        <w:fldChar w:fldCharType="end"/>
      </w:r>
      <w:r>
        <w:rPr>
          <w:noProof/>
        </w:rPr>
        <w:t>: Conceptual Framework.</w:t>
      </w:r>
      <w:bookmarkEnd w:id="52"/>
      <w:bookmarkEnd w:id="53"/>
      <w:bookmarkEnd w:id="54"/>
      <w:bookmarkEnd w:id="55"/>
    </w:p>
    <w:p w14:paraId="4F23C0E2" w14:textId="77777777" w:rsidR="00922215" w:rsidRDefault="00922215" w:rsidP="00AB7363">
      <w:pPr>
        <w:pStyle w:val="ThesisParagraphText"/>
      </w:pPr>
    </w:p>
    <w:p w14:paraId="311CB61F" w14:textId="77777777" w:rsidR="00922215" w:rsidRDefault="00922215">
      <w:pPr>
        <w:autoSpaceDE/>
        <w:autoSpaceDN/>
        <w:adjustRightInd/>
        <w:spacing w:line="278" w:lineRule="auto"/>
        <w:ind w:firstLine="0"/>
        <w:jc w:val="left"/>
        <w:rPr>
          <w:rFonts w:eastAsia="Calibri"/>
          <w:kern w:val="0"/>
          <w14:ligatures w14:val="none"/>
        </w:rPr>
      </w:pPr>
      <w:r>
        <w:br w:type="page"/>
      </w:r>
    </w:p>
    <w:p w14:paraId="0CB9212E" w14:textId="4F65CB81" w:rsidR="00AB7363" w:rsidRDefault="005867D3" w:rsidP="00AB7363">
      <w:pPr>
        <w:pStyle w:val="ThesisParagraphText"/>
      </w:pPr>
      <w:r>
        <w:lastRenderedPageBreak/>
        <w:t>First, Information Processing Theory (IPT) [38] provides the foundation for data flow and preprocessing [1, 2]. Second, the Predictive Analytics and Machine Learning Paradigm (PA-MLP) supports the modeling stage [1, 2]. Third, Decision Support Systems (DSS) Theory [39, 40] justifies the analysis and interface components. Finally, Receivables Management Theory (RMT) [14, 41, 42] grounds the study in its financial context.</w:t>
      </w:r>
    </w:p>
    <w:p w14:paraId="69D2F9A3" w14:textId="77777777" w:rsidR="00AB7363" w:rsidRDefault="00AB7363">
      <w:pPr>
        <w:autoSpaceDE/>
        <w:autoSpaceDN/>
        <w:adjustRightInd/>
        <w:spacing w:line="278" w:lineRule="auto"/>
        <w:ind w:firstLine="0"/>
        <w:jc w:val="left"/>
        <w:rPr>
          <w:rFonts w:eastAsia="Calibri"/>
          <w:kern w:val="0"/>
          <w14:ligatures w14:val="none"/>
        </w:rPr>
      </w:pPr>
      <w:r>
        <w:br w:type="page"/>
      </w:r>
    </w:p>
    <w:p w14:paraId="07A40BD0" w14:textId="77777777" w:rsidR="001668BA" w:rsidRPr="00FD0F64" w:rsidRDefault="00E05849" w:rsidP="008C577C">
      <w:pPr>
        <w:pStyle w:val="Heading1"/>
      </w:pPr>
      <w:bookmarkStart w:id="56" w:name="_Toc204781967"/>
      <w:bookmarkStart w:id="57" w:name="_Toc204781992"/>
      <w:bookmarkStart w:id="58" w:name="_Toc233585277"/>
      <w:r>
        <w:lastRenderedPageBreak/>
        <w:t>CHAPTER 3</w:t>
      </w:r>
      <w:r>
        <w:rPr>
          <w:color w:val="FFFFFF" w:themeColor="background1"/>
        </w:rPr>
        <w:t>:</w:t>
      </w:r>
      <w:r>
        <w:br/>
        <w:t>METHODOLOGY</w:t>
      </w:r>
      <w:bookmarkEnd w:id="56"/>
      <w:bookmarkEnd w:id="57"/>
      <w:bookmarkEnd w:id="58"/>
    </w:p>
    <w:p w14:paraId="3B65EAED" w14:textId="77777777" w:rsidR="00856161" w:rsidRDefault="00750A62">
      <w:pPr>
        <w:pStyle w:val="Heading2"/>
      </w:pPr>
      <w:bookmarkStart w:id="59" w:name="_Toc233585278"/>
      <w:r>
        <w:t>3.1 Research Design</w:t>
      </w:r>
      <w:bookmarkEnd w:id="59"/>
    </w:p>
    <w:p w14:paraId="4FF2610F" w14:textId="77777777" w:rsidR="00BF5DAF" w:rsidRPr="00FD0F64" w:rsidRDefault="00C12742" w:rsidP="00AB7363">
      <w:pPr>
        <w:pStyle w:val="ThesisParagraphText"/>
      </w:pPr>
      <w:r>
        <w:t>This study employs a quantitative, experimental research design. The research paradigm is a controlled benchmarking study: fifteen machine learning architectures are compared under identical data, split, and evaluation conditions, with the manipulated factors being model family, hyperparameter configuration, class-balancing strategy, and feature regime, a factorial space of 1,092 configurations. Experimental comparison of this kind is the standard methodology for evaluating machine learning systems, as established in large-scale credit-scoring benchmarks such as Lessmann et al. [27].</w:t>
      </w:r>
    </w:p>
    <w:p w14:paraId="208269EC" w14:textId="77777777" w:rsidR="00856161" w:rsidRDefault="00750A62">
      <w:pPr>
        <w:pStyle w:val="ThesisParagraphText"/>
      </w:pPr>
      <w:r>
        <w:t>The data are observational institutional records rather than instruments administered to human subjects: the study draws on pseudonymized journal entries from a private school, so no surveys, interviews, or interventions on students were conducted. The design is therefore experimental with respect to model evaluation, not with respect to data collection. The data flow diagrams presented in Figures 3.1 through 3.5 illustrate the architecture of the developed system (its preprocessing, modeling, and analysis components) rather than the research design itself; the research design is the benchmarking protocol described in Section 3.6, which fixes the temporal train–test split, the evaluation metrics, and the experimental grid within which every architecture is assessed. The remainder of this chapter describes each component in the order data flows through the pipeline: data acquisition, granular feature engineering, survival analysis modeling, class balancing, and hierarchical ensemble classification.</w:t>
      </w:r>
    </w:p>
    <w:p w14:paraId="462644AC" w14:textId="77777777" w:rsidR="007B369A" w:rsidRPr="00FD0F64" w:rsidRDefault="007B369A" w:rsidP="007B369A">
      <w:pPr>
        <w:pStyle w:val="Heading2"/>
      </w:pPr>
      <w:bookmarkStart w:id="60" w:name="_Toc233585279"/>
      <w:r>
        <w:lastRenderedPageBreak/>
        <w:t>3.2 Data Acquisition and Preprocessing</w:t>
      </w:r>
      <w:bookmarkEnd w:id="60"/>
    </w:p>
    <w:p w14:paraId="45254E54" w14:textId="77777777" w:rsidR="00047818" w:rsidRPr="00FD0F64" w:rsidRDefault="00047818" w:rsidP="00047818">
      <w:pPr>
        <w:pStyle w:val="ThesisParagraphText"/>
      </w:pPr>
      <w:r>
        <w:t>The primary dataset consists of 11,440 raw invoice records from a private school in Rizal, Philippines, spanning academic years 2019–2025 (with payment activity observed through March 31, 2026). The data originates from three Excel files manually exported from the school's internal enterprise resource planning (ERP) system. The revenues file contains itemized receivables: every billed amount with its due date, discounts, adjustments, and the dates and amounts of payments applied against it. The enrollees file records student enrollment per school year, including the installment plan selected, which allows enrollment streaks and plan-based features to be derived. The chart of accounts file maps every transaction category to its account classification and strategic business unit, enabling the category-level granularity central to this study. Each resulting record represents a discrete receivable item (e.g., Tuition, Miscellaneous Fee, E-Learning Platform) rather than an aggregate student-level balance.</w:t>
      </w:r>
    </w:p>
    <w:p w14:paraId="433AD02C" w14:textId="77777777" w:rsidR="00856161" w:rsidRDefault="00750A62">
      <w:pPr>
        <w:pStyle w:val="ThesisParagraphText"/>
      </w:pPr>
      <w:r>
        <w:t>Data were obtained with written institutional approval (Appendix G). All student identifiers were pseudonymized using a deterministic, irreversible hash prior to any analysis, implemented in a dedicated pseudonymization utility within the project codebase, and the original data files are excluded from the project's version-controlled repository. From the 11,440 raw records, 6,527 labeled records were retained after filtering for records with sufficient payment history to compute the days-to-payment (DTP) behavioral features; records lacking observable payment histories cannot support the lagged features the models require. The temporal train–test split is set at March 7, 2025: invoices due before this date form the training set, and invoices due on or after it form the test set.</w:t>
      </w:r>
    </w:p>
    <w:p w14:paraId="4250F1CA" w14:textId="77777777" w:rsidR="00A24C5D" w:rsidRPr="00FD0F64" w:rsidRDefault="00047818" w:rsidP="009613E6">
      <w:pPr>
        <w:pStyle w:val="ThesisParagraphText"/>
      </w:pPr>
      <w:r>
        <w:lastRenderedPageBreak/>
        <w:t>Initial preprocessing involved three steps. First, student identifiers were pseudonymized as described above. Second, payment dates were temporally aligned against due dates to construct the target variable Days to Payment (DTP), computed as the number of days between an invoice's due date and the date its balance was fully settled, with negative or zero values denoting on-time settlement. Third, DTP was discretized into four ordinal brackets: Class 0 (On-Time, DTP &lt;= 0), Class 1 (1–30 days late), Class 2 (31–60 days late), and Class 3 (61+ days late). Invoices still unpaid at the observation cutoff are flagged as censored and handled by the survival analysis described in Section 3.4.</w:t>
      </w:r>
    </w:p>
    <w:p w14:paraId="3658A900" w14:textId="77777777" w:rsidR="00B10419" w:rsidRPr="00FD0F64" w:rsidRDefault="004E5235" w:rsidP="00A24C5D">
      <w:pPr>
        <w:pStyle w:val="ThesisParagraphText"/>
        <w:ind w:firstLine="0"/>
      </w:pPr>
      <w:r>
        <w:t>Figure 3.1 presents the entity-relationship diagram (ERD) of the institutional dataset. Three core entities (Transactions, Categories, and Enrollees) are linked through foreign keys to form the basis for feature engineering. The Transactions table captures every discrete receivable item at category-level granularity, which is the primary innovation of this study's data model compared to aggregate student-level approaches in prior work.</w:t>
      </w:r>
    </w:p>
    <w:p w14:paraId="02583DF2" w14:textId="77777777" w:rsidR="00856161" w:rsidRDefault="00750A62">
      <w:pPr>
        <w:pStyle w:val="NoSpacing"/>
      </w:pPr>
      <w:r>
        <w:rPr>
          <w:noProof/>
        </w:rPr>
        <w:lastRenderedPageBreak/>
        <w:drawing>
          <wp:anchor distT="0" distB="0" distL="114300" distR="114300" simplePos="0" relativeHeight="251658241" behindDoc="0" locked="0" layoutInCell="1" allowOverlap="1" wp14:anchorId="72C2A4F1" wp14:editId="05BF3F5C">
            <wp:simplePos x="0" y="0"/>
            <wp:positionH relativeFrom="column">
              <wp:posOffset>-2540</wp:posOffset>
            </wp:positionH>
            <wp:positionV relativeFrom="paragraph">
              <wp:posOffset>245110</wp:posOffset>
            </wp:positionV>
            <wp:extent cx="5284470" cy="4394200"/>
            <wp:effectExtent l="0" t="0" r="0" b="6350"/>
            <wp:wrapTopAndBottom/>
            <wp:docPr id="14176769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6769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5284470" cy="4394200"/>
                    </a:xfrm>
                    <a:prstGeom prst="rect">
                      <a:avLst/>
                    </a:prstGeom>
                  </pic:spPr>
                </pic:pic>
              </a:graphicData>
            </a:graphic>
            <wp14:sizeRelH relativeFrom="margin">
              <wp14:pctWidth>0</wp14:pctWidth>
            </wp14:sizeRelH>
            <wp14:sizeRelV relativeFrom="margin">
              <wp14:pctHeight>0</wp14:pctHeight>
            </wp14:sizeRelV>
          </wp:anchor>
        </w:drawing>
      </w:r>
    </w:p>
    <w:p w14:paraId="0E4D1155" w14:textId="016FADBC" w:rsidR="0081578F" w:rsidRDefault="001D05D4" w:rsidP="0081578F">
      <w:pPr>
        <w:pStyle w:val="Caption"/>
      </w:pPr>
      <w:bookmarkStart w:id="61" w:name="_Toc233585314"/>
      <w:r>
        <w:t>Figure 3.</w:t>
        <w:fldChar w:fldCharType="begin"/>
        <w:instrText>SEQ Figure \* ARABIC \s 1</w:instrText>
        <w:fldChar w:fldCharType="separate"/>
      </w:r>
      <w:r>
        <w:rPr>
          <w:noProof/>
        </w:rPr>
        <w:t>1</w:t>
      </w:r>
      <w:r>
        <w:fldChar w:fldCharType="end"/>
        <w:t>: Entity-relationship diagram (ERD) of the institutional dataset.</w:t>
      </w:r>
      <w:bookmarkEnd w:id="61"/>
    </w:p>
    <w:p w14:paraId="3D9EA7FF" w14:textId="77777777" w:rsidR="00856161" w:rsidRDefault="00750A62">
      <w:pPr>
        <w:pStyle w:val="ThesisParagraphText"/>
      </w:pPr>
      <w:r>
        <w:t>The relationships visible in the ERD determine how the modeling dataset is assembled. Each transaction references a category through category_id, allowing every receivable line item to be typed (tuition, miscellaneous fees, course materials, other services), while the pseudonymized student identifier links transactions to enrollment records across school years. The due_date and amount_paid fields jointly define the target variable: the gap between the due date and the date the obligation is fully offset yields Days to Payment, from which the four ordinal payment brackets are derived. The Credit Sales Fact Table consolidates these joins into a single analysis-ready view per receivable.</w:t>
      </w:r>
    </w:p>
    <w:p w14:paraId="0A9FC25F" w14:textId="77777777" w:rsidR="0081578F" w:rsidRPr="0081578F" w:rsidRDefault="0081578F" w:rsidP="0081578F"/>
    <w:p w14:paraId="3D06223C" w14:textId="77777777" w:rsidR="00AB7363" w:rsidRDefault="00750A62" w:rsidP="00AB7363">
      <w:pPr>
        <w:pStyle w:val="ThesisParagraphText"/>
      </w:pPr>
      <w:r>
        <w:lastRenderedPageBreak/>
        <w:t>Figure 3.2 presents the Level-1 data flow diagram (DFD) of the pre-processing component, which transforms the three raw institutional exports into the analysis-ready credit sales dataset.</w:t>
      </w:r>
    </w:p>
    <w:p w14:paraId="7DFBDF9A" w14:textId="0CCD5A19" w:rsidR="00A70BD0" w:rsidRPr="00FD0F64" w:rsidRDefault="00A70BD0" w:rsidP="00AA5367">
      <w:pPr>
        <w:pStyle w:val="ThesisParagraphText"/>
        <w:ind w:firstLine="0"/>
        <w:jc w:val="center"/>
      </w:pPr>
      <w:r>
        <w:rPr>
          <w:noProof/>
        </w:rPr>
        <w:drawing>
          <wp:inline distT="0" distB="0" distL="0" distR="0" wp14:anchorId="1B4AABE6" wp14:editId="7BCE1A6F">
            <wp:extent cx="3781425" cy="3870709"/>
            <wp:effectExtent l="0" t="0" r="0" b="0"/>
            <wp:docPr id="17086784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7842"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3809733" cy="3899686"/>
                    </a:xfrm>
                    <a:prstGeom prst="rect">
                      <a:avLst/>
                    </a:prstGeom>
                  </pic:spPr>
                </pic:pic>
              </a:graphicData>
            </a:graphic>
          </wp:inline>
        </w:drawing>
      </w:r>
    </w:p>
    <w:p w14:paraId="42BE07A3" w14:textId="48E8F054" w:rsidR="0081578F" w:rsidRDefault="00BF6E4B" w:rsidP="0081578F">
      <w:pPr>
        <w:pStyle w:val="Caption"/>
        <w:rPr>
          <w:noProof/>
        </w:rPr>
      </w:pPr>
      <w:bookmarkStart w:id="62" w:name="_Toc233585315"/>
      <w:r>
        <w:t>Figure 3.</w:t>
        <w:fldChar w:fldCharType="begin"/>
        <w:instrText>SEQ Figure \* ARABIC \s 1</w:instrText>
        <w:fldChar w:fldCharType="separate"/>
      </w:r>
      <w:r>
        <w:rPr>
          <w:noProof/>
        </w:rPr>
        <w:t>2</w:t>
      </w:r>
      <w:r>
        <w:fldChar w:fldCharType="end"/>
        <w:t>: Level-1 DFD of the Pre-Processing component.</w:t>
      </w:r>
      <w:bookmarkEnd w:id="62"/>
    </w:p>
    <w:p w14:paraId="6C962857" w14:textId="4B5649BE" w:rsidR="0081578F" w:rsidRPr="009159CA" w:rsidRDefault="00750A62" w:rsidP="009159CA">
      <w:pPr>
        <w:pStyle w:val="ThesisParagraphText"/>
      </w:pPr>
      <w:r>
        <w:t>The diagram traces the main processing steps: the raw revenues, enrollees, and chart-of-accounts files are first validated and pseudonymized, then merged into category-level transactions; payment applications are temporally aligned against due dates to compute Days to Payment; and the engineered behavioral, financial, and temporal features described in Section 3.3 are appended before the labeled records are written to the modeling cache as two distinct data streams — an ML training data stream and a survival analysis data stream — forwarded to separate downstream processes. Each module is deterministic, so the same raw exports always reproduce the same modeling dataset, a property that supports the auditability objectives discussed in Section 3.7.</w:t>
      </w:r>
    </w:p>
    <w:p w14:paraId="1A000001" w14:textId="77777777" w:rsidR="00000000" w:rsidRDefault="00000000">
      <w:pPr>
        <w:pStyle w:val="ThesisParagraphText"/>
      </w:pPr>
      <w:r>
        <w:lastRenderedPageBreak/>
        <w:t>After cleaning, the pipeline produces two distinct data streams. The first stream — referred to as ML training data — contains only records where the censor indicator equals one (i.e., the event was observed). Survival-specific columns are dropped from this stream before it is forwarded to the modelling component for balancing, partitioning, and classifier training. The second stream — referred to as survival analysis data — retains all records and all survival columns (time-to-event T and event indicator E). This stream is forwarded exclusively to the Cox Proportional Hazards tuning sub-process (7.5) and subsequently to the survival feature generation sub-process (8.5).</w:t>
      </w:r>
    </w:p>
    <w:p w14:paraId="1A000002" w14:textId="77777777" w:rsidR="00000000" w:rsidRDefault="00000000">
      <w:pPr>
        <w:pStyle w:val="ThesisParagraphText"/>
      </w:pPr>
      <w:r>
        <w:t>Figure 3.3 presents the Level-2 DFD of Process 1.0 (Data Importation), detailing the four sub-processes that transform raw Excel files into typed, datetime-parsed records with lookup-corrected due dates.</w:t>
      </w:r>
    </w:p>
    <w:p w14:paraId="1A000003" w14:textId="77777777" w:rsidR="00000000" w:rsidRDefault="00000000">
      <w:pPr>
        <w:pStyle w:val="NoSpacing"/>
        <w:jc w:val="center"/>
      </w:pPr>
      <w:r>
        <w:rPr>
          <w:noProof/>
        </w:rPr>
        <w:drawing>
          <wp:inline distT="0" distB="0" distL="0" distR="0" wp14:anchorId="1A000003" wp14:editId="1A000003">
            <wp:extent cx="5029200" cy="3170430"/>
            <wp:effectExtent l="0" t="0" r="0" b="0"/>
            <wp:docPr id="60000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1" name=""/>
                    <pic:cNvPicPr/>
                  </pic:nvPicPr>
                  <pic:blipFill>
                    <a:blip r:embed="rId20"/>
                    <a:stretch>
                      <a:fillRect/>
                    </a:stretch>
                  </pic:blipFill>
                  <pic:spPr>
                    <a:xfrm>
                      <a:off x="0" y="0"/>
                      <a:ext cx="5029200" cy="3170430"/>
                    </a:xfrm>
                    <a:prstGeom prst="rect">
                      <a:avLst/>
                    </a:prstGeom>
                  </pic:spPr>
                </pic:pic>
              </a:graphicData>
            </a:graphic>
          </wp:inline>
        </w:drawing>
      </w:r>
    </w:p>
    <w:p w14:paraId="1A000004" w14:textId="1000BD45" w:rsidR="00000000" w:rsidRDefault="00000000">
      <w:pPr>
        <w:pStyle w:val="Caption"/>
        <w:ind w:firstLine="0"/>
      </w:pPr>
      <w:bookmarkStart w:id="63" w:name="_NewFig200"/>
      <w:bookmarkStart w:id="64" w:name="_Toc233585316"/>
      <w:r>
        <w:t>Figure 3.</w:t>
        <w:fldChar w:fldCharType="begin"/>
        <w:instrText xml:space="preserve"> SEQ Figure \* ARABIC \s 1 </w:instrText>
        <w:fldChar w:fldCharType="separate"/>
      </w:r>
      <w:r>
        <w:rPr>
          <w:noProof/>
        </w:rPr>
        <w:t>3</w:t>
      </w:r>
      <w:r>
        <w:fldChar w:fldCharType="end"/>
        <w:t>: Level-2 DFD of Process 1.0 — Data Importation.</w:t>
      </w:r>
      <w:bookmarkEnd w:id="63"/>
      <w:bookmarkEnd w:id="64"/>
    </w:p>
    <w:p w14:paraId="1FE4EF1D" w14:textId="77777777" w:rsidR="005B33A8" w:rsidRDefault="005B33A8">
      <w:pPr>
        <w:pStyle w:val="ThesisParagraphText"/>
      </w:pPr>
    </w:p>
    <w:p w14:paraId="5BC59EE5" w14:textId="77777777" w:rsidR="005B33A8" w:rsidRDefault="005B33A8">
      <w:pPr>
        <w:autoSpaceDE/>
        <w:autoSpaceDN/>
        <w:adjustRightInd/>
        <w:spacing w:line="278" w:lineRule="auto"/>
        <w:ind w:firstLine="0"/>
        <w:jc w:val="left"/>
        <w:rPr>
          <w:rFonts w:eastAsia="Calibri"/>
          <w:kern w:val="0"/>
          <w14:ligatures w14:val="none"/>
        </w:rPr>
      </w:pPr>
      <w:r>
        <w:br w:type="page"/>
      </w:r>
    </w:p>
    <w:p w14:paraId="0A000101" w14:textId="25F36DC0" w:rsidR="00000000" w:rsidRDefault="00000000">
      <w:pPr>
        <w:pStyle w:val="ThesisParagraphText"/>
      </w:pPr>
      <w:r>
        <w:lastRenderedPageBreak/>
        <w:t>The diagram decomposes Process 1.0 into four sequential sub-processes. Sub-process 1.1 performs asynchronous parallel loading of the revenue and enrollee Excel files using base64 decoding and the calamine Excel engine, reducing blocking during file reads. Sub-process 1.2 applies data type conversion to ensure numeric, categorical, and date fields conform to the types required by downstream feature engineering. Sub-process 1.3 handles datetime parsing, standardising all date representations into a uniform format from which time differences can be reliably computed. Sub-process 1.4 performs lookup-based due date updates, resolving any date overrides that originate from institutional adjustments or payment plan renegotiations. The outputs of this process are two typed and datetime-normalised DataFrames — one for revenue records and one for enrollee records — forwarded to Process 2.0 (Time to Payment) and Process 3.0 (Student Information) for feature derivation.</w:t>
      </w:r>
    </w:p>
    <w:p w14:paraId="1A000005" w14:textId="77777777" w:rsidR="00000000" w:rsidRDefault="00000000">
      <w:pPr>
        <w:pStyle w:val="ThesisParagraphText"/>
      </w:pPr>
      <w:r>
        <w:t>Figure 3.4 presents the Level-2 DFD of Process 5.0 (Data Cleaning), detailing the four sub-processes that build invoice records, engineer features, apply post-processing, and split the cleaned dataset into the ML training data and survival analysis data streams.</w:t>
      </w:r>
    </w:p>
    <w:p w14:paraId="1A000006" w14:textId="77777777" w:rsidR="00000000" w:rsidRDefault="00000000">
      <w:pPr>
        <w:pStyle w:val="NoSpacing"/>
        <w:jc w:val="center"/>
      </w:pPr>
      <w:r>
        <w:rPr>
          <w:noProof/>
        </w:rPr>
        <w:lastRenderedPageBreak/>
        <w:drawing>
          <wp:inline distT="0" distB="0" distL="0" distR="0" wp14:anchorId="1A000006" wp14:editId="53D7D37B">
            <wp:extent cx="4023360" cy="3502351"/>
            <wp:effectExtent l="0" t="0" r="0" b="3175"/>
            <wp:docPr id="600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02" name=""/>
                    <pic:cNvPicPr/>
                  </pic:nvPicPr>
                  <pic:blipFill rotWithShape="1">
                    <a:blip r:embed="rId21"/>
                    <a:srcRect l="16467" t="-3183" r="11998" b="20670"/>
                    <a:stretch/>
                  </pic:blipFill>
                  <pic:spPr bwMode="auto">
                    <a:xfrm>
                      <a:off x="0" y="0"/>
                      <a:ext cx="4023360" cy="3502351"/>
                    </a:xfrm>
                    <a:prstGeom prst="rect">
                      <a:avLst/>
                    </a:prstGeom>
                    <a:ln>
                      <a:noFill/>
                    </a:ln>
                    <a:extLst>
                      <a:ext uri="{53640926-AAD7-44D8-BBD7-CCE9431645EC}">
                        <a14:shadowObscured xmlns:a14="http://schemas.microsoft.com/office/drawing/2010/main"/>
                      </a:ext>
                    </a:extLst>
                  </pic:spPr>
                </pic:pic>
              </a:graphicData>
            </a:graphic>
          </wp:inline>
        </w:drawing>
      </w:r>
    </w:p>
    <w:p w14:paraId="1A000007" w14:textId="3BDEF0C7" w:rsidR="00000000" w:rsidRDefault="00000000">
      <w:pPr>
        <w:pStyle w:val="Caption"/>
        <w:ind w:firstLine="0"/>
      </w:pPr>
      <w:bookmarkStart w:id="65" w:name="_NewFig201"/>
      <w:bookmarkStart w:id="66" w:name="_Toc233585317"/>
      <w:r>
        <w:t>Figure 3.</w:t>
        <w:fldChar w:fldCharType="begin"/>
        <w:instrText xml:space="preserve"> SEQ Figure \* ARABIC \s 1 </w:instrText>
        <w:fldChar w:fldCharType="separate"/>
      </w:r>
      <w:r>
        <w:rPr>
          <w:noProof/>
        </w:rPr>
        <w:t>4</w:t>
      </w:r>
      <w:r>
        <w:fldChar w:fldCharType="end"/>
        <w:t>: Level-2 DFD of Process 5.0 — Data Cleaning.</w:t>
      </w:r>
      <w:bookmarkEnd w:id="65"/>
      <w:bookmarkEnd w:id="66"/>
    </w:p>
    <w:p w14:paraId="0A000102" w14:textId="77777777" w:rsidR="00000000" w:rsidRDefault="00000000">
      <w:pPr>
        <w:pStyle w:val="ThesisParagraphText"/>
      </w:pPr>
      <w:r>
        <w:t xml:space="preserve">The diagram decomposes Process 5.0 into four sequential sub-processes executed by the CreditSalesProcessor pipeline. Sub-process 5.1 (InvoiceBuilder) allocates every payment amount into one of eight aging brackets — paid before due, 1–30 days, 31–60 days, 61–90 days, 91–120 days, 121–150 days, 151–180 days, and 180-plus days — using sequential conditional bucketing based on elapsed days between the due date and each payment date; this step runs in parallel threads via a ThreadPool to contain processing time over the full 11,440-record dataset. Sub-process 5.2 (FeatureEngineer) derives the behavioral, financial, and temporal features described in Section 3.3, including the four DTP lag features, weighted and simple averages, cumulative balance fields, enrollment plan encodings, and temporal indicators. Sub-process 5.3 (InvoicePostProcessor) applies post-processing filters, including school year filtering, winsorization of outlier financial values, and removal of columns not required for modeling. Sub-process 5.4 performs the </w:t>
        <w:lastRenderedPageBreak/>
        <w:t>data stream split: records where the censor indicator equals one have their survival-specific columns removed and are written to the ML training stream (df_data), while all records with survival columns intact are written to the survival analysis stream (df_data_surv). These two streams are the sole outputs of Process 5.0 and flow to different downstream processes.</w:t>
      </w:r>
    </w:p>
    <w:p w14:paraId="5796855E" w14:textId="77777777" w:rsidR="00856161" w:rsidRDefault="00750A62">
      <w:pPr>
        <w:pStyle w:val="ThesisParagraphText"/>
      </w:pPr>
      <w:r>
        <w:t>Table 3.1 presents the data dictionary for the Transactions table, detailing each attribute's format and role in the preprocessing pipeline.</w:t>
      </w:r>
    </w:p>
    <w:p w14:paraId="4487596A" w14:textId="25C3D39B" w:rsidR="00A24C5D" w:rsidRPr="00FD0F64" w:rsidRDefault="00F47694" w:rsidP="00F47694">
      <w:pPr>
        <w:pStyle w:val="Caption"/>
      </w:pPr>
      <w:bookmarkStart w:id="67" w:name="_Toc204681242"/>
      <w:bookmarkStart w:id="68" w:name="_Toc204684141"/>
      <w:bookmarkStart w:id="69" w:name="_Toc204684641"/>
      <w:bookmarkStart w:id="70" w:name="_Toc204777483"/>
      <w:bookmarkStart w:id="71" w:name="_Toc204780578"/>
      <w:bookmarkStart w:id="72" w:name="_Toc204780599"/>
      <w:bookmarkStart w:id="73" w:name="_Toc204780625"/>
      <w:bookmarkStart w:id="74" w:name="_Toc204780731"/>
      <w:bookmarkStart w:id="75" w:name="_Toc233585352"/>
      <w:r>
        <w:t>Table 3.</w:t>
      </w:r>
      <w:r>
        <w:rPr>
          <w:noProof/>
        </w:rPr>
        <w:fldChar w:fldCharType="begin"/>
        <w:instrText xml:space="preserve"> SEQ Table \* ARABIC \r 1 </w:instrText>
        <w:fldChar w:fldCharType="separate"/>
        <w:t>1</w:t>
        <w:fldChar w:fldCharType="end"/>
      </w:r>
      <w:r>
        <w:t xml:space="preserve">.  Entity data dictionary of the </w:t>
      </w:r>
      <w:r>
        <w:rPr>
          <w:i/>
          <w:iCs/>
        </w:rPr>
        <w:t>Transactions</w:t>
      </w:r>
      <w:r>
        <w:t xml:space="preserve"> table.</w:t>
      </w:r>
      <w:bookmarkEnd w:id="67"/>
      <w:bookmarkEnd w:id="68"/>
      <w:bookmarkEnd w:id="69"/>
      <w:bookmarkEnd w:id="70"/>
      <w:bookmarkEnd w:id="71"/>
      <w:bookmarkEnd w:id="72"/>
      <w:bookmarkEnd w:id="73"/>
      <w:bookmarkEnd w:id="74"/>
      <w:bookmarkEnd w:id="75"/>
    </w:p>
    <w:tbl>
      <w:tblPr>
        <w:tblStyle w:val="TableGrid"/>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327"/>
        <w:gridCol w:w="5173"/>
      </w:tblGrid>
      <w:tr w:rsidR="00311AA5" w:rsidRPr="00FD0F64" w14:paraId="44D86A8B" w14:textId="77777777" w:rsidTr="007D1C45">
        <w:trPr>
          <w:trHeight w:val="432"/>
        </w:trPr>
        <w:tc>
          <w:tcPr>
            <w:tcW w:w="2405" w:type="dxa"/>
            <w:vAlign w:val="bottom"/>
          </w:tcPr>
          <w:p w14:paraId="177E116D" w14:textId="77777777" w:rsidR="00311AA5" w:rsidRPr="00FD0F64" w:rsidRDefault="00311AA5" w:rsidP="007D1C45">
            <w:pPr>
              <w:ind w:firstLine="0"/>
              <w:jc w:val="center"/>
            </w:pPr>
            <w:r>
              <w:t>Attribute Name</w:t>
            </w:r>
          </w:p>
        </w:tc>
        <w:tc>
          <w:tcPr>
            <w:tcW w:w="1327" w:type="dxa"/>
            <w:vAlign w:val="bottom"/>
          </w:tcPr>
          <w:p w14:paraId="5A6F34E0" w14:textId="77777777" w:rsidR="00311AA5" w:rsidRPr="00FD0F64" w:rsidRDefault="00311AA5" w:rsidP="007D1C45">
            <w:pPr>
              <w:ind w:firstLine="0"/>
              <w:jc w:val="center"/>
            </w:pPr>
            <w:r>
              <w:t>Format</w:t>
            </w:r>
          </w:p>
        </w:tc>
        <w:tc>
          <w:tcPr>
            <w:tcW w:w="5173" w:type="dxa"/>
            <w:vAlign w:val="bottom"/>
          </w:tcPr>
          <w:p w14:paraId="774C4AA4" w14:textId="77777777" w:rsidR="00311AA5" w:rsidRPr="00FD0F64" w:rsidRDefault="00311AA5" w:rsidP="007D1C45">
            <w:pPr>
              <w:ind w:firstLine="0"/>
              <w:jc w:val="center"/>
            </w:pPr>
            <w:r>
              <w:t>Description</w:t>
            </w:r>
          </w:p>
        </w:tc>
      </w:tr>
      <w:tr w:rsidR="00311AA5" w:rsidRPr="00FD0F64" w14:paraId="6A7E0DD5" w14:textId="77777777" w:rsidTr="007D1C45">
        <w:trPr>
          <w:trHeight w:val="432"/>
        </w:trPr>
        <w:tc>
          <w:tcPr>
            <w:tcW w:w="2405" w:type="dxa"/>
            <w:vAlign w:val="center"/>
          </w:tcPr>
          <w:p w14:paraId="3D7C1ECD" w14:textId="77777777" w:rsidR="00311AA5" w:rsidRPr="00FD0F64" w:rsidRDefault="00311AA5" w:rsidP="007D1C45">
            <w:pPr>
              <w:ind w:firstLine="0"/>
            </w:pPr>
            <w:r>
              <w:t>transaction_entry_id</w:t>
            </w:r>
          </w:p>
        </w:tc>
        <w:tc>
          <w:tcPr>
            <w:tcW w:w="1327" w:type="dxa"/>
            <w:vAlign w:val="center"/>
          </w:tcPr>
          <w:p w14:paraId="5DB6832D" w14:textId="77777777" w:rsidR="00311AA5" w:rsidRPr="00FD0F64" w:rsidRDefault="00311AA5" w:rsidP="007D1C45">
            <w:pPr>
              <w:ind w:firstLine="0"/>
            </w:pPr>
            <w:r>
              <w:t>AutoNumber</w:t>
            </w:r>
          </w:p>
        </w:tc>
        <w:tc>
          <w:tcPr>
            <w:tcW w:w="5173" w:type="dxa"/>
            <w:vAlign w:val="center"/>
          </w:tcPr>
          <w:p w14:paraId="3DD333FC" w14:textId="77777777" w:rsidR="00311AA5" w:rsidRPr="00FD0F64" w:rsidRDefault="00311AA5" w:rsidP="007D1C45">
            <w:pPr>
              <w:ind w:firstLine="0"/>
            </w:pPr>
            <w:r>
              <w:t>Automatic numbering for a unique identifier</w:t>
            </w:r>
          </w:p>
        </w:tc>
      </w:tr>
      <w:tr w:rsidR="00311AA5" w:rsidRPr="00FD0F64" w14:paraId="0CB6AA12" w14:textId="77777777" w:rsidTr="007D1C45">
        <w:trPr>
          <w:trHeight w:val="432"/>
        </w:trPr>
        <w:tc>
          <w:tcPr>
            <w:tcW w:w="2405" w:type="dxa"/>
            <w:vAlign w:val="center"/>
          </w:tcPr>
          <w:p w14:paraId="00E58291" w14:textId="77777777" w:rsidR="00311AA5" w:rsidRPr="00FD0F64" w:rsidRDefault="00311AA5" w:rsidP="007D1C45">
            <w:pPr>
              <w:ind w:firstLine="0"/>
            </w:pPr>
            <w:r>
              <w:t>entry_date</w:t>
            </w:r>
          </w:p>
        </w:tc>
        <w:tc>
          <w:tcPr>
            <w:tcW w:w="1327" w:type="dxa"/>
            <w:vAlign w:val="center"/>
          </w:tcPr>
          <w:p w14:paraId="7FCEB483" w14:textId="77777777" w:rsidR="00311AA5" w:rsidRPr="00FD0F64" w:rsidRDefault="00311AA5" w:rsidP="007D1C45">
            <w:pPr>
              <w:ind w:firstLine="0"/>
            </w:pPr>
            <w:r>
              <w:t>Date</w:t>
            </w:r>
          </w:p>
        </w:tc>
        <w:tc>
          <w:tcPr>
            <w:tcW w:w="5173" w:type="dxa"/>
            <w:vAlign w:val="center"/>
          </w:tcPr>
          <w:p w14:paraId="37EFFC81" w14:textId="77777777" w:rsidR="00311AA5" w:rsidRPr="00FD0F64" w:rsidRDefault="00311AA5" w:rsidP="007D1C45">
            <w:pPr>
              <w:ind w:firstLine="0"/>
            </w:pPr>
            <w:r>
              <w:t>The date the journal entry was entered</w:t>
            </w:r>
          </w:p>
        </w:tc>
      </w:tr>
      <w:tr w:rsidR="00311AA5" w:rsidRPr="00FD0F64" w14:paraId="57A663BC" w14:textId="77777777" w:rsidTr="007D1C45">
        <w:trPr>
          <w:trHeight w:val="432"/>
        </w:trPr>
        <w:tc>
          <w:tcPr>
            <w:tcW w:w="2405" w:type="dxa"/>
            <w:vAlign w:val="center"/>
          </w:tcPr>
          <w:p w14:paraId="56A739C6" w14:textId="77777777" w:rsidR="00311AA5" w:rsidRPr="00FD0F64" w:rsidRDefault="00311AA5" w:rsidP="007D1C45">
            <w:pPr>
              <w:ind w:firstLine="0"/>
            </w:pPr>
            <w:r>
              <w:t>due_date</w:t>
            </w:r>
          </w:p>
        </w:tc>
        <w:tc>
          <w:tcPr>
            <w:tcW w:w="1327" w:type="dxa"/>
            <w:vAlign w:val="center"/>
          </w:tcPr>
          <w:p w14:paraId="68603479" w14:textId="77777777" w:rsidR="00311AA5" w:rsidRPr="00FD0F64" w:rsidRDefault="00311AA5" w:rsidP="007D1C45">
            <w:pPr>
              <w:ind w:firstLine="0"/>
            </w:pPr>
            <w:r>
              <w:t>Date</w:t>
            </w:r>
          </w:p>
        </w:tc>
        <w:tc>
          <w:tcPr>
            <w:tcW w:w="5173" w:type="dxa"/>
            <w:vAlign w:val="center"/>
          </w:tcPr>
          <w:p w14:paraId="4DC9F41A" w14:textId="77777777" w:rsidR="00311AA5" w:rsidRPr="00FD0F64" w:rsidRDefault="00311AA5" w:rsidP="007D1C45">
            <w:pPr>
              <w:ind w:firstLine="0"/>
            </w:pPr>
            <w:r>
              <w:t>The date the specific product/service category is due to be paid</w:t>
            </w:r>
          </w:p>
        </w:tc>
      </w:tr>
      <w:tr w:rsidR="00311AA5" w:rsidRPr="00FD0F64" w14:paraId="2E82C883" w14:textId="77777777" w:rsidTr="007D1C45">
        <w:trPr>
          <w:trHeight w:val="432"/>
        </w:trPr>
        <w:tc>
          <w:tcPr>
            <w:tcW w:w="2405" w:type="dxa"/>
            <w:vAlign w:val="center"/>
          </w:tcPr>
          <w:p w14:paraId="254CF86B" w14:textId="77777777" w:rsidR="00311AA5" w:rsidRPr="00FD0F64" w:rsidRDefault="00311AA5" w:rsidP="007D1C45">
            <w:pPr>
              <w:ind w:firstLine="0"/>
            </w:pPr>
            <w:r>
              <w:t>school_year</w:t>
            </w:r>
          </w:p>
        </w:tc>
        <w:tc>
          <w:tcPr>
            <w:tcW w:w="1327" w:type="dxa"/>
            <w:vAlign w:val="center"/>
          </w:tcPr>
          <w:p w14:paraId="14E2E18A" w14:textId="77777777" w:rsidR="00311AA5" w:rsidRPr="00FD0F64" w:rsidRDefault="00311AA5" w:rsidP="007D1C45">
            <w:pPr>
              <w:ind w:firstLine="0"/>
            </w:pPr>
            <w:r>
              <w:t>smallInt(4)</w:t>
            </w:r>
          </w:p>
        </w:tc>
        <w:tc>
          <w:tcPr>
            <w:tcW w:w="5173" w:type="dxa"/>
            <w:vAlign w:val="center"/>
          </w:tcPr>
          <w:p w14:paraId="5EF3153E" w14:textId="77777777" w:rsidR="00311AA5" w:rsidRPr="00FD0F64" w:rsidRDefault="00311AA5" w:rsidP="007D1C45">
            <w:pPr>
              <w:ind w:firstLine="0"/>
            </w:pPr>
            <w:r>
              <w:t>The school year the transaction is for</w:t>
            </w:r>
          </w:p>
        </w:tc>
      </w:tr>
      <w:tr w:rsidR="00311AA5" w:rsidRPr="00FD0F64" w14:paraId="5F03301F" w14:textId="77777777" w:rsidTr="007D1C45">
        <w:trPr>
          <w:trHeight w:val="432"/>
        </w:trPr>
        <w:tc>
          <w:tcPr>
            <w:tcW w:w="2405" w:type="dxa"/>
            <w:vAlign w:val="center"/>
          </w:tcPr>
          <w:p w14:paraId="6A530D06" w14:textId="77777777" w:rsidR="00311AA5" w:rsidRPr="00FD0F64" w:rsidRDefault="00311AA5" w:rsidP="007D1C45">
            <w:pPr>
              <w:ind w:firstLine="0"/>
              <w:rPr>
                <w:b/>
                <w:bCs/>
              </w:rPr>
            </w:pPr>
            <w:r>
              <w:t xml:space="preserve">student_id_pseudonymized </w:t>
            </w:r>
          </w:p>
        </w:tc>
        <w:tc>
          <w:tcPr>
            <w:tcW w:w="1327" w:type="dxa"/>
            <w:vAlign w:val="center"/>
          </w:tcPr>
          <w:p w14:paraId="0F278B4E" w14:textId="77777777" w:rsidR="00311AA5" w:rsidRPr="00FD0F64" w:rsidRDefault="00311AA5" w:rsidP="007D1C45">
            <w:pPr>
              <w:ind w:firstLine="0"/>
            </w:pPr>
            <w:r>
              <w:t>mediumInt(6)</w:t>
            </w:r>
          </w:p>
        </w:tc>
        <w:tc>
          <w:tcPr>
            <w:tcW w:w="5173" w:type="dxa"/>
            <w:vAlign w:val="center"/>
          </w:tcPr>
          <w:p w14:paraId="7B17E6EE" w14:textId="77777777" w:rsidR="00311AA5" w:rsidRPr="00FD0F64" w:rsidRDefault="00311AA5" w:rsidP="007D1C45">
            <w:pPr>
              <w:ind w:firstLine="0"/>
            </w:pPr>
            <w:r>
              <w:t>The identifier of the student the transaction is related to</w:t>
            </w:r>
          </w:p>
        </w:tc>
      </w:tr>
      <w:tr w:rsidR="00311AA5" w:rsidRPr="00FD0F64" w14:paraId="67AE5F9F" w14:textId="77777777" w:rsidTr="007D1C45">
        <w:trPr>
          <w:trHeight w:val="432"/>
        </w:trPr>
        <w:tc>
          <w:tcPr>
            <w:tcW w:w="2405" w:type="dxa"/>
            <w:vAlign w:val="center"/>
          </w:tcPr>
          <w:p w14:paraId="1859F240" w14:textId="77777777" w:rsidR="00311AA5" w:rsidRPr="00FD0F64" w:rsidRDefault="00311AA5" w:rsidP="007D1C45">
            <w:pPr>
              <w:ind w:firstLine="0"/>
            </w:pPr>
            <w:r>
              <w:t>category_id</w:t>
            </w:r>
          </w:p>
        </w:tc>
        <w:tc>
          <w:tcPr>
            <w:tcW w:w="1327" w:type="dxa"/>
            <w:vAlign w:val="center"/>
          </w:tcPr>
          <w:p w14:paraId="4DAF44AF" w14:textId="77777777" w:rsidR="00311AA5" w:rsidRPr="00FD0F64" w:rsidRDefault="00311AA5" w:rsidP="007D1C45">
            <w:pPr>
              <w:ind w:firstLine="0"/>
            </w:pPr>
            <w:r>
              <w:t>smallInt(4)</w:t>
            </w:r>
          </w:p>
        </w:tc>
        <w:tc>
          <w:tcPr>
            <w:tcW w:w="5173" w:type="dxa"/>
            <w:vAlign w:val="center"/>
          </w:tcPr>
          <w:p w14:paraId="57EAD9B2" w14:textId="77777777" w:rsidR="00311AA5" w:rsidRPr="00FD0F64" w:rsidRDefault="00311AA5" w:rsidP="007D1C45">
            <w:pPr>
              <w:ind w:firstLine="0"/>
            </w:pPr>
            <w:r>
              <w:t>The category of the transaction</w:t>
            </w:r>
          </w:p>
        </w:tc>
      </w:tr>
      <w:tr w:rsidR="00311AA5" w:rsidRPr="00FD0F64" w14:paraId="21AC2F63" w14:textId="77777777" w:rsidTr="007D1C45">
        <w:trPr>
          <w:trHeight w:val="432"/>
        </w:trPr>
        <w:tc>
          <w:tcPr>
            <w:tcW w:w="2405" w:type="dxa"/>
            <w:vAlign w:val="center"/>
          </w:tcPr>
          <w:p w14:paraId="27974E6D" w14:textId="77777777" w:rsidR="00311AA5" w:rsidRPr="00FD0F64" w:rsidRDefault="00311AA5" w:rsidP="007D1C45">
            <w:pPr>
              <w:ind w:firstLine="0"/>
            </w:pPr>
            <w:r>
              <w:t>amount_due</w:t>
            </w:r>
          </w:p>
        </w:tc>
        <w:tc>
          <w:tcPr>
            <w:tcW w:w="1327" w:type="dxa"/>
            <w:vAlign w:val="center"/>
          </w:tcPr>
          <w:p w14:paraId="72A86225" w14:textId="77777777" w:rsidR="00311AA5" w:rsidRPr="00FD0F64" w:rsidRDefault="00311AA5" w:rsidP="007D1C45">
            <w:pPr>
              <w:ind w:firstLine="0"/>
            </w:pPr>
            <w:r>
              <w:t>Float</w:t>
            </w:r>
          </w:p>
        </w:tc>
        <w:tc>
          <w:tcPr>
            <w:tcW w:w="5173" w:type="dxa"/>
            <w:vAlign w:val="center"/>
          </w:tcPr>
          <w:p w14:paraId="40CA0846" w14:textId="77777777" w:rsidR="00311AA5" w:rsidRPr="00FD0F64" w:rsidRDefault="00311AA5" w:rsidP="007D1C45">
            <w:pPr>
              <w:ind w:firstLine="0"/>
            </w:pPr>
            <w:r>
              <w:t>The amount needed to be paid</w:t>
            </w:r>
          </w:p>
        </w:tc>
      </w:tr>
      <w:tr w:rsidR="00311AA5" w:rsidRPr="00FD0F64" w14:paraId="71565ECD" w14:textId="77777777" w:rsidTr="007D1C45">
        <w:trPr>
          <w:trHeight w:val="432"/>
        </w:trPr>
        <w:tc>
          <w:tcPr>
            <w:tcW w:w="2405" w:type="dxa"/>
            <w:vAlign w:val="center"/>
          </w:tcPr>
          <w:p w14:paraId="65A2A727" w14:textId="77777777" w:rsidR="00311AA5" w:rsidRPr="00FD0F64" w:rsidRDefault="00311AA5" w:rsidP="007D1C45">
            <w:pPr>
              <w:ind w:firstLine="0"/>
            </w:pPr>
            <w:r>
              <w:t>amount_paid</w:t>
            </w:r>
          </w:p>
        </w:tc>
        <w:tc>
          <w:tcPr>
            <w:tcW w:w="1327" w:type="dxa"/>
            <w:vAlign w:val="center"/>
          </w:tcPr>
          <w:p w14:paraId="2BF37A3B" w14:textId="77777777" w:rsidR="00311AA5" w:rsidRPr="00FD0F64" w:rsidRDefault="00311AA5" w:rsidP="007D1C45">
            <w:pPr>
              <w:ind w:firstLine="0"/>
            </w:pPr>
            <w:r>
              <w:t>Float</w:t>
            </w:r>
          </w:p>
        </w:tc>
        <w:tc>
          <w:tcPr>
            <w:tcW w:w="5173" w:type="dxa"/>
            <w:vAlign w:val="center"/>
          </w:tcPr>
          <w:p w14:paraId="36A4F4F6" w14:textId="77777777" w:rsidR="00311AA5" w:rsidRPr="00FD0F64" w:rsidRDefault="00311AA5" w:rsidP="007D1C45">
            <w:pPr>
              <w:ind w:firstLine="0"/>
            </w:pPr>
            <w:r>
              <w:t>The amount paid to offset the amount due</w:t>
            </w:r>
          </w:p>
        </w:tc>
      </w:tr>
      <w:tr w:rsidR="00311AA5" w:rsidRPr="00FD0F64" w14:paraId="7A5C4D75" w14:textId="77777777" w:rsidTr="007D1C45">
        <w:trPr>
          <w:trHeight w:val="602"/>
        </w:trPr>
        <w:tc>
          <w:tcPr>
            <w:tcW w:w="2405" w:type="dxa"/>
            <w:vAlign w:val="center"/>
          </w:tcPr>
          <w:p w14:paraId="197FCBB9" w14:textId="77777777" w:rsidR="00311AA5" w:rsidRPr="00FD0F64" w:rsidRDefault="00311AA5" w:rsidP="007D1C45">
            <w:pPr>
              <w:ind w:firstLine="0"/>
            </w:pPr>
            <w:r>
              <w:t>account_name</w:t>
            </w:r>
          </w:p>
        </w:tc>
        <w:tc>
          <w:tcPr>
            <w:tcW w:w="1327" w:type="dxa"/>
            <w:vAlign w:val="center"/>
          </w:tcPr>
          <w:p w14:paraId="56B72563" w14:textId="77777777" w:rsidR="00311AA5" w:rsidRPr="00FD0F64" w:rsidRDefault="00311AA5" w:rsidP="007D1C45">
            <w:pPr>
              <w:ind w:firstLine="0"/>
            </w:pPr>
            <w:r>
              <w:t>Char(30)</w:t>
            </w:r>
          </w:p>
        </w:tc>
        <w:tc>
          <w:tcPr>
            <w:tcW w:w="5173" w:type="dxa"/>
            <w:vAlign w:val="center"/>
          </w:tcPr>
          <w:p w14:paraId="4B22351C" w14:textId="77777777" w:rsidR="00311AA5" w:rsidRPr="00FD0F64" w:rsidRDefault="00311AA5" w:rsidP="007D1C45">
            <w:pPr>
              <w:ind w:firstLine="0"/>
            </w:pPr>
            <w:r>
              <w:t>The account the money was sent (e.g. Cash on Hand, Bank Transfer, or GCash)</w:t>
            </w:r>
          </w:p>
        </w:tc>
      </w:tr>
    </w:tbl>
    <w:p w14:paraId="752A07CC" w14:textId="28B23194" w:rsidR="0029707F" w:rsidRDefault="00750A62" w:rsidP="0029707F">
      <w:pPr>
        <w:pStyle w:val="ThesisParagraphText"/>
      </w:pPr>
      <w:r>
        <w:t>Among these fields, due_date and amount_paid are the most consequential: together they are the source of the target variable, since Days to Payment is computed from the gap between an obligation's due date and the date it is fully offset. The category_id field is the link that enables granular line-item modeling, the central innovation of this study, while school_year and the pseudonymized student identifier allow behavioral features to be accumulated across a student's enrollment history.</w:t>
        <w:br w:type="page"/>
      </w:r>
    </w:p>
    <w:p w14:paraId="270BB693" w14:textId="77777777" w:rsidR="00856161" w:rsidRDefault="00750A62">
      <w:pPr>
        <w:pStyle w:val="ThesisParagraphText"/>
      </w:pPr>
      <w:r>
        <w:lastRenderedPageBreak/>
        <w:t>Table 3.2 presents the data dictionary for the Categories table, detailing each attribute's format and role in the preprocessing pipeline.</w:t>
      </w:r>
    </w:p>
    <w:p w14:paraId="0767F5E1" w14:textId="3C53EBA9" w:rsidR="00B47534" w:rsidRPr="00FD0F64" w:rsidRDefault="00156D25" w:rsidP="00B47534">
      <w:pPr>
        <w:pStyle w:val="Caption"/>
      </w:pPr>
      <w:bookmarkStart w:id="76" w:name="_Toc204681243"/>
      <w:bookmarkStart w:id="77" w:name="_Toc204684142"/>
      <w:bookmarkStart w:id="78" w:name="_Toc204684642"/>
      <w:bookmarkStart w:id="79" w:name="_Toc204777484"/>
      <w:bookmarkStart w:id="80" w:name="_Toc204780579"/>
      <w:bookmarkStart w:id="81" w:name="_Toc204780600"/>
      <w:bookmarkStart w:id="82" w:name="_Toc204780626"/>
      <w:bookmarkStart w:id="83" w:name="_Toc204780732"/>
      <w:bookmarkStart w:id="84" w:name="_Toc233585353"/>
      <w:r>
        <w:t>Table 3.</w:t>
      </w:r>
      <w:r>
        <w:rPr>
          <w:noProof/>
        </w:rPr>
        <w:fldChar w:fldCharType="begin"/>
        <w:instrText xml:space="preserve"> SEQ Table \* ARABIC </w:instrText>
        <w:fldChar w:fldCharType="separate"/>
        <w:t>2</w:t>
        <w:fldChar w:fldCharType="end"/>
      </w:r>
      <w:r>
        <w:t xml:space="preserve">.  Entity data dictionary of the </w:t>
      </w:r>
      <w:r>
        <w:rPr>
          <w:i/>
          <w:iCs/>
        </w:rPr>
        <w:t>Categories</w:t>
      </w:r>
      <w:r>
        <w:t xml:space="preserve"> table.</w:t>
      </w:r>
      <w:bookmarkEnd w:id="76"/>
      <w:bookmarkEnd w:id="77"/>
      <w:bookmarkEnd w:id="78"/>
      <w:bookmarkEnd w:id="79"/>
      <w:bookmarkEnd w:id="80"/>
      <w:bookmarkEnd w:id="81"/>
      <w:bookmarkEnd w:id="82"/>
      <w:bookmarkEnd w:id="83"/>
      <w:bookmarkEnd w:id="8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1350"/>
        <w:gridCol w:w="4495"/>
      </w:tblGrid>
      <w:tr w:rsidR="00156D25" w:rsidRPr="00FD0F64" w14:paraId="1E247931" w14:textId="77777777" w:rsidTr="007D1C45">
        <w:trPr>
          <w:trHeight w:val="432"/>
        </w:trPr>
        <w:tc>
          <w:tcPr>
            <w:tcW w:w="2785" w:type="dxa"/>
            <w:vAlign w:val="bottom"/>
          </w:tcPr>
          <w:p w14:paraId="3A506F5D" w14:textId="77777777" w:rsidR="00156D25" w:rsidRPr="00FD0F64" w:rsidRDefault="00156D25" w:rsidP="007D1C45">
            <w:pPr>
              <w:ind w:hanging="23"/>
              <w:jc w:val="center"/>
            </w:pPr>
            <w:r>
              <w:t>Attribute Name</w:t>
            </w:r>
          </w:p>
        </w:tc>
        <w:tc>
          <w:tcPr>
            <w:tcW w:w="1350" w:type="dxa"/>
            <w:vAlign w:val="bottom"/>
          </w:tcPr>
          <w:p w14:paraId="3ACD0639" w14:textId="77777777" w:rsidR="00156D25" w:rsidRPr="00FD0F64" w:rsidRDefault="00156D25" w:rsidP="007D1C45">
            <w:pPr>
              <w:ind w:hanging="23"/>
              <w:jc w:val="center"/>
            </w:pPr>
            <w:r>
              <w:t>Format</w:t>
            </w:r>
          </w:p>
        </w:tc>
        <w:tc>
          <w:tcPr>
            <w:tcW w:w="4495" w:type="dxa"/>
            <w:vAlign w:val="bottom"/>
          </w:tcPr>
          <w:p w14:paraId="66747E77" w14:textId="77777777" w:rsidR="00156D25" w:rsidRPr="00FD0F64" w:rsidRDefault="00156D25" w:rsidP="007D1C45">
            <w:pPr>
              <w:ind w:hanging="23"/>
              <w:jc w:val="center"/>
            </w:pPr>
            <w:r>
              <w:t>Description</w:t>
            </w:r>
          </w:p>
        </w:tc>
      </w:tr>
      <w:tr w:rsidR="00156D25" w:rsidRPr="00FD0F64" w14:paraId="2F0065B0" w14:textId="77777777" w:rsidTr="007D1C45">
        <w:trPr>
          <w:trHeight w:val="432"/>
        </w:trPr>
        <w:tc>
          <w:tcPr>
            <w:tcW w:w="2785" w:type="dxa"/>
            <w:vAlign w:val="center"/>
          </w:tcPr>
          <w:p w14:paraId="784A1E18" w14:textId="77777777" w:rsidR="00156D25" w:rsidRPr="00FD0F64" w:rsidRDefault="00156D25" w:rsidP="007D1C45">
            <w:pPr>
              <w:ind w:firstLine="0"/>
            </w:pPr>
            <w:r>
              <w:t>category_id</w:t>
            </w:r>
          </w:p>
        </w:tc>
        <w:tc>
          <w:tcPr>
            <w:tcW w:w="1350" w:type="dxa"/>
            <w:vAlign w:val="center"/>
          </w:tcPr>
          <w:p w14:paraId="4E7181FE" w14:textId="77777777" w:rsidR="00156D25" w:rsidRPr="00FD0F64" w:rsidRDefault="00156D25" w:rsidP="007D1C45">
            <w:pPr>
              <w:ind w:firstLine="0"/>
            </w:pPr>
            <w:r>
              <w:t>smallInt(4)</w:t>
            </w:r>
          </w:p>
        </w:tc>
        <w:tc>
          <w:tcPr>
            <w:tcW w:w="4495" w:type="dxa"/>
            <w:vAlign w:val="center"/>
          </w:tcPr>
          <w:p w14:paraId="7394D01A" w14:textId="77777777" w:rsidR="00156D25" w:rsidRPr="00FD0F64" w:rsidRDefault="00156D25" w:rsidP="007D1C45">
            <w:pPr>
              <w:ind w:firstLine="0"/>
            </w:pPr>
            <w:r>
              <w:t>Automatic numbering for a unique identifier</w:t>
            </w:r>
          </w:p>
        </w:tc>
      </w:tr>
      <w:tr w:rsidR="00156D25" w:rsidRPr="00FD0F64" w14:paraId="498F9408" w14:textId="77777777" w:rsidTr="007D1C45">
        <w:trPr>
          <w:trHeight w:val="638"/>
        </w:trPr>
        <w:tc>
          <w:tcPr>
            <w:tcW w:w="2785" w:type="dxa"/>
            <w:vAlign w:val="center"/>
          </w:tcPr>
          <w:p w14:paraId="3D49EEAC" w14:textId="77777777" w:rsidR="00156D25" w:rsidRPr="00FD0F64" w:rsidRDefault="00156D25" w:rsidP="007D1C45">
            <w:pPr>
              <w:ind w:firstLine="0"/>
            </w:pPr>
            <w:r>
              <w:t>category_name</w:t>
            </w:r>
          </w:p>
        </w:tc>
        <w:tc>
          <w:tcPr>
            <w:tcW w:w="1350" w:type="dxa"/>
            <w:vAlign w:val="center"/>
          </w:tcPr>
          <w:p w14:paraId="58561F3D" w14:textId="77777777" w:rsidR="00156D25" w:rsidRPr="00FD0F64" w:rsidRDefault="00156D25" w:rsidP="007D1C45">
            <w:pPr>
              <w:ind w:firstLine="0"/>
            </w:pPr>
            <w:r>
              <w:t>Char(60)</w:t>
            </w:r>
          </w:p>
        </w:tc>
        <w:tc>
          <w:tcPr>
            <w:tcW w:w="4495" w:type="dxa"/>
            <w:vAlign w:val="center"/>
          </w:tcPr>
          <w:p w14:paraId="7AF9506E" w14:textId="77777777" w:rsidR="00156D25" w:rsidRPr="00FD0F64" w:rsidRDefault="00156D25" w:rsidP="007D1C45">
            <w:pPr>
              <w:ind w:firstLine="0"/>
            </w:pPr>
            <w:r>
              <w:t>The name of the category</w:t>
            </w:r>
          </w:p>
        </w:tc>
      </w:tr>
      <w:tr w:rsidR="00156D25" w:rsidRPr="00FD0F64" w14:paraId="3222F8BC" w14:textId="77777777" w:rsidTr="007D1C45">
        <w:trPr>
          <w:trHeight w:val="432"/>
        </w:trPr>
        <w:tc>
          <w:tcPr>
            <w:tcW w:w="2785" w:type="dxa"/>
            <w:vAlign w:val="center"/>
          </w:tcPr>
          <w:p w14:paraId="242ECB5A" w14:textId="77777777" w:rsidR="00156D25" w:rsidRPr="00FD0F64" w:rsidRDefault="00156D25" w:rsidP="007D1C45">
            <w:pPr>
              <w:ind w:firstLine="0"/>
            </w:pPr>
            <w:r>
              <w:t>strategic_business_unit</w:t>
            </w:r>
          </w:p>
        </w:tc>
        <w:tc>
          <w:tcPr>
            <w:tcW w:w="1350" w:type="dxa"/>
            <w:vAlign w:val="center"/>
          </w:tcPr>
          <w:p w14:paraId="323C0A5F" w14:textId="77777777" w:rsidR="00156D25" w:rsidRPr="00FD0F64" w:rsidRDefault="00156D25" w:rsidP="007D1C45">
            <w:pPr>
              <w:ind w:firstLine="0"/>
            </w:pPr>
            <w:r>
              <w:t>Char(35)</w:t>
            </w:r>
          </w:p>
        </w:tc>
        <w:tc>
          <w:tcPr>
            <w:tcW w:w="4495" w:type="dxa"/>
            <w:vAlign w:val="center"/>
          </w:tcPr>
          <w:p w14:paraId="4466ADB6" w14:textId="77777777" w:rsidR="00156D25" w:rsidRPr="00FD0F64" w:rsidRDefault="00156D25" w:rsidP="007D1C45">
            <w:pPr>
              <w:ind w:firstLine="0"/>
            </w:pPr>
            <w:r>
              <w:t>The business unit the category is accounted in (e.g. Teaching, Goods, Other services, or Administrative)</w:t>
            </w:r>
          </w:p>
        </w:tc>
      </w:tr>
    </w:tbl>
    <w:p w14:paraId="420EA891" w14:textId="2EB3D643" w:rsidR="00B47534" w:rsidRPr="00FD0F64" w:rsidRDefault="00750A62" w:rsidP="00AB7363">
      <w:pPr>
        <w:pStyle w:val="ThesisParagraphText"/>
        <w:rPr>
          <w:b/>
          <w:bCs/>
          <w:szCs w:val="18"/>
        </w:rPr>
      </w:pPr>
      <w:r>
        <w:t>Although structurally simple, this table is what gives the pipeline its granularity: category_name distinguishes tuition from miscellaneous and product-type charges, and strategic_business_unit groups categories into the operational units used for institutional reporting. Joining these attributes onto transactions is what allows the models to learn payment behavior per fee type rather than per aggregate balance.</w:t>
        <w:br w:type="page"/>
      </w:r>
    </w:p>
    <w:p w14:paraId="47658FC7" w14:textId="77777777" w:rsidR="00856161" w:rsidRDefault="00750A62">
      <w:pPr>
        <w:pStyle w:val="ThesisParagraphText"/>
      </w:pPr>
      <w:r>
        <w:lastRenderedPageBreak/>
        <w:t>Table 3.3 presents the data dictionary for the Credit Sales Fact Table, the consolidated analysis-ready view produced by the preprocessing pipeline.</w:t>
      </w:r>
    </w:p>
    <w:p w14:paraId="1E49B29E" w14:textId="1B7D0E73" w:rsidR="002A08AD" w:rsidRDefault="007D79BE" w:rsidP="002A08AD">
      <w:pPr>
        <w:pStyle w:val="Caption"/>
        <w:ind w:firstLine="0"/>
      </w:pPr>
      <w:bookmarkStart w:id="85" w:name="_Toc204681244"/>
      <w:bookmarkStart w:id="86" w:name="_Toc204684143"/>
      <w:bookmarkStart w:id="87" w:name="_Toc204684643"/>
      <w:bookmarkStart w:id="88" w:name="_Toc204777485"/>
      <w:bookmarkStart w:id="89" w:name="_Toc204780580"/>
      <w:bookmarkStart w:id="90" w:name="_Toc204780601"/>
      <w:bookmarkStart w:id="91" w:name="_Toc204780627"/>
      <w:bookmarkStart w:id="92" w:name="_Toc204780733"/>
      <w:bookmarkStart w:id="93" w:name="_Toc233585354"/>
      <w:r>
        <w:t>Table 3.</w:t>
      </w:r>
      <w:r>
        <w:rPr>
          <w:noProof/>
        </w:rPr>
        <w:fldChar w:fldCharType="begin"/>
        <w:instrText xml:space="preserve"> SEQ Table \* ARABIC </w:instrText>
        <w:fldChar w:fldCharType="separate"/>
        <w:t>3</w:t>
        <w:fldChar w:fldCharType="end"/>
      </w:r>
      <w:r>
        <w:t xml:space="preserve">.  Entity data dictionary of the </w:t>
      </w:r>
      <w:r>
        <w:rPr>
          <w:i/>
          <w:iCs/>
        </w:rPr>
        <w:t>Credit Sales Fact Table (FT)</w:t>
      </w:r>
      <w:r>
        <w:t>.</w:t>
      </w:r>
      <w:bookmarkEnd w:id="85"/>
      <w:bookmarkEnd w:id="86"/>
      <w:bookmarkEnd w:id="87"/>
      <w:bookmarkEnd w:id="88"/>
      <w:bookmarkEnd w:id="89"/>
      <w:bookmarkEnd w:id="90"/>
      <w:bookmarkEnd w:id="91"/>
      <w:bookmarkEnd w:id="92"/>
      <w:bookmarkEnd w:id="93"/>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6"/>
        <w:gridCol w:w="1514"/>
        <w:gridCol w:w="4290"/>
      </w:tblGrid>
      <w:tr w:rsidR="007D79BE" w:rsidRPr="00FD0F64" w14:paraId="5A10A365" w14:textId="77777777" w:rsidTr="007D1C45">
        <w:trPr>
          <w:trHeight w:val="432"/>
        </w:trPr>
        <w:tc>
          <w:tcPr>
            <w:tcW w:w="2826" w:type="dxa"/>
            <w:vAlign w:val="center"/>
          </w:tcPr>
          <w:p w14:paraId="0C560B67" w14:textId="77777777" w:rsidR="007D79BE" w:rsidRPr="00FD0F64" w:rsidRDefault="007D79BE" w:rsidP="007D1C45">
            <w:r>
              <w:br w:type="page"/>
              <w:t>Attribute Name</w:t>
            </w:r>
          </w:p>
        </w:tc>
        <w:tc>
          <w:tcPr>
            <w:tcW w:w="1327" w:type="dxa"/>
            <w:vAlign w:val="center"/>
          </w:tcPr>
          <w:p w14:paraId="5C002424" w14:textId="77777777" w:rsidR="007D79BE" w:rsidRPr="00FD0F64" w:rsidRDefault="007D79BE" w:rsidP="007D1C45">
            <w:r>
              <w:t>Format</w:t>
            </w:r>
          </w:p>
        </w:tc>
        <w:tc>
          <w:tcPr>
            <w:tcW w:w="4477" w:type="dxa"/>
            <w:vAlign w:val="center"/>
          </w:tcPr>
          <w:p w14:paraId="0C775BFD" w14:textId="77777777" w:rsidR="007D79BE" w:rsidRPr="00FD0F64" w:rsidRDefault="007D79BE" w:rsidP="007D1C45">
            <w:r>
              <w:t>Description</w:t>
            </w:r>
          </w:p>
        </w:tc>
      </w:tr>
      <w:tr w:rsidR="007D79BE" w:rsidRPr="00FD0F64" w14:paraId="47C7EC3E" w14:textId="77777777" w:rsidTr="007D1C45">
        <w:trPr>
          <w:trHeight w:val="432"/>
        </w:trPr>
        <w:tc>
          <w:tcPr>
            <w:tcW w:w="2826" w:type="dxa"/>
            <w:vAlign w:val="center"/>
          </w:tcPr>
          <w:p w14:paraId="4B593328" w14:textId="77777777" w:rsidR="007D79BE" w:rsidRPr="00FD0F64" w:rsidRDefault="007D79BE" w:rsidP="007D1C45">
            <w:pPr>
              <w:ind w:firstLine="0"/>
            </w:pPr>
            <w:r>
              <w:t>credit_entry_id</w:t>
            </w:r>
          </w:p>
        </w:tc>
        <w:tc>
          <w:tcPr>
            <w:tcW w:w="1327" w:type="dxa"/>
            <w:vAlign w:val="center"/>
          </w:tcPr>
          <w:p w14:paraId="380C5ABA" w14:textId="77777777" w:rsidR="007D79BE" w:rsidRPr="00FD0F64" w:rsidRDefault="007D79BE" w:rsidP="007D1C45">
            <w:pPr>
              <w:ind w:firstLine="0"/>
            </w:pPr>
            <w:r>
              <w:t>autoNumber</w:t>
            </w:r>
          </w:p>
        </w:tc>
        <w:tc>
          <w:tcPr>
            <w:tcW w:w="4477" w:type="dxa"/>
            <w:vAlign w:val="center"/>
          </w:tcPr>
          <w:p w14:paraId="4D015934" w14:textId="77777777" w:rsidR="007D79BE" w:rsidRPr="00FD0F64" w:rsidRDefault="007D79BE" w:rsidP="007D1C45">
            <w:pPr>
              <w:ind w:firstLine="0"/>
            </w:pPr>
            <w:r>
              <w:t>Automatic numbering for a unique identifier</w:t>
            </w:r>
          </w:p>
        </w:tc>
      </w:tr>
      <w:tr w:rsidR="007D79BE" w:rsidRPr="00FD0F64" w14:paraId="23D9FEF3" w14:textId="77777777" w:rsidTr="007D1C45">
        <w:trPr>
          <w:trHeight w:val="638"/>
        </w:trPr>
        <w:tc>
          <w:tcPr>
            <w:tcW w:w="2826" w:type="dxa"/>
            <w:vAlign w:val="center"/>
          </w:tcPr>
          <w:p w14:paraId="5BBEE3E2" w14:textId="77777777" w:rsidR="007D79BE" w:rsidRPr="00FD0F64" w:rsidRDefault="007D79BE" w:rsidP="007D1C45">
            <w:pPr>
              <w:ind w:firstLine="0"/>
            </w:pPr>
            <w:r>
              <w:t xml:space="preserve">student_id_pseudonymized </w:t>
            </w:r>
          </w:p>
        </w:tc>
        <w:tc>
          <w:tcPr>
            <w:tcW w:w="1327" w:type="dxa"/>
            <w:vAlign w:val="center"/>
          </w:tcPr>
          <w:p w14:paraId="45393B61" w14:textId="77777777" w:rsidR="007D79BE" w:rsidRPr="00FD0F64" w:rsidRDefault="007D79BE" w:rsidP="007D1C45">
            <w:pPr>
              <w:ind w:firstLine="0"/>
            </w:pPr>
            <w:r>
              <w:t>mediumInt(6)</w:t>
            </w:r>
          </w:p>
        </w:tc>
        <w:tc>
          <w:tcPr>
            <w:tcW w:w="4477" w:type="dxa"/>
            <w:vAlign w:val="center"/>
          </w:tcPr>
          <w:p w14:paraId="3FA7CFC1" w14:textId="77777777" w:rsidR="007D79BE" w:rsidRPr="00FD0F64" w:rsidRDefault="007D79BE" w:rsidP="007D1C45">
            <w:pPr>
              <w:ind w:firstLine="0"/>
            </w:pPr>
            <w:r>
              <w:t>The pseudonymized identifier for the student number</w:t>
            </w:r>
          </w:p>
        </w:tc>
      </w:tr>
      <w:tr w:rsidR="007D79BE" w:rsidRPr="00FD0F64" w14:paraId="2338E74B" w14:textId="77777777" w:rsidTr="007D1C45">
        <w:trPr>
          <w:trHeight w:val="432"/>
        </w:trPr>
        <w:tc>
          <w:tcPr>
            <w:tcW w:w="2826" w:type="dxa"/>
            <w:vAlign w:val="center"/>
          </w:tcPr>
          <w:p w14:paraId="7D166FF7" w14:textId="77777777" w:rsidR="007D79BE" w:rsidRPr="00FD0F64" w:rsidRDefault="007D79BE" w:rsidP="007D1C45">
            <w:pPr>
              <w:ind w:firstLine="0"/>
            </w:pPr>
            <w:r>
              <w:t>credit_sale_amount</w:t>
            </w:r>
          </w:p>
        </w:tc>
        <w:tc>
          <w:tcPr>
            <w:tcW w:w="1327" w:type="dxa"/>
            <w:vAlign w:val="center"/>
          </w:tcPr>
          <w:p w14:paraId="60D23FB4" w14:textId="77777777" w:rsidR="007D79BE" w:rsidRPr="00FD0F64" w:rsidRDefault="007D79BE" w:rsidP="007D1C45">
            <w:pPr>
              <w:ind w:firstLine="0"/>
            </w:pPr>
            <w:r>
              <w:t>Currency</w:t>
            </w:r>
          </w:p>
        </w:tc>
        <w:tc>
          <w:tcPr>
            <w:tcW w:w="4477" w:type="dxa"/>
            <w:vAlign w:val="center"/>
          </w:tcPr>
          <w:p w14:paraId="7CE2C8A9" w14:textId="77777777" w:rsidR="007D79BE" w:rsidRPr="00FD0F64" w:rsidRDefault="007D79BE" w:rsidP="007D1C45">
            <w:pPr>
              <w:ind w:firstLine="0"/>
            </w:pPr>
            <w:r>
              <w:t>The amount payable for the respective student id</w:t>
            </w:r>
          </w:p>
        </w:tc>
      </w:tr>
      <w:tr w:rsidR="007D79BE" w:rsidRPr="00FD0F64" w14:paraId="6270489C" w14:textId="77777777" w:rsidTr="007D1C45">
        <w:trPr>
          <w:trHeight w:val="432"/>
        </w:trPr>
        <w:tc>
          <w:tcPr>
            <w:tcW w:w="2826" w:type="dxa"/>
            <w:vAlign w:val="center"/>
          </w:tcPr>
          <w:p w14:paraId="590DF14D" w14:textId="77777777" w:rsidR="007D79BE" w:rsidRPr="00FD0F64" w:rsidRDefault="007D79BE" w:rsidP="007D1C45">
            <w:pPr>
              <w:ind w:firstLine="0"/>
            </w:pPr>
            <w:r>
              <w:t>due_date</w:t>
            </w:r>
          </w:p>
        </w:tc>
        <w:tc>
          <w:tcPr>
            <w:tcW w:w="1327" w:type="dxa"/>
            <w:vAlign w:val="center"/>
          </w:tcPr>
          <w:p w14:paraId="06EEF4A3" w14:textId="77777777" w:rsidR="007D79BE" w:rsidRPr="00FD0F64" w:rsidRDefault="007D79BE" w:rsidP="007D1C45">
            <w:pPr>
              <w:ind w:firstLine="0"/>
            </w:pPr>
            <w:r>
              <w:t>Date</w:t>
            </w:r>
          </w:p>
        </w:tc>
        <w:tc>
          <w:tcPr>
            <w:tcW w:w="4477" w:type="dxa"/>
            <w:vAlign w:val="center"/>
          </w:tcPr>
          <w:p w14:paraId="182BC6A4" w14:textId="77777777" w:rsidR="007D79BE" w:rsidRPr="00FD0F64" w:rsidRDefault="007D79BE" w:rsidP="007D1C45">
            <w:pPr>
              <w:ind w:firstLine="0"/>
            </w:pPr>
            <w:r>
              <w:t>The date when the obligation is due to be paid</w:t>
            </w:r>
          </w:p>
        </w:tc>
      </w:tr>
      <w:tr w:rsidR="007D79BE" w:rsidRPr="00FD0F64" w14:paraId="5E03D46F" w14:textId="77777777" w:rsidTr="007D1C45">
        <w:trPr>
          <w:trHeight w:val="432"/>
        </w:trPr>
        <w:tc>
          <w:tcPr>
            <w:tcW w:w="2826" w:type="dxa"/>
            <w:vAlign w:val="center"/>
          </w:tcPr>
          <w:p w14:paraId="089E6A02" w14:textId="77777777" w:rsidR="007D79BE" w:rsidRPr="00FD0F64" w:rsidRDefault="007D79BE" w:rsidP="007D1C45">
            <w:pPr>
              <w:ind w:firstLine="0"/>
            </w:pPr>
            <w:r>
              <w:t>school_year</w:t>
            </w:r>
          </w:p>
        </w:tc>
        <w:tc>
          <w:tcPr>
            <w:tcW w:w="1327" w:type="dxa"/>
            <w:vAlign w:val="center"/>
          </w:tcPr>
          <w:p w14:paraId="40558054" w14:textId="77777777" w:rsidR="007D79BE" w:rsidRPr="00FD0F64" w:rsidRDefault="007D79BE" w:rsidP="007D1C45">
            <w:pPr>
              <w:ind w:firstLine="0"/>
            </w:pPr>
            <w:r>
              <w:t>smallInt(4)</w:t>
            </w:r>
          </w:p>
        </w:tc>
        <w:tc>
          <w:tcPr>
            <w:tcW w:w="4477" w:type="dxa"/>
            <w:vAlign w:val="center"/>
          </w:tcPr>
          <w:p w14:paraId="2B28F9CC" w14:textId="77777777" w:rsidR="007D79BE" w:rsidRPr="00FD0F64" w:rsidRDefault="007D79BE" w:rsidP="007D1C45">
            <w:pPr>
              <w:ind w:firstLine="0"/>
            </w:pPr>
            <w:r>
              <w:t>The school year the credit sale occurred</w:t>
            </w:r>
          </w:p>
        </w:tc>
      </w:tr>
      <w:tr w:rsidR="007D79BE" w:rsidRPr="00FD0F64" w14:paraId="7DF43B75" w14:textId="77777777" w:rsidTr="007D1C45">
        <w:trPr>
          <w:trHeight w:val="432"/>
        </w:trPr>
        <w:tc>
          <w:tcPr>
            <w:tcW w:w="2826" w:type="dxa"/>
            <w:vAlign w:val="center"/>
          </w:tcPr>
          <w:p w14:paraId="53F9918C" w14:textId="77777777" w:rsidR="007D79BE" w:rsidRPr="00FD0F64" w:rsidRDefault="007D79BE" w:rsidP="007D1C45">
            <w:pPr>
              <w:ind w:firstLine="0"/>
            </w:pPr>
            <w:r>
              <w:t>paid_before_due_date</w:t>
            </w:r>
          </w:p>
        </w:tc>
        <w:tc>
          <w:tcPr>
            <w:tcW w:w="1327" w:type="dxa"/>
            <w:vMerge w:val="restart"/>
            <w:vAlign w:val="center"/>
          </w:tcPr>
          <w:p w14:paraId="28517EEE" w14:textId="77777777" w:rsidR="007D79BE" w:rsidRPr="00FD0F64" w:rsidRDefault="007D79BE" w:rsidP="007D1C45">
            <w:pPr>
              <w:ind w:firstLine="0"/>
            </w:pPr>
            <w:r>
              <w:t>Currency</w:t>
            </w:r>
          </w:p>
        </w:tc>
        <w:tc>
          <w:tcPr>
            <w:tcW w:w="4477" w:type="dxa"/>
            <w:vAlign w:val="center"/>
          </w:tcPr>
          <w:p w14:paraId="597F267C" w14:textId="77777777" w:rsidR="007D79BE" w:rsidRPr="00FD0F64" w:rsidRDefault="007D79BE" w:rsidP="007D1C45">
            <w:pPr>
              <w:ind w:firstLine="0"/>
            </w:pPr>
            <w:r>
              <w:t>The amount paid in advance before the due date</w:t>
            </w:r>
          </w:p>
        </w:tc>
      </w:tr>
      <w:tr w:rsidR="007D79BE" w:rsidRPr="00FD0F64" w14:paraId="7F6FC6E6" w14:textId="77777777" w:rsidTr="007D1C45">
        <w:trPr>
          <w:trHeight w:val="432"/>
        </w:trPr>
        <w:tc>
          <w:tcPr>
            <w:tcW w:w="2826" w:type="dxa"/>
            <w:vAlign w:val="center"/>
          </w:tcPr>
          <w:p w14:paraId="1D9A0499" w14:textId="77777777" w:rsidR="007D79BE" w:rsidRPr="00FD0F64" w:rsidRDefault="007D79BE" w:rsidP="007D1C45">
            <w:pPr>
              <w:ind w:firstLine="0"/>
            </w:pPr>
            <w:r>
              <w:t>paid_1_to_30_days</w:t>
            </w:r>
          </w:p>
        </w:tc>
        <w:tc>
          <w:tcPr>
            <w:tcW w:w="1327" w:type="dxa"/>
            <w:vMerge/>
            <w:vAlign w:val="center"/>
          </w:tcPr>
          <w:p w14:paraId="38AF1642" w14:textId="77777777" w:rsidR="007D79BE" w:rsidRPr="00FD0F64" w:rsidRDefault="007D79BE" w:rsidP="007D1C45"/>
        </w:tc>
        <w:tc>
          <w:tcPr>
            <w:tcW w:w="4477" w:type="dxa"/>
            <w:vMerge w:val="restart"/>
            <w:vAlign w:val="center"/>
          </w:tcPr>
          <w:p w14:paraId="2FF5B00E" w14:textId="77777777" w:rsidR="007D79BE" w:rsidRPr="00FD0F64" w:rsidRDefault="007D79BE" w:rsidP="007D1C45">
            <w:pPr>
              <w:ind w:firstLine="0"/>
            </w:pPr>
            <w:r>
              <w:t>The amount paid after the due date, which is grouped from a span of [1 to 30], [31 to 60], etc. days.</w:t>
            </w:r>
          </w:p>
        </w:tc>
      </w:tr>
      <w:tr w:rsidR="007D79BE" w:rsidRPr="00FD0F64" w14:paraId="0C22290E" w14:textId="77777777" w:rsidTr="007D1C45">
        <w:trPr>
          <w:trHeight w:val="432"/>
        </w:trPr>
        <w:tc>
          <w:tcPr>
            <w:tcW w:w="2826" w:type="dxa"/>
            <w:vAlign w:val="center"/>
          </w:tcPr>
          <w:p w14:paraId="7E2E6022" w14:textId="77777777" w:rsidR="007D79BE" w:rsidRPr="00FD0F64" w:rsidRDefault="007D79BE" w:rsidP="007D1C45">
            <w:pPr>
              <w:ind w:firstLine="0"/>
            </w:pPr>
            <w:r>
              <w:t>paid_31_to_60_days</w:t>
            </w:r>
          </w:p>
        </w:tc>
        <w:tc>
          <w:tcPr>
            <w:tcW w:w="1327" w:type="dxa"/>
            <w:vMerge/>
            <w:vAlign w:val="center"/>
          </w:tcPr>
          <w:p w14:paraId="542AFED9" w14:textId="77777777" w:rsidR="007D79BE" w:rsidRPr="00FD0F64" w:rsidRDefault="007D79BE" w:rsidP="007D1C45"/>
        </w:tc>
        <w:tc>
          <w:tcPr>
            <w:tcW w:w="4477" w:type="dxa"/>
            <w:vMerge/>
            <w:vAlign w:val="center"/>
          </w:tcPr>
          <w:p w14:paraId="107FA679" w14:textId="77777777" w:rsidR="007D79BE" w:rsidRPr="00FD0F64" w:rsidRDefault="007D79BE" w:rsidP="007D1C45"/>
        </w:tc>
      </w:tr>
      <w:tr w:rsidR="007D79BE" w:rsidRPr="00FD0F64" w14:paraId="42F3FE12" w14:textId="77777777" w:rsidTr="007D1C45">
        <w:trPr>
          <w:trHeight w:val="432"/>
        </w:trPr>
        <w:tc>
          <w:tcPr>
            <w:tcW w:w="2826" w:type="dxa"/>
            <w:vAlign w:val="center"/>
          </w:tcPr>
          <w:p w14:paraId="158DC14D" w14:textId="77777777" w:rsidR="007D79BE" w:rsidRPr="00FD0F64" w:rsidRDefault="007D79BE" w:rsidP="007D1C45">
            <w:pPr>
              <w:ind w:firstLine="0"/>
            </w:pPr>
            <w:r>
              <w:t>paid_61_to_90_days</w:t>
            </w:r>
          </w:p>
        </w:tc>
        <w:tc>
          <w:tcPr>
            <w:tcW w:w="1327" w:type="dxa"/>
            <w:vMerge/>
            <w:vAlign w:val="center"/>
          </w:tcPr>
          <w:p w14:paraId="7A3D57D3" w14:textId="77777777" w:rsidR="007D79BE" w:rsidRPr="00FD0F64" w:rsidRDefault="007D79BE" w:rsidP="007D1C45"/>
        </w:tc>
        <w:tc>
          <w:tcPr>
            <w:tcW w:w="4477" w:type="dxa"/>
            <w:vMerge/>
            <w:vAlign w:val="center"/>
          </w:tcPr>
          <w:p w14:paraId="1E5F23FA" w14:textId="77777777" w:rsidR="007D79BE" w:rsidRPr="00FD0F64" w:rsidRDefault="007D79BE" w:rsidP="007D1C45"/>
        </w:tc>
      </w:tr>
      <w:tr w:rsidR="007D79BE" w:rsidRPr="00FD0F64" w14:paraId="49D7DF70" w14:textId="77777777" w:rsidTr="007D1C45">
        <w:trPr>
          <w:trHeight w:val="432"/>
        </w:trPr>
        <w:tc>
          <w:tcPr>
            <w:tcW w:w="2826" w:type="dxa"/>
            <w:vAlign w:val="center"/>
          </w:tcPr>
          <w:p w14:paraId="2566C09F" w14:textId="77777777" w:rsidR="007D79BE" w:rsidRPr="00FD0F64" w:rsidRDefault="007D79BE" w:rsidP="007D1C45">
            <w:pPr>
              <w:ind w:firstLine="0"/>
            </w:pPr>
            <w:r>
              <w:t>paid_91_to_120_days</w:t>
            </w:r>
          </w:p>
        </w:tc>
        <w:tc>
          <w:tcPr>
            <w:tcW w:w="1327" w:type="dxa"/>
            <w:vMerge/>
            <w:vAlign w:val="center"/>
          </w:tcPr>
          <w:p w14:paraId="71F8638F" w14:textId="77777777" w:rsidR="007D79BE" w:rsidRPr="00FD0F64" w:rsidRDefault="007D79BE" w:rsidP="007D1C45"/>
        </w:tc>
        <w:tc>
          <w:tcPr>
            <w:tcW w:w="4477" w:type="dxa"/>
            <w:vMerge/>
            <w:vAlign w:val="center"/>
          </w:tcPr>
          <w:p w14:paraId="61104FF2" w14:textId="77777777" w:rsidR="007D79BE" w:rsidRPr="00FD0F64" w:rsidRDefault="007D79BE" w:rsidP="007D1C45"/>
        </w:tc>
      </w:tr>
      <w:tr w:rsidR="007D79BE" w:rsidRPr="00FD0F64" w14:paraId="624B2775" w14:textId="77777777" w:rsidTr="007D1C45">
        <w:trPr>
          <w:trHeight w:val="432"/>
        </w:trPr>
        <w:tc>
          <w:tcPr>
            <w:tcW w:w="2826" w:type="dxa"/>
            <w:vAlign w:val="center"/>
          </w:tcPr>
          <w:p w14:paraId="79A3B46F" w14:textId="77777777" w:rsidR="007D79BE" w:rsidRPr="00FD0F64" w:rsidRDefault="007D79BE" w:rsidP="007D1C45">
            <w:pPr>
              <w:ind w:firstLine="0"/>
            </w:pPr>
            <w:r>
              <w:t>paid_121_to_150_days</w:t>
            </w:r>
          </w:p>
        </w:tc>
        <w:tc>
          <w:tcPr>
            <w:tcW w:w="1327" w:type="dxa"/>
            <w:vMerge/>
            <w:vAlign w:val="center"/>
          </w:tcPr>
          <w:p w14:paraId="184E03FB" w14:textId="77777777" w:rsidR="007D79BE" w:rsidRPr="00FD0F64" w:rsidRDefault="007D79BE" w:rsidP="007D1C45"/>
        </w:tc>
        <w:tc>
          <w:tcPr>
            <w:tcW w:w="4477" w:type="dxa"/>
            <w:vMerge/>
            <w:vAlign w:val="center"/>
          </w:tcPr>
          <w:p w14:paraId="03FB7F31" w14:textId="77777777" w:rsidR="007D79BE" w:rsidRPr="00FD0F64" w:rsidRDefault="007D79BE" w:rsidP="007D1C45"/>
        </w:tc>
      </w:tr>
      <w:tr w:rsidR="007D79BE" w:rsidRPr="00FD0F64" w14:paraId="588CD8D3" w14:textId="77777777" w:rsidTr="007D1C45">
        <w:trPr>
          <w:trHeight w:val="432"/>
        </w:trPr>
        <w:tc>
          <w:tcPr>
            <w:tcW w:w="2826" w:type="dxa"/>
            <w:vAlign w:val="center"/>
          </w:tcPr>
          <w:p w14:paraId="7835973B" w14:textId="77777777" w:rsidR="007D79BE" w:rsidRPr="00FD0F64" w:rsidRDefault="007D79BE" w:rsidP="007D1C45">
            <w:pPr>
              <w:ind w:firstLine="0"/>
            </w:pPr>
            <w:r>
              <w:t>paid_151_to_180_days</w:t>
            </w:r>
          </w:p>
        </w:tc>
        <w:tc>
          <w:tcPr>
            <w:tcW w:w="1327" w:type="dxa"/>
            <w:vMerge/>
            <w:vAlign w:val="center"/>
          </w:tcPr>
          <w:p w14:paraId="3AF7A992" w14:textId="77777777" w:rsidR="007D79BE" w:rsidRPr="00FD0F64" w:rsidRDefault="007D79BE" w:rsidP="007D1C45"/>
        </w:tc>
        <w:tc>
          <w:tcPr>
            <w:tcW w:w="4477" w:type="dxa"/>
            <w:vMerge/>
            <w:vAlign w:val="center"/>
          </w:tcPr>
          <w:p w14:paraId="4A3118AF" w14:textId="77777777" w:rsidR="007D79BE" w:rsidRPr="00FD0F64" w:rsidRDefault="007D79BE" w:rsidP="007D1C45"/>
        </w:tc>
      </w:tr>
      <w:tr w:rsidR="007D79BE" w:rsidRPr="00FD0F64" w14:paraId="45D49D49" w14:textId="77777777" w:rsidTr="007D1C45">
        <w:trPr>
          <w:trHeight w:val="432"/>
        </w:trPr>
        <w:tc>
          <w:tcPr>
            <w:tcW w:w="2826" w:type="dxa"/>
            <w:vAlign w:val="center"/>
          </w:tcPr>
          <w:p w14:paraId="2E66FC08" w14:textId="77777777" w:rsidR="007D79BE" w:rsidRPr="00FD0F64" w:rsidRDefault="007D79BE" w:rsidP="007D1C45">
            <w:pPr>
              <w:ind w:firstLine="0"/>
            </w:pPr>
            <w:r>
              <w:t>paid_180_above_days</w:t>
            </w:r>
          </w:p>
        </w:tc>
        <w:tc>
          <w:tcPr>
            <w:tcW w:w="1327" w:type="dxa"/>
            <w:vMerge/>
            <w:vAlign w:val="center"/>
          </w:tcPr>
          <w:p w14:paraId="3FDF8F88" w14:textId="77777777" w:rsidR="007D79BE" w:rsidRPr="00FD0F64" w:rsidRDefault="007D79BE" w:rsidP="007D1C45"/>
        </w:tc>
        <w:tc>
          <w:tcPr>
            <w:tcW w:w="4477" w:type="dxa"/>
            <w:vMerge/>
            <w:vAlign w:val="center"/>
          </w:tcPr>
          <w:p w14:paraId="7E9218F6" w14:textId="77777777" w:rsidR="007D79BE" w:rsidRPr="00FD0F64" w:rsidRDefault="007D79BE" w:rsidP="007D1C45"/>
        </w:tc>
      </w:tr>
      <w:tr w:rsidR="007D79BE" w:rsidRPr="00FD0F64" w14:paraId="079F7062" w14:textId="77777777" w:rsidTr="007D1C45">
        <w:trPr>
          <w:trHeight w:val="737"/>
        </w:trPr>
        <w:tc>
          <w:tcPr>
            <w:tcW w:w="2826" w:type="dxa"/>
            <w:vAlign w:val="center"/>
          </w:tcPr>
          <w:p w14:paraId="08A2E68B" w14:textId="77777777" w:rsidR="007D79BE" w:rsidRPr="00FD0F64" w:rsidRDefault="007D79BE" w:rsidP="007D1C45">
            <w:pPr>
              <w:ind w:firstLine="0"/>
            </w:pPr>
            <w:r>
              <w:t>remaining_accounts_receivables</w:t>
            </w:r>
          </w:p>
        </w:tc>
        <w:tc>
          <w:tcPr>
            <w:tcW w:w="1327" w:type="dxa"/>
            <w:vMerge/>
            <w:vAlign w:val="center"/>
          </w:tcPr>
          <w:p w14:paraId="6C7320FC" w14:textId="77777777" w:rsidR="007D79BE" w:rsidRPr="00FD0F64" w:rsidRDefault="007D79BE" w:rsidP="007D1C45"/>
        </w:tc>
        <w:tc>
          <w:tcPr>
            <w:tcW w:w="4477" w:type="dxa"/>
            <w:vAlign w:val="center"/>
          </w:tcPr>
          <w:p w14:paraId="17C5501F" w14:textId="77777777" w:rsidR="007D79BE" w:rsidRPr="00FD0F64" w:rsidRDefault="007D79BE" w:rsidP="007D1C45">
            <w:pPr>
              <w:ind w:firstLine="0"/>
            </w:pPr>
            <w:r>
              <w:t>The amount of accounts receivable left that needs to be paid as of generating this fact table</w:t>
            </w:r>
          </w:p>
        </w:tc>
      </w:tr>
    </w:tbl>
    <w:p w14:paraId="0AA71F25" w14:textId="77777777" w:rsidR="00856161" w:rsidRDefault="00750A62" w:rsidP="00AB7363">
      <w:pPr>
        <w:pStyle w:val="ThesisParagraphText"/>
      </w:pPr>
      <w:r>
        <w:t>The fact table decomposes each receivable into payment-aging buckets (paid before the due date, 1–30 days, 31–60 days, and so on), which is the representation from which the four ordinal payment brackets are labeled. The remaining_accounts_receivables field identifies invoices still unpaid at the observation cutoff; these censored records are exactly the cases handled by the survival analysis described in Section 3.4.</w:t>
      </w:r>
    </w:p>
    <w:p w14:paraId="4862831E" w14:textId="77777777" w:rsidR="002A08AD" w:rsidRDefault="002A08AD">
      <w:pPr>
        <w:autoSpaceDE/>
        <w:autoSpaceDN/>
        <w:adjustRightInd/>
        <w:spacing w:line="278" w:lineRule="auto"/>
        <w:ind w:firstLine="0"/>
        <w:jc w:val="left"/>
        <w:rPr>
          <w:b/>
          <w:bCs/>
          <w:kern w:val="0"/>
          <w:szCs w:val="18"/>
          <w14:ligatures w14:val="none"/>
        </w:rPr>
      </w:pPr>
      <w:r>
        <w:br w:type="page"/>
      </w:r>
    </w:p>
    <w:p w14:paraId="064CE3FA" w14:textId="77777777" w:rsidR="006850F5" w:rsidRPr="00FD0F64" w:rsidRDefault="006850F5" w:rsidP="006850F5">
      <w:pPr>
        <w:pStyle w:val="Heading2"/>
      </w:pPr>
      <w:bookmarkStart w:id="94" w:name="_Toc233585280"/>
      <w:r>
        <w:lastRenderedPageBreak/>
        <w:t>3.3 Granular Feature Engineering</w:t>
      </w:r>
      <w:bookmarkEnd w:id="94"/>
    </w:p>
    <w:p w14:paraId="4ED2ABA3" w14:textId="77777777" w:rsidR="00C55C72" w:rsidRPr="00FD0F64" w:rsidRDefault="00C55C72" w:rsidP="00AA5367">
      <w:pPr>
        <w:pStyle w:val="ThesisParagraphText"/>
      </w:pPr>
      <w:r>
        <w:t>The feature space comprises 40 variables across six categories, derived from institutional journal entries and engineered to capture granular payment behaviors:</w:t>
      </w:r>
    </w:p>
    <w:p w14:paraId="030F6070" w14:textId="77777777" w:rsidR="00C55C72" w:rsidRPr="00FD0F64" w:rsidRDefault="00C55C72" w:rsidP="00E81C25">
      <w:pPr>
        <w:pStyle w:val="ThesisParagraphText"/>
        <w:ind w:firstLine="720"/>
      </w:pPr>
      <w:r>
        <w:rPr>
          <w:b/>
          <w:bCs/>
        </w:rPr>
        <w:t>(a) Raw Financial:</w:t>
      </w:r>
      <w:r>
        <w:t xml:space="preserve"> `gross_receivables`, `amount_discounted`, `adjustments`, `credit_sale_amount` (net receivable)</w:t>
      </w:r>
    </w:p>
    <w:p w14:paraId="7FF36274" w14:textId="77777777" w:rsidR="00C55C72" w:rsidRPr="00FD0F64" w:rsidRDefault="00C55C72" w:rsidP="00E81C25">
      <w:pPr>
        <w:pStyle w:val="ThesisParagraphText"/>
        <w:ind w:firstLine="720"/>
      </w:pPr>
      <w:r>
        <w:rPr>
          <w:b/>
          <w:bCs/>
        </w:rPr>
        <w:t>(b) Days-to-Payment (DTP) Historical:</w:t>
      </w:r>
      <w:r>
        <w:t xml:space="preserve"> `dtp_1` through `dtp_4` (most recent 4 invoices), `dtp_avg`, `dtp_wavg` (weighted 0.4,0.3,0.2,0.1), `dtp_2_trend`, `dtp_3_trend`, `days_since_last_payment`, `dtp_rolling_std`, `dtp_max`</w:t>
      </w:r>
    </w:p>
    <w:p w14:paraId="3714FE12" w14:textId="77777777" w:rsidR="00C55C72" w:rsidRPr="00FD0F64" w:rsidRDefault="00C55C72" w:rsidP="00E81C25">
      <w:pPr>
        <w:pStyle w:val="ThesisParagraphText"/>
        <w:ind w:firstLine="720"/>
      </w:pPr>
      <w:r>
        <w:rPr>
          <w:b/>
          <w:bCs/>
        </w:rPr>
        <w:t>(c) Financial/Cumulative:</w:t>
      </w:r>
      <w:r>
        <w:t xml:space="preserve"> `amount_due_cumsum`, `amount_paid_cumsum`, `opening_balance`, `opening_balance_flag`, `payment_ratio` (paid/due ratio)</w:t>
      </w:r>
    </w:p>
    <w:p w14:paraId="3B63C1BF" w14:textId="77777777" w:rsidR="00C55C72" w:rsidRPr="00FD0F64" w:rsidRDefault="00C55C72" w:rsidP="00E81C25">
      <w:pPr>
        <w:pStyle w:val="ThesisParagraphText"/>
        <w:ind w:firstLine="720"/>
      </w:pPr>
      <w:r>
        <w:rPr>
          <w:b/>
          <w:bCs/>
        </w:rPr>
        <w:t>(d) Behavioral/Historical:</w:t>
      </w:r>
      <w:r>
        <w:t xml:space="preserve"> `prev_bracket` (most recent payment bracket), `early_payer_flag` (binary), `on_time_streak` (consecutive on-time payments)</w:t>
      </w:r>
    </w:p>
    <w:p w14:paraId="7D0C819E" w14:textId="77777777" w:rsidR="00C55C72" w:rsidRPr="00FD0F64" w:rsidRDefault="00C55C72" w:rsidP="00E81C25">
      <w:pPr>
        <w:pStyle w:val="ThesisParagraphText"/>
        <w:ind w:firstLine="720"/>
      </w:pPr>
      <w:r>
        <w:rPr>
          <w:b/>
          <w:bCs/>
        </w:rPr>
        <w:t>(e) Payment Plan:</w:t>
      </w:r>
      <w:r>
        <w:t xml:space="preserve"> One-hot encoded `plan_type_Plan-A` through `plan_type_Plan-E` and `plan_type_nan`, plus ordinal `plan_type_risk_score` (A=0→NaN=5)</w:t>
      </w:r>
    </w:p>
    <w:p w14:paraId="63D5844E" w14:textId="77777777" w:rsidR="00C55C72" w:rsidRPr="00FD0F64" w:rsidRDefault="00C55C72" w:rsidP="00E81C25">
      <w:pPr>
        <w:pStyle w:val="ThesisParagraphText"/>
        <w:ind w:firstLine="720"/>
      </w:pPr>
      <w:r>
        <w:rPr>
          <w:b/>
          <w:bCs/>
        </w:rPr>
        <w:t>(f) Temporal:</w:t>
      </w:r>
      <w:r>
        <w:t xml:space="preserve"> `due_month` (1-12), `due_quarter` (1-4)</w:t>
      </w:r>
    </w:p>
    <w:p w14:paraId="1141928F" w14:textId="77777777" w:rsidR="00F07945" w:rsidRDefault="00C55C72" w:rsidP="00F07945">
      <w:pPr>
        <w:pStyle w:val="ThesisParagraphText"/>
        <w:ind w:firstLine="0"/>
      </w:pPr>
      <w:r>
        <w:t>These features were generated via the `CreditSalesProcessor` pipeline, transforming raw transactional data into analysis-ready inputs. All features were retained for modeling.</w:t>
        <w:br w:type="page"/>
      </w:r>
    </w:p>
    <w:p w14:paraId="1BA032D8" w14:textId="77777777" w:rsidR="00044656" w:rsidRPr="00FD0F64" w:rsidRDefault="00044656" w:rsidP="00044656">
      <w:pPr>
        <w:pStyle w:val="Heading2"/>
      </w:pPr>
      <w:bookmarkStart w:id="95" w:name="_Toc233585281"/>
      <w:r>
        <w:lastRenderedPageBreak/>
        <w:t>3.4 Survival-Analysis-Derived Features</w:t>
      </w:r>
      <w:bookmarkEnd w:id="95"/>
    </w:p>
    <w:p w14:paraId="1A000010" w14:textId="77777777" w:rsidR="00000000" w:rsidRDefault="00000000">
      <w:pPr>
        <w:pStyle w:val="ThesisParagraphText"/>
      </w:pPr>
      <w:r>
        <w:t>Process 7.5 performs hyperparameter tuning for the Cox Proportional Hazards model (CoxnetSurvivalAnalysis, scikit-survival) using the survival analysis data stream produced by Process 5.0. A grid of 18 hyperparameter combinations is evaluated: six values of the regularisation strength alpha and three values of the elastic-net mixing parameter l1_ratio. For each combination, k-fold cross-validation is applied, and each fold is scored using Harrell’s concordance index (C-index). The combination that maximises the mean C-index across folds is selected as the best set of hyperparameters. Following hyperparameter selection, nine optimal time points are derived from the observed event distribution using a slope-change algorithm applied to the Kaplan-Meier survival curve. These nine time points are stored alongside the best hyperparameters and are used by Process 8.5 to generate per-sample survival features.</w:t>
      </w:r>
    </w:p>
    <w:p w14:paraId="1A000011" w14:textId="77777777" w:rsidR="00000000" w:rsidRDefault="00000000">
      <w:pPr>
        <w:pStyle w:val="ThesisParagraphText"/>
      </w:pPr>
      <w:r>
        <w:t>Process 8.5 generates survival-derived features that augment the original feature set before classifier training. Using the best hyperparameters obtained from Process 7.5, a CoxnetSurvivalAnalysis model is fitted on the training split of the survival analysis data. The fitted model is then applied to both training and test splits to compute, for each sample, the following features at each of the nine optimal time points: the survival probability S(t) and the cumulative hazard H(t). Additionally, a scalar risk score and the expected survival time E[T] are computed for each sample. These survival-derived features are concatenated with the original feature matrix to produce an enhanced dataset. Both the original and enhanced datasets are forwarded to Process 8.0 (Model Building), enabling a paired comparison between baseline and survival-augmented classification performance.</w:t>
      </w:r>
    </w:p>
    <w:p w14:paraId="30DCC155" w14:textId="77777777" w:rsidR="00AA17BA" w:rsidRDefault="00AA17BA">
      <w:pPr>
        <w:autoSpaceDE/>
        <w:autoSpaceDN/>
        <w:adjustRightInd/>
        <w:spacing w:line="278" w:lineRule="auto"/>
        <w:ind w:firstLine="0"/>
        <w:jc w:val="left"/>
        <w:rPr>
          <w:rFonts w:eastAsia="Calibri"/>
          <w:kern w:val="0"/>
          <w14:ligatures w14:val="none"/>
        </w:rPr>
      </w:pPr>
      <w:r>
        <w:br w:type="page"/>
      </w:r>
    </w:p>
    <w:p w14:paraId="1FF196DF" w14:textId="77777777" w:rsidR="007E0591" w:rsidRPr="00FD0F64" w:rsidRDefault="007E0591" w:rsidP="007E0591">
      <w:pPr>
        <w:pStyle w:val="Heading2"/>
      </w:pPr>
      <w:bookmarkStart w:id="96" w:name="_Toc233585282"/>
      <w:r>
        <w:lastRenderedPageBreak/>
        <w:t>3.5 Model Architectures</w:t>
      </w:r>
      <w:bookmarkEnd w:id="96"/>
    </w:p>
    <w:p w14:paraId="1235BD4F" w14:textId="77777777" w:rsidR="00896846" w:rsidRPr="00FD0F64" w:rsidRDefault="00AA17BA" w:rsidP="00896846">
      <w:pPr>
        <w:pStyle w:val="ThesisParagraphText"/>
        <w:ind w:firstLine="0"/>
      </w:pPr>
      <w:r>
        <w:t xml:space="preserve">The researchers’ benchmarked </w:t>
      </w:r>
      <w:r>
        <w:rPr>
          <w:b/>
          <w:bCs/>
        </w:rPr>
        <w:t>15 models</w:t>
      </w:r>
      <w:r>
        <w:t xml:space="preserve"> categorized into three families:</w:t>
      </w:r>
    </w:p>
    <w:p w14:paraId="1A000030" w14:textId="77777777" w:rsidR="00000000" w:rsidRDefault="00000000">
      <w:pPr>
        <w:pStyle w:val="ThesisParagraphText"/>
      </w:pPr>
      <w:r>
        <w:rPr>
          <w:b/>
          <w:bCs/>
        </w:rPr>
        <w:t>BASE CLASSIFIERS (8.1).</w:t>
      </w:r>
      <w:r>
        <w:t xml:space="preserve"> Six classifiers are trained independently on both the original and survival-enhanced feature sets: AdaBoost (AdaBoostClassifier), Random Forest (RandomForestClassifier), XGBoost (XGBClassifier), Decision Tree (DecisionTreeClassifier), Gaussian Naive Bayes (GaussianNB), and K-Nearest Neighbours (KNeighborsClassifier). Each classifier is trained under each of the five balancing strategies, yielding a full experimental matrix.</w:t>
      </w:r>
    </w:p>
    <w:p w14:paraId="1A000031" w14:textId="77777777" w:rsidR="00000000" w:rsidRDefault="00000000">
      <w:pPr>
        <w:pStyle w:val="ThesisParagraphText"/>
      </w:pPr>
      <w:r>
        <w:rPr>
          <w:b/>
          <w:bCs/>
        </w:rPr>
        <w:t>ORDINAL CLASSIFIERS (8.2).</w:t>
      </w:r>
      <w:r>
        <w:t xml:space="preserve"> Three ordinal classifiers are built using the Frank and Hall (2001) binary decomposition method: Ordinal AdaBoost, Ordinal Random Forest, and Ordinal XGBoost. For four payment outcome classes (0–3), the method trains K-1 = 3 binary classifiers: Classifier 0 learns P(y &gt; 0) — on-time vs any late; Classifier 1 learns P(y &gt; 1) — at most 30-day late vs 60-day or more late; Classifier 2 learns P(y &gt; 2) — at most 60-day late vs 90-day late. Class probabilities are recovered as differences: P(class = k) = P(y &gt; k-1) - P(y &gt; k), with boundary values P(y &gt; -1) = 1 and P(y &gt; K-1) = 0. Monotonicity is enforced by clipping negative differences to zero and re-normalising the resulting distribution.</w:t>
      </w:r>
    </w:p>
    <w:p w14:paraId="1A000032" w14:textId="77777777" w:rsidR="00000000" w:rsidRDefault="00000000">
      <w:pPr>
        <w:pStyle w:val="ThesisParagraphText"/>
      </w:pPr>
      <w:r>
        <w:rPr>
          <w:b/>
          <w:bCs/>
        </w:rPr>
        <w:t>TWO-STAGE ENSEMBLE CLASSIFIERS (8.3).</w:t>
      </w:r>
      <w:r>
        <w:t xml:space="preserve"> Six two-stage ensemble classifiers are trained, each combining two tree-based estimators: XGBoost-XGBoost, XGBoost-Random Forest, Random Forest-Random Forest, XGBoost-AdaBoost, Random Forest-AdaBoost, and AdaBoost-XGBoost. Stage 1 is a binary classifier trained on the full dataset to predict P(late) — the probability that a payment is late (any class other than on-time). Stage 2 is a multiclass classifier trained only on the late subset, predicting P(class = </w:t>
        <w:lastRenderedPageBreak/>
        <w:t>k | late) for the 30-day, 60-day, and 90-day late classes. Final class probabilities are computed via the chain rule: P(class = k, k &gt; 0) = P(late) x P(class = k | late).</w:t>
      </w:r>
    </w:p>
    <w:p w14:paraId="1A000033" w14:textId="77777777" w:rsidR="00000000" w:rsidRDefault="00000000">
      <w:pPr>
        <w:pStyle w:val="ThesisParagraphText"/>
      </w:pPr>
      <w:r>
        <w:rPr>
          <w:b/>
          <w:bCs/>
        </w:rPr>
        <w:t>ARCHITECTURAL RESTRICTION ON ORDINAL AND TWO-STAGE MODELS.</w:t>
      </w:r>
      <w:r>
        <w:t xml:space="preserve"> The ordinal (8.2) and two-stage (8.3) classifiers are restricted to tree-based estimators (XGBoost, Random Forest, AdaBoost) because the training pipeline applies feature selection via mean decrease in impurity (MDI) using scikit-learn’s SelectFromModel. This requires each estimator to expose a feature_importances_ attribute, which is only available for tree-based models. K-Nearest Neighbours and Gaussian Naive Bayes do not expose this attribute and are therefore excluded from the ordinal and two-stage experimental conditions.</w:t>
      </w:r>
    </w:p>
    <w:p w14:paraId="1A000020" w14:textId="77777777" w:rsidR="00000000" w:rsidRDefault="00000000">
      <w:pPr>
        <w:pStyle w:val="ThesisParagraphText"/>
      </w:pPr>
      <w:r>
        <w:t>Process 6.0 performs four sequential operations on the ML training data stream received from Process 5.0. First, ordinal labels are encoded: on-time, 30-day, 60-day, and 90-day payment outcomes are mapped to integer classes 0–3. Second, a temporal train/test split is applied by sorting records on the instalment due date and assigning the earliest 80 percent of records to the training partition and the latest 20 percent to the test partition, preventing data leakage from future records. Third, a user-selected balancing strategy is applied to the training partition only. Five strategies are supported: SMOTE, Borderline SMOTE, SMOTEENN, SMOTETomek, and the custom HybridBalance strategy; each strategy is treated as a separate experimental condition. Fourth, min-max normalisation is applied to all numerical features. An optional linear discriminant analysis (LDA) projection may also be applied at this stage to reduce dimensionality before forwarding the prepared data to Process 7.0.</w:t>
      </w:r>
    </w:p>
    <w:p w14:paraId="00A6A41C" w14:textId="77777777" w:rsidR="00856161" w:rsidRDefault="00750A62">
      <w:pPr>
        <w:pStyle w:val="ThesisParagraphText"/>
      </w:pPr>
      <w:r>
        <w:lastRenderedPageBreak/>
        <w:t>Figure 3.5 presents the Level-1 DFD of the modelling component, covering class balancing, model training, and hyperparameter search across the three model families.</w:t>
      </w:r>
    </w:p>
    <w:p w14:paraId="13F272FB" w14:textId="77777777" w:rsidR="008B199B" w:rsidRPr="00FD0F64" w:rsidRDefault="008B199B" w:rsidP="008B199B">
      <w:pPr>
        <w:pStyle w:val="NoSpacing"/>
        <w:jc w:val="center"/>
      </w:pPr>
      <w:r>
        <w:rPr>
          <w:noProof/>
        </w:rPr>
        <w:drawing>
          <wp:inline distT="0" distB="0" distL="0" distR="0" wp14:anchorId="0636F62F" wp14:editId="058F14E9">
            <wp:extent cx="5029200" cy="4026576"/>
            <wp:effectExtent l="0" t="0" r="0" b="0"/>
            <wp:docPr id="43582917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29173" name=""/>
                    <pic:cNvPicPr/>
                  </pic:nvPicPr>
                  <pic:blipFill>
                    <a:blip r:embed="rId22"/>
                    <a:stretch>
                      <a:fillRect/>
                    </a:stretch>
                  </pic:blipFill>
                  <pic:spPr>
                    <a:xfrm>
                      <a:off x="0" y="0"/>
                      <a:ext cx="5029200" cy="4026576"/>
                    </a:xfrm>
                    <a:prstGeom prst="rect">
                      <a:avLst/>
                    </a:prstGeom>
                  </pic:spPr>
                </pic:pic>
              </a:graphicData>
            </a:graphic>
          </wp:inline>
        </w:drawing>
      </w:r>
    </w:p>
    <w:p w14:paraId="5731D27D" w14:textId="58F8D998" w:rsidR="00814EAD" w:rsidRPr="00FD0F64" w:rsidRDefault="0081578F" w:rsidP="008F0EE6">
      <w:pPr>
        <w:pStyle w:val="Caption"/>
        <w:ind w:firstLine="0"/>
        <w:rPr>
          <w:noProof/>
        </w:rPr>
      </w:pPr>
      <w:bookmarkStart w:id="97" w:name="_Toc233585318"/>
      <w:r>
        <w:t>Figure 3.</w:t>
        <w:fldChar w:fldCharType="begin"/>
        <w:instrText>SEQ Figure \* ARABIC \s 1</w:instrText>
        <w:fldChar w:fldCharType="separate"/>
      </w:r>
      <w:r>
        <w:rPr>
          <w:noProof/>
        </w:rPr>
        <w:t>5</w:t>
      </w:r>
      <w:r>
        <w:fldChar w:fldCharType="end"/>
        <w:t>: Level-1 DFD of the Modelling component.</w:t>
      </w:r>
      <w:bookmarkEnd w:id="97"/>
    </w:p>
    <w:p w14:paraId="2D64D972" w14:textId="77777777" w:rsidR="00856161" w:rsidRDefault="00750A62">
      <w:pPr>
        <w:pStyle w:val="ThesisParagraphText"/>
      </w:pPr>
      <w:r>
        <w:t>The modelling component operates two concurrent training pipelines. The baseline pipeline trains all fifteen classifier architectures directly on the ML training data stream received from Process 5.0. The survival-augmented pipeline first routes the survival analysis data stream through Process 7.5 (Cox Survival Analysis Tuning), which identifies optimal hyperparameters and nine evaluation time points, and then through Process 8.5 (Survival Feature Generation), which appends 20 survival-derived features per sample to produce an enhanced dataset; the same fifteen architectures are then trained on this augmented feature set. Both pipelines share the same temporal split, balancing strategy, and hyperparameter grid, ensuring that any performance difference between the baseline and enhanced conditions is attributable solely to the survival-derived features. Evaluation metrics and feature importance scores from both pipelines are logged to the results database for aggregation in Process 12.0.</w:t>
      </w:r>
    </w:p>
    <w:p w14:paraId="1A000040" w14:textId="77777777" w:rsidR="00000000" w:rsidRDefault="00000000">
      <w:pPr>
        <w:pStyle w:val="ThesisParagraphText"/>
      </w:pPr>
      <w:r>
        <w:t>Figure 3.6 presents the Level-2 DFD of Process 7.5 (Cox Survival Analysis Tuning), detailing the six sub-processes from hyperparameter grid initialisation through optimal time-point derivation.</w:t>
      </w:r>
    </w:p>
    <w:p w14:paraId="1A000041" w14:textId="77777777" w:rsidR="00000000" w:rsidRDefault="00000000">
      <w:pPr>
        <w:pStyle w:val="NoSpacing"/>
        <w:jc w:val="center"/>
      </w:pPr>
      <w:r>
        <w:rPr>
          <w:noProof/>
        </w:rPr>
        <w:lastRenderedPageBreak/>
        <w:drawing>
          <wp:inline distT="0" distB="0" distL="0" distR="0" wp14:anchorId="1A000041" wp14:editId="1A000041">
            <wp:extent cx="5029200" cy="2719039"/>
            <wp:effectExtent l="0" t="0" r="0" b="0"/>
            <wp:docPr id="6000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0" name=""/>
                    <pic:cNvPicPr/>
                  </pic:nvPicPr>
                  <pic:blipFill>
                    <a:blip r:embed="rId23"/>
                    <a:stretch>
                      <a:fillRect/>
                    </a:stretch>
                  </pic:blipFill>
                  <pic:spPr>
                    <a:xfrm>
                      <a:off x="0" y="0"/>
                      <a:ext cx="5029200" cy="2719039"/>
                    </a:xfrm>
                    <a:prstGeom prst="rect">
                      <a:avLst/>
                    </a:prstGeom>
                  </pic:spPr>
                </pic:pic>
              </a:graphicData>
            </a:graphic>
          </wp:inline>
        </w:drawing>
      </w:r>
    </w:p>
    <w:p w14:paraId="1A000042" w14:textId="1A3ED901" w:rsidR="00000000" w:rsidRDefault="00000000">
      <w:pPr>
        <w:pStyle w:val="Caption"/>
        <w:ind w:firstLine="0"/>
      </w:pPr>
      <w:bookmarkStart w:id="98" w:name="_NewFig202"/>
      <w:bookmarkStart w:id="99" w:name="_Toc233585319"/>
      <w:r>
        <w:t>Figure 3.</w:t>
        <w:fldChar w:fldCharType="begin"/>
        <w:instrText xml:space="preserve"> SEQ Figure \* ARABIC \s 1 </w:instrText>
        <w:fldChar w:fldCharType="separate"/>
      </w:r>
      <w:r>
        <w:rPr>
          <w:noProof/>
        </w:rPr>
        <w:t>6</w:t>
      </w:r>
      <w:r>
        <w:fldChar w:fldCharType="end"/>
        <w:t>: Level-2 DFD of Process 7.5 — Cox Survival Analysis Tuning.</w:t>
      </w:r>
      <w:bookmarkEnd w:id="98"/>
      <w:bookmarkEnd w:id="99"/>
    </w:p>
    <w:p w14:paraId="0A000103" w14:textId="77777777" w:rsidR="00000000" w:rsidRDefault="00000000">
      <w:pPr>
        <w:pStyle w:val="ThesisParagraphText"/>
      </w:pPr>
      <w:r>
        <w:t xml:space="preserve">The diagram decomposes Process 7.5 into six sequential sub-processes executed by the CoxHyperparameterTuner. Sub-process 7.5.1 initialises the hyperparameter search grid: six values of the regularisation strength alpha (0.001, 0.01, 0.05, 0.1, 0.5, 1.0) are combined with three values of the elastic-net mixing parameter l1_ratio (0.5, 0.75, 1.0), yielding eighteen candidate configurations. Sub-process 7.5.2 partitions the training portion of the survival analysis stream into k folds for cross-validation. Sub-process 7.5.3 fits a CoxnetSurvivalAnalysis model (scikit-survival) on the training folds of each configuration. Sub-process 7.5.4 scores the fitted model on each held-out validation fold using Harrell’s concordance index (C-index), a rank-based measure of how well the model orders samples by risk. Sub-process 7.5.5 selects the configuration with the highest mean C-index across all folds as the best hyperparameter set; the full grid search results are also written to cox_tuning_report.xlsx for audit. Sub-process 7.5.6 derives nine optimal evaluation time points from the observed event distribution using a slope-change algorithm applied to the Kaplan-Meier survival curve; these time points represent periods of the </w:t>
        <w:lastRenderedPageBreak/>
        <w:t>greatest informational density in the observed settlement distribution and are passed alongside the best hyperparameters to Process 8.5.</w:t>
      </w:r>
    </w:p>
    <w:p w14:paraId="1A000043" w14:textId="77777777" w:rsidR="00000000" w:rsidRDefault="00000000">
      <w:pPr>
        <w:pStyle w:val="ThesisParagraphText"/>
      </w:pPr>
      <w:r>
        <w:t>Figure 3.7 presents the Level-2 DFD of Process 8.5 (Survival Feature Generation), detailing the five sub-processes that produce per-sample survival probability, cumulative hazard, risk score, and expected survival time features.</w:t>
      </w:r>
    </w:p>
    <w:p w14:paraId="1A000044" w14:textId="77777777" w:rsidR="00000000" w:rsidRDefault="00000000">
      <w:pPr>
        <w:pStyle w:val="NoSpacing"/>
        <w:jc w:val="center"/>
      </w:pPr>
      <w:r>
        <w:rPr>
          <w:noProof/>
        </w:rPr>
        <w:drawing>
          <wp:inline distT="0" distB="0" distL="0" distR="0" wp14:anchorId="1A000044" wp14:editId="72588C09">
            <wp:extent cx="4846320" cy="3579937"/>
            <wp:effectExtent l="0" t="0" r="0" b="1905"/>
            <wp:docPr id="6000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1" name=""/>
                    <pic:cNvPicPr/>
                  </pic:nvPicPr>
                  <pic:blipFill rotWithShape="1">
                    <a:blip r:embed="rId24"/>
                    <a:srcRect l="2573" r="14052" b="9231"/>
                    <a:stretch/>
                  </pic:blipFill>
                  <pic:spPr bwMode="auto">
                    <a:xfrm>
                      <a:off x="0" y="0"/>
                      <a:ext cx="4846320" cy="3579937"/>
                    </a:xfrm>
                    <a:prstGeom prst="rect">
                      <a:avLst/>
                    </a:prstGeom>
                    <a:ln>
                      <a:noFill/>
                    </a:ln>
                    <a:extLst>
                      <a:ext uri="{53640926-AAD7-44D8-BBD7-CCE9431645EC}">
                        <a14:shadowObscured xmlns:a14="http://schemas.microsoft.com/office/drawing/2010/main"/>
                      </a:ext>
                    </a:extLst>
                  </pic:spPr>
                </pic:pic>
              </a:graphicData>
            </a:graphic>
          </wp:inline>
        </w:drawing>
      </w:r>
    </w:p>
    <w:p w14:paraId="1A000045" w14:textId="5E27E85A" w:rsidR="00000000" w:rsidRDefault="00000000">
      <w:pPr>
        <w:pStyle w:val="Caption"/>
        <w:ind w:firstLine="0"/>
      </w:pPr>
      <w:bookmarkStart w:id="100" w:name="_NewFig203"/>
      <w:bookmarkStart w:id="101" w:name="_Toc233585320"/>
      <w:r>
        <w:t>Figure 3.</w:t>
        <w:fldChar w:fldCharType="begin"/>
        <w:instrText xml:space="preserve"> SEQ Figure \* ARABIC \s 1 </w:instrText>
        <w:fldChar w:fldCharType="separate"/>
      </w:r>
      <w:r>
        <w:rPr>
          <w:noProof/>
        </w:rPr>
        <w:t>7</w:t>
      </w:r>
      <w:r>
        <w:fldChar w:fldCharType="end"/>
        <w:t>: Level-2 DFD of Process 8.5 — Survival Feature Generation.</w:t>
      </w:r>
      <w:bookmarkEnd w:id="100"/>
      <w:bookmarkEnd w:id="101"/>
    </w:p>
    <w:p w14:paraId="0A000104" w14:textId="77777777" w:rsidR="00000000" w:rsidRDefault="00000000">
      <w:pPr>
        <w:pStyle w:val="ThesisParagraphText"/>
      </w:pPr>
      <w:r>
        <w:t xml:space="preserve">The diagram decomposes Process 8.5 into five sequential sub-processes. Sub-process 8.5.1 fits a CoxnetSurvivalAnalysis model using the best hyperparameters from Process 7.5 exclusively on the training partition of the survival analysis stream, preventing data leakage from test-set survival patterns. Sub-process 8.5.2 applies the fitted model to both partitions and computes, at each of the nine optimal time points, the survival probability S(t): the estimated likelihood that an invoice remains unpaid beyond time t. Sub-process 8.5.3 computes the cumulative hazard H(t) at each of the nine time points: the </w:t>
        <w:lastRenderedPageBreak/>
        <w:t>accumulated probability of settlement up to and including time t. Sub-process 8.5.4 computes two scalar summaries per sample: the risk score, derived from the exponentiated log-hazard ratio, and the expected survival time E[T]; a safeguard clips the linear predictor to the range [-10, +10] before exponentiation to prevent numerical overflow. Sub-process 8.5.5 concatenates the original features with the 18 time-varying features (9 x S(t) + 9 x H(t)) and the two scalar features (risk score, E[T]) to produce the enhanced dataset alongside the unmodified baseline dataset; both datasets are forwarded to Process 8.0 (Model Building) to enable a direct paired comparison between baseline and survival-augmented classification performance.</w:t>
      </w:r>
    </w:p>
    <w:p w14:paraId="1A000046" w14:textId="77777777" w:rsidR="00000000" w:rsidRDefault="00000000">
      <w:pPr>
        <w:pStyle w:val="ThesisParagraphText"/>
      </w:pPr>
      <w:r>
        <w:t>Figure 3.8 presents the Level-2 DFD of Process 8.0 (Model Building), showing the three sub-process categories: base classifier training (8.1), ordinal classifier training (8.2), and two-stage ensemble classifier training (8.3).</w:t>
      </w:r>
    </w:p>
    <w:p w14:paraId="1A000047" w14:textId="77777777" w:rsidR="00000000" w:rsidRDefault="00000000">
      <w:pPr>
        <w:pStyle w:val="NoSpacing"/>
        <w:jc w:val="center"/>
      </w:pPr>
      <w:r>
        <w:rPr>
          <w:noProof/>
        </w:rPr>
        <w:lastRenderedPageBreak/>
        <w:drawing>
          <wp:inline distT="0" distB="0" distL="0" distR="0" wp14:anchorId="1A000047" wp14:editId="1A000047">
            <wp:extent cx="5029200" cy="4660035"/>
            <wp:effectExtent l="0" t="0" r="0" b="0"/>
            <wp:docPr id="6000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12" name=""/>
                    <pic:cNvPicPr/>
                  </pic:nvPicPr>
                  <pic:blipFill>
                    <a:blip r:embed="rId25"/>
                    <a:stretch>
                      <a:fillRect/>
                    </a:stretch>
                  </pic:blipFill>
                  <pic:spPr>
                    <a:xfrm>
                      <a:off x="0" y="0"/>
                      <a:ext cx="5029200" cy="4660035"/>
                    </a:xfrm>
                    <a:prstGeom prst="rect">
                      <a:avLst/>
                    </a:prstGeom>
                  </pic:spPr>
                </pic:pic>
              </a:graphicData>
            </a:graphic>
          </wp:inline>
        </w:drawing>
      </w:r>
    </w:p>
    <w:p w14:paraId="1A000048" w14:textId="7E1E2735" w:rsidR="00000000" w:rsidRDefault="00000000">
      <w:pPr>
        <w:pStyle w:val="Caption"/>
        <w:ind w:firstLine="0"/>
      </w:pPr>
      <w:bookmarkStart w:id="102" w:name="_NewFig204"/>
      <w:bookmarkStart w:id="103" w:name="_Toc233585321"/>
      <w:r>
        <w:t>Figure 3.</w:t>
        <w:fldChar w:fldCharType="begin"/>
        <w:instrText xml:space="preserve"> SEQ Figure \* ARABIC \s 1 </w:instrText>
        <w:fldChar w:fldCharType="separate"/>
      </w:r>
      <w:r>
        <w:rPr>
          <w:noProof/>
        </w:rPr>
        <w:t>8</w:t>
      </w:r>
      <w:r>
        <w:fldChar w:fldCharType="end"/>
        <w:t>: Level-2 DFD of Process 8.0 — Model Building.</w:t>
      </w:r>
      <w:bookmarkEnd w:id="102"/>
      <w:bookmarkEnd w:id="103"/>
    </w:p>
    <w:p w14:paraId="0A000105" w14:textId="77777777" w:rsidR="00000000" w:rsidRDefault="00000000">
      <w:pPr>
        <w:pStyle w:val="ThesisParagraphText"/>
      </w:pPr>
      <w:r>
        <w:t xml:space="preserve">The diagram decomposes Process 8.0 into three concurrent sub-processes that collectively train fifteen classifier variants. Sub-process 8.1 trains six base classifiers — AdaBoost, Random Forest, XGBoost, Decision Tree, Gaussian Naive Bayes, and K-Nearest Neighbours — on both the baseline and enhanced feature sets. Sub-process 8.2 trains three ordinal classifiers using the Frank and Hall (2001) K-1 binary decomposition: for the four payment outcome classes, three binary classifiers are trained to estimate P(y &gt; 0), P(y &gt; 1), and P(y &gt; 2) respectively; class probabilities are recovered as sequential differences and renormalised after clipping negative values to zero. Only tree-based estimators are used for ordinal classifiers because the feature selection step (Process 9.0) </w:t>
        <w:lastRenderedPageBreak/>
        <w:t>relies on mean decrease in impurity (MDI) importance scores, which require the estimator to expose a feature_importances_ attribute unavailable in K-Nearest Neighbours and Gaussian Naive Bayes. Sub-process 8.3 trains six two-stage ensemble classifiers: each pipeline first trains a binary Stage 1 model to classify an invoice as on-time versus late, then trains a multiclass Stage 2 model on the late-only subset to discriminate the 30-day, 60-day, and 90-day brackets; final class probabilities are computed as P(class k, k &gt; 0) = P(late) x P(class k | late). All fifteen classifiers are trained in parallel using scikit-learn’s joblib backend (n_jobs=-1), and their evaluation metrics and feature importance scores are written to the results database for aggregation in Process 12.0.</w:t>
      </w:r>
    </w:p>
    <w:p w14:paraId="10F6A5E9" w14:textId="77777777" w:rsidR="00814EAD" w:rsidRDefault="000E563A" w:rsidP="000E563A">
      <w:pPr>
        <w:rPr>
          <w:noProof/>
        </w:rPr>
      </w:pPr>
      <w:r>
        <w:rPr>
          <w:noProof/>
        </w:rPr>
        <w:t>Grid search hyperparameter tuning was employed to identify the optimal model configurations. The specific parameter grids applied to each model type and family are presented in Tables 3.4, 3.5, and 3.6 found on the next pages, corresponding to the base, ordinal, and multi-step classifiers, respectively.</w:t>
        <w:br w:type="page"/>
      </w:r>
    </w:p>
    <w:p w14:paraId="614797A9" w14:textId="77777777" w:rsidR="00856161" w:rsidRDefault="00750A62">
      <w:pPr>
        <w:pStyle w:val="ThesisParagraphText"/>
      </w:pPr>
      <w:r>
        <w:lastRenderedPageBreak/>
        <w:t>The following table presents the hyperparameter grid searched for the base classifier configurations.</w:t>
      </w:r>
    </w:p>
    <w:p w14:paraId="12921B32" w14:textId="3FE727B8" w:rsidR="000E6D28" w:rsidRDefault="007C44FB" w:rsidP="008434ED">
      <w:pPr>
        <w:pStyle w:val="Caption"/>
        <w:spacing w:after="360" w:line="240" w:lineRule="auto"/>
        <w:ind w:firstLine="0"/>
      </w:pPr>
      <w:bookmarkStart w:id="104" w:name="_Toc233585355"/>
      <w:r>
        <w:t>Table 3.</w:t>
      </w:r>
      <w:r>
        <w:rPr>
          <w:noProof/>
        </w:rPr>
        <w:fldChar w:fldCharType="begin"/>
        <w:instrText xml:space="preserve"> SEQ Table \* ARABIC </w:instrText>
        <w:fldChar w:fldCharType="separate"/>
        <w:t>4</w:t>
        <w:fldChar w:fldCharType="end"/>
      </w:r>
      <w:r>
        <w:t>.  Hyperparameters used (Base Models).</w:t>
      </w:r>
      <w:bookmarkEnd w:id="104"/>
    </w:p>
    <w:tbl>
      <w:tblPr>
        <w:tblStyle w:val="TableGridLight"/>
        <w:tblW w:w="9360" w:type="dxa"/>
        <w:tblLook w:val="0000" w:firstRow="0" w:lastRow="0" w:firstColumn="0" w:lastColumn="0" w:noHBand="0" w:noVBand="0"/>
      </w:tblPr>
      <w:tblGrid>
        <w:gridCol w:w="1345"/>
        <w:gridCol w:w="3982"/>
        <w:gridCol w:w="2389"/>
        <w:gridCol w:w="1644"/>
      </w:tblGrid>
      <w:tr w:rsidR="000E6D28" w:rsidRPr="000E6D28" w14:paraId="2E71C3E2" w14:textId="77777777" w:rsidTr="00A03A8D">
        <w:trPr>
          <w:trHeight w:val="288"/>
        </w:trPr>
        <w:tc>
          <w:tcPr>
            <w:tcW w:w="1345" w:type="dxa"/>
            <w:vAlign w:val="center"/>
          </w:tcPr>
          <w:p w14:paraId="0A29F6C1" w14:textId="77777777" w:rsidR="000E6D28" w:rsidRPr="000E6D28" w:rsidRDefault="000E6D28" w:rsidP="002A08AD">
            <w:pPr>
              <w:spacing w:before="120" w:after="120" w:line="240" w:lineRule="auto"/>
              <w:ind w:firstLine="0"/>
              <w:jc w:val="center"/>
            </w:pPr>
            <w:r>
              <w:rPr>
                <w:rFonts w:ascii="Arial" w:eastAsia="Arial" w:hAnsi="Arial" w:cs="Arial"/>
                <w:b/>
                <w:bCs/>
                <w:sz w:val="19"/>
                <w:szCs w:val="19"/>
              </w:rPr>
              <w:t>Model</w:t>
            </w:r>
          </w:p>
        </w:tc>
        <w:tc>
          <w:tcPr>
            <w:tcW w:w="3982" w:type="dxa"/>
            <w:vAlign w:val="center"/>
          </w:tcPr>
          <w:p w14:paraId="06EBF653" w14:textId="77777777" w:rsidR="000E6D28" w:rsidRPr="000E6D28" w:rsidRDefault="000E6D28" w:rsidP="002A08AD">
            <w:pPr>
              <w:spacing w:before="120" w:after="120" w:line="240" w:lineRule="auto"/>
              <w:ind w:firstLine="0"/>
              <w:jc w:val="center"/>
            </w:pPr>
            <w:r>
              <w:rPr>
                <w:rFonts w:ascii="Arial" w:eastAsia="Arial" w:hAnsi="Arial" w:cs="Arial"/>
                <w:b/>
                <w:bCs/>
                <w:sz w:val="19"/>
                <w:szCs w:val="19"/>
              </w:rPr>
              <w:t>Tuned Parameters</w:t>
            </w:r>
          </w:p>
        </w:tc>
        <w:tc>
          <w:tcPr>
            <w:tcW w:w="2389" w:type="dxa"/>
            <w:vAlign w:val="center"/>
          </w:tcPr>
          <w:p w14:paraId="25558813" w14:textId="77777777" w:rsidR="000E6D28" w:rsidRPr="000E6D28" w:rsidRDefault="000E6D28" w:rsidP="002A08AD">
            <w:pPr>
              <w:spacing w:before="120" w:after="120" w:line="240" w:lineRule="auto"/>
              <w:ind w:firstLine="0"/>
              <w:jc w:val="center"/>
            </w:pPr>
            <w:r>
              <w:rPr>
                <w:rFonts w:ascii="Arial" w:eastAsia="Arial" w:hAnsi="Arial" w:cs="Arial"/>
                <w:b/>
                <w:bCs/>
                <w:sz w:val="19"/>
                <w:szCs w:val="19"/>
              </w:rPr>
              <w:t>Fixed Parameters</w:t>
            </w:r>
          </w:p>
        </w:tc>
        <w:tc>
          <w:tcPr>
            <w:tcW w:w="1644" w:type="dxa"/>
            <w:vAlign w:val="center"/>
          </w:tcPr>
          <w:p w14:paraId="5D520409" w14:textId="77777777" w:rsidR="000E6D28" w:rsidRPr="000E6D28" w:rsidRDefault="000E6D28" w:rsidP="002A08AD">
            <w:pPr>
              <w:spacing w:before="120" w:after="120" w:line="240" w:lineRule="auto"/>
              <w:ind w:firstLine="0"/>
              <w:jc w:val="center"/>
            </w:pPr>
            <w:r>
              <w:rPr>
                <w:rFonts w:ascii="Arial" w:eastAsia="Arial" w:hAnsi="Arial" w:cs="Arial"/>
                <w:b/>
                <w:bCs/>
                <w:sz w:val="19"/>
                <w:szCs w:val="19"/>
              </w:rPr>
              <w:t>Configs</w:t>
            </w:r>
          </w:p>
        </w:tc>
      </w:tr>
      <w:tr w:rsidR="000E6D28" w14:paraId="4D5F554A" w14:textId="77777777" w:rsidTr="00A03A8D">
        <w:trPr>
          <w:trHeight w:val="288"/>
        </w:trPr>
        <w:tc>
          <w:tcPr>
            <w:tcW w:w="1345" w:type="dxa"/>
            <w:vAlign w:val="center"/>
          </w:tcPr>
          <w:p w14:paraId="5D747D2E" w14:textId="77777777" w:rsidR="000E6D28" w:rsidRPr="00924FF4" w:rsidRDefault="000E6D28" w:rsidP="002A08AD">
            <w:pPr>
              <w:spacing w:before="120" w:after="120" w:line="240" w:lineRule="auto"/>
              <w:ind w:firstLine="0"/>
              <w:jc w:val="left"/>
              <w:rPr>
                <w:b/>
                <w:bCs/>
              </w:rPr>
            </w:pPr>
            <w:r>
              <w:rPr>
                <w:rFonts w:ascii="Arial" w:eastAsia="Arial" w:hAnsi="Arial" w:cs="Arial"/>
                <w:b/>
                <w:bCs/>
                <w:color w:val="000000"/>
                <w:sz w:val="18"/>
                <w:szCs w:val="18"/>
              </w:rPr>
              <w:t>AdaBoost</w:t>
            </w:r>
          </w:p>
        </w:tc>
        <w:tc>
          <w:tcPr>
            <w:tcW w:w="3982" w:type="dxa"/>
            <w:vAlign w:val="center"/>
          </w:tcPr>
          <w:p w14:paraId="58F343DF" w14:textId="77777777" w:rsidR="007315B4" w:rsidRDefault="000E6D28"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learning_rate: </w:t>
              <w:tab/>
              <w:tab/>
              <w:t>{0.01, 0.1, 0.5, 1.0}</w:t>
            </w:r>
          </w:p>
          <w:p w14:paraId="077FAD03" w14:textId="77777777" w:rsidR="000E6D28" w:rsidRDefault="000E6D28" w:rsidP="002A08AD">
            <w:pPr>
              <w:spacing w:before="120" w:after="120" w:line="240" w:lineRule="auto"/>
              <w:ind w:firstLine="0"/>
              <w:jc w:val="left"/>
            </w:pPr>
            <w:r>
              <w:rPr>
                <w:rFonts w:ascii="Arial" w:eastAsia="Arial" w:hAnsi="Arial" w:cs="Arial"/>
                <w:color w:val="000000"/>
                <w:sz w:val="18"/>
                <w:szCs w:val="18"/>
              </w:rPr>
              <w:t xml:space="preserve">n_estimators: </w:t>
              <w:tab/>
              <w:tab/>
              <w:t>{50, 150}</w:t>
            </w:r>
          </w:p>
        </w:tc>
        <w:tc>
          <w:tcPr>
            <w:tcW w:w="2389" w:type="dxa"/>
            <w:vAlign w:val="center"/>
          </w:tcPr>
          <w:p w14:paraId="481D0E40" w14:textId="77777777" w:rsidR="000E6D28" w:rsidRDefault="000E6D28" w:rsidP="002A08AD">
            <w:pPr>
              <w:spacing w:before="120" w:after="120" w:line="240" w:lineRule="auto"/>
              <w:ind w:firstLine="0"/>
              <w:jc w:val="left"/>
            </w:pPr>
            <w:r>
              <w:rPr>
                <w:rFonts w:ascii="Arial" w:eastAsia="Arial" w:hAnsi="Arial" w:cs="Arial"/>
                <w:color w:val="666666"/>
                <w:sz w:val="18"/>
                <w:szCs w:val="18"/>
              </w:rPr>
              <w:t>algorithm: SAMME.R</w:t>
            </w:r>
          </w:p>
        </w:tc>
        <w:tc>
          <w:tcPr>
            <w:tcW w:w="1644" w:type="dxa"/>
            <w:vAlign w:val="center"/>
          </w:tcPr>
          <w:p w14:paraId="1DB89601"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7</w:t>
            </w:r>
          </w:p>
        </w:tc>
      </w:tr>
      <w:tr w:rsidR="000E6D28" w14:paraId="4F72C6FD" w14:textId="77777777" w:rsidTr="00A03A8D">
        <w:trPr>
          <w:trHeight w:val="288"/>
        </w:trPr>
        <w:tc>
          <w:tcPr>
            <w:tcW w:w="1345" w:type="dxa"/>
            <w:vAlign w:val="center"/>
          </w:tcPr>
          <w:p w14:paraId="5D57E92C" w14:textId="77777777" w:rsidR="000E6D28" w:rsidRPr="00924FF4" w:rsidRDefault="000E6D28" w:rsidP="002A08AD">
            <w:pPr>
              <w:spacing w:before="120" w:after="120" w:line="240" w:lineRule="auto"/>
              <w:ind w:firstLine="0"/>
              <w:jc w:val="left"/>
              <w:rPr>
                <w:b/>
                <w:bCs/>
              </w:rPr>
            </w:pPr>
            <w:r>
              <w:rPr>
                <w:rFonts w:ascii="Arial" w:eastAsia="Arial" w:hAnsi="Arial" w:cs="Arial"/>
                <w:b/>
                <w:bCs/>
                <w:color w:val="000000"/>
                <w:sz w:val="18"/>
                <w:szCs w:val="18"/>
              </w:rPr>
              <w:t>Decision Tree</w:t>
            </w:r>
          </w:p>
        </w:tc>
        <w:tc>
          <w:tcPr>
            <w:tcW w:w="3982" w:type="dxa"/>
            <w:vAlign w:val="center"/>
          </w:tcPr>
          <w:p w14:paraId="10992F67" w14:textId="77777777" w:rsidR="000E6D28" w:rsidRDefault="000E6D28"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max_depth: </w:t>
              <w:tab/>
              <w:tab/>
              <w:t>{10, 20}</w:t>
            </w:r>
          </w:p>
          <w:p w14:paraId="5FBC43E7" w14:textId="77777777" w:rsidR="000E6D28" w:rsidRDefault="000E6D28" w:rsidP="002A08AD">
            <w:pPr>
              <w:spacing w:before="120" w:after="120" w:line="240" w:lineRule="auto"/>
              <w:ind w:firstLine="0"/>
              <w:jc w:val="left"/>
            </w:pPr>
            <w:r>
              <w:rPr>
                <w:rFonts w:ascii="Arial" w:eastAsia="Arial" w:hAnsi="Arial" w:cs="Arial"/>
                <w:color w:val="000000"/>
                <w:sz w:val="18"/>
                <w:szCs w:val="18"/>
              </w:rPr>
              <w:t>min_samples_leaf:</w:t>
              <w:tab/>
              <w:t>{1, 3, 5}</w:t>
            </w:r>
          </w:p>
        </w:tc>
        <w:tc>
          <w:tcPr>
            <w:tcW w:w="2389" w:type="dxa"/>
            <w:vAlign w:val="center"/>
          </w:tcPr>
          <w:p w14:paraId="5485EBAE" w14:textId="77777777" w:rsidR="000E6D28" w:rsidRDefault="000E6D28" w:rsidP="002A08AD">
            <w:pPr>
              <w:spacing w:before="120" w:after="120" w:line="240" w:lineRule="auto"/>
              <w:ind w:firstLine="0"/>
              <w:jc w:val="left"/>
            </w:pPr>
            <w:r>
              <w:rPr>
                <w:rFonts w:ascii="Arial" w:eastAsia="Arial" w:hAnsi="Arial" w:cs="Arial"/>
                <w:color w:val="666666"/>
                <w:sz w:val="18"/>
                <w:szCs w:val="18"/>
              </w:rPr>
              <w:t>criterion: gini</w:t>
            </w:r>
          </w:p>
        </w:tc>
        <w:tc>
          <w:tcPr>
            <w:tcW w:w="1644" w:type="dxa"/>
            <w:vAlign w:val="center"/>
          </w:tcPr>
          <w:p w14:paraId="30AF483B"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6</w:t>
            </w:r>
          </w:p>
        </w:tc>
      </w:tr>
      <w:tr w:rsidR="000E6D28" w14:paraId="361289DA" w14:textId="77777777" w:rsidTr="00A03A8D">
        <w:trPr>
          <w:trHeight w:val="288"/>
        </w:trPr>
        <w:tc>
          <w:tcPr>
            <w:tcW w:w="1345" w:type="dxa"/>
            <w:vAlign w:val="center"/>
          </w:tcPr>
          <w:p w14:paraId="0148C3A9" w14:textId="77777777" w:rsidR="000E6D28" w:rsidRPr="00924FF4" w:rsidRDefault="000E6D28" w:rsidP="002A08AD">
            <w:pPr>
              <w:spacing w:before="120" w:after="120" w:line="240" w:lineRule="auto"/>
              <w:ind w:firstLine="0"/>
              <w:jc w:val="left"/>
              <w:rPr>
                <w:b/>
                <w:bCs/>
              </w:rPr>
            </w:pPr>
            <w:r>
              <w:rPr>
                <w:rFonts w:ascii="Arial" w:eastAsia="Arial" w:hAnsi="Arial" w:cs="Arial"/>
                <w:b/>
                <w:bCs/>
                <w:color w:val="000000"/>
                <w:sz w:val="18"/>
                <w:szCs w:val="18"/>
              </w:rPr>
              <w:t>Gaussian Naive Bayes</w:t>
            </w:r>
          </w:p>
        </w:tc>
        <w:tc>
          <w:tcPr>
            <w:tcW w:w="3982" w:type="dxa"/>
            <w:vAlign w:val="center"/>
          </w:tcPr>
          <w:p w14:paraId="5F86E583" w14:textId="77777777" w:rsidR="000E6D28" w:rsidRDefault="000E6D28" w:rsidP="002A08AD">
            <w:pPr>
              <w:spacing w:before="120" w:after="120" w:line="240" w:lineRule="auto"/>
              <w:ind w:firstLine="0"/>
              <w:jc w:val="left"/>
            </w:pPr>
            <w:r>
              <w:rPr>
                <w:rFonts w:ascii="Arial" w:eastAsia="Arial" w:hAnsi="Arial" w:cs="Arial"/>
                <w:color w:val="000000"/>
                <w:sz w:val="18"/>
                <w:szCs w:val="18"/>
              </w:rPr>
              <w:t xml:space="preserve">var_smoothing: </w:t>
              <w:tab/>
              <w:t xml:space="preserve">{1e-9, 1e-8, 1e-7, 1e-6, </w:t>
              <w:tab/>
              <w:tab/>
              <w:tab/>
              <w:t>1e-5, 1e-4, 1e-3, 1e-2}</w:t>
            </w:r>
          </w:p>
        </w:tc>
        <w:tc>
          <w:tcPr>
            <w:tcW w:w="2389" w:type="dxa"/>
            <w:vAlign w:val="center"/>
          </w:tcPr>
          <w:p w14:paraId="551FB87E" w14:textId="77777777" w:rsidR="000E6D28" w:rsidRDefault="000E6D28" w:rsidP="002A08AD">
            <w:pPr>
              <w:spacing w:before="120" w:after="120" w:line="240" w:lineRule="auto"/>
              <w:jc w:val="left"/>
            </w:pPr>
            <w:r>
              <w:rPr>
                <w:rFonts w:ascii="Arial" w:eastAsia="Arial" w:hAnsi="Arial" w:cs="Arial"/>
                <w:color w:val="666666"/>
                <w:sz w:val="18"/>
                <w:szCs w:val="18"/>
              </w:rPr>
              <w:t>N/A</w:t>
            </w:r>
          </w:p>
        </w:tc>
        <w:tc>
          <w:tcPr>
            <w:tcW w:w="1644" w:type="dxa"/>
            <w:vAlign w:val="center"/>
          </w:tcPr>
          <w:p w14:paraId="3CF5A047"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8</w:t>
            </w:r>
          </w:p>
        </w:tc>
      </w:tr>
      <w:tr w:rsidR="000E6D28" w14:paraId="3CB9B4D8" w14:textId="77777777" w:rsidTr="00A03A8D">
        <w:trPr>
          <w:trHeight w:val="288"/>
        </w:trPr>
        <w:tc>
          <w:tcPr>
            <w:tcW w:w="1345" w:type="dxa"/>
            <w:vAlign w:val="center"/>
          </w:tcPr>
          <w:p w14:paraId="003F43AB" w14:textId="77777777" w:rsidR="000E6D28" w:rsidRPr="00924FF4" w:rsidRDefault="000E6D28" w:rsidP="002A08AD">
            <w:pPr>
              <w:spacing w:before="120" w:after="120" w:line="240" w:lineRule="auto"/>
              <w:ind w:firstLine="0"/>
              <w:jc w:val="left"/>
              <w:rPr>
                <w:b/>
                <w:bCs/>
              </w:rPr>
            </w:pPr>
            <w:r>
              <w:rPr>
                <w:rFonts w:ascii="Arial" w:eastAsia="Arial" w:hAnsi="Arial" w:cs="Arial"/>
                <w:b/>
                <w:bCs/>
                <w:color w:val="000000"/>
                <w:sz w:val="18"/>
                <w:szCs w:val="18"/>
              </w:rPr>
              <w:t>KNN</w:t>
            </w:r>
          </w:p>
        </w:tc>
        <w:tc>
          <w:tcPr>
            <w:tcW w:w="3982" w:type="dxa"/>
            <w:vAlign w:val="center"/>
          </w:tcPr>
          <w:p w14:paraId="1613B7F0" w14:textId="77777777" w:rsidR="000E6D28" w:rsidRDefault="000E6D28"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n_neighbors: </w:t>
              <w:tab/>
              <w:tab/>
              <w:t>{3, 5, 7}</w:t>
            </w:r>
          </w:p>
          <w:p w14:paraId="0D842A3D" w14:textId="77777777" w:rsidR="000E6D28" w:rsidRDefault="000E6D28" w:rsidP="002A08AD">
            <w:pPr>
              <w:spacing w:before="120" w:after="120" w:line="240" w:lineRule="auto"/>
              <w:ind w:firstLine="0"/>
              <w:jc w:val="left"/>
            </w:pPr>
            <w:r>
              <w:rPr>
                <w:rFonts w:ascii="Arial" w:eastAsia="Arial" w:hAnsi="Arial" w:cs="Arial"/>
                <w:color w:val="000000"/>
                <w:sz w:val="18"/>
                <w:szCs w:val="18"/>
              </w:rPr>
              <w:t xml:space="preserve">weights: </w:t>
              <w:tab/>
              <w:tab/>
              <w:tab/>
              <w:t>{uniform, distance}</w:t>
            </w:r>
          </w:p>
        </w:tc>
        <w:tc>
          <w:tcPr>
            <w:tcW w:w="2389" w:type="dxa"/>
            <w:vAlign w:val="center"/>
          </w:tcPr>
          <w:p w14:paraId="225522E9" w14:textId="77777777" w:rsidR="000E6D28" w:rsidRDefault="000E6D28" w:rsidP="002A08AD">
            <w:pPr>
              <w:spacing w:before="120" w:after="120" w:line="240" w:lineRule="auto"/>
              <w:ind w:firstLine="0"/>
              <w:jc w:val="left"/>
            </w:pPr>
            <w:r>
              <w:rPr>
                <w:rFonts w:ascii="Arial" w:eastAsia="Arial" w:hAnsi="Arial" w:cs="Arial"/>
                <w:color w:val="666666"/>
                <w:sz w:val="18"/>
                <w:szCs w:val="18"/>
              </w:rPr>
              <w:t>metric: minkowski</w:t>
            </w:r>
          </w:p>
        </w:tc>
        <w:tc>
          <w:tcPr>
            <w:tcW w:w="1644" w:type="dxa"/>
            <w:vAlign w:val="center"/>
          </w:tcPr>
          <w:p w14:paraId="37290BE2"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6</w:t>
            </w:r>
          </w:p>
        </w:tc>
      </w:tr>
      <w:tr w:rsidR="000E6D28" w14:paraId="0069A455" w14:textId="77777777" w:rsidTr="00A03A8D">
        <w:trPr>
          <w:trHeight w:val="288"/>
        </w:trPr>
        <w:tc>
          <w:tcPr>
            <w:tcW w:w="1345" w:type="dxa"/>
            <w:vAlign w:val="center"/>
          </w:tcPr>
          <w:p w14:paraId="3B5B90D8" w14:textId="77777777" w:rsidR="000E6D28" w:rsidRPr="00924FF4" w:rsidRDefault="000E6D28" w:rsidP="002A08AD">
            <w:pPr>
              <w:spacing w:before="120" w:after="120" w:line="240" w:lineRule="auto"/>
              <w:ind w:firstLine="0"/>
              <w:jc w:val="left"/>
              <w:rPr>
                <w:b/>
                <w:bCs/>
              </w:rPr>
            </w:pPr>
            <w:r>
              <w:rPr>
                <w:rFonts w:ascii="Arial" w:eastAsia="Arial" w:hAnsi="Arial" w:cs="Arial"/>
                <w:b/>
                <w:bCs/>
                <w:color w:val="000000"/>
                <w:sz w:val="18"/>
                <w:szCs w:val="18"/>
              </w:rPr>
              <w:t>Random Forest</w:t>
            </w:r>
          </w:p>
        </w:tc>
        <w:tc>
          <w:tcPr>
            <w:tcW w:w="3982" w:type="dxa"/>
            <w:vAlign w:val="center"/>
          </w:tcPr>
          <w:p w14:paraId="42D08828" w14:textId="77777777" w:rsidR="000E6D28" w:rsidRDefault="000E6D28"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max_depth: </w:t>
              <w:tab/>
              <w:tab/>
              <w:t>{10, 20, 30}</w:t>
            </w:r>
          </w:p>
          <w:p w14:paraId="550450A1" w14:textId="77777777" w:rsidR="000E6D28" w:rsidRDefault="000E6D28"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min_samples_leaf:</w:t>
              <w:tab/>
              <w:t>{1, 3, 5}</w:t>
            </w:r>
          </w:p>
          <w:p w14:paraId="2196121F" w14:textId="77777777" w:rsidR="000E6D28" w:rsidRDefault="000E6D28" w:rsidP="002A08AD">
            <w:pPr>
              <w:spacing w:before="120" w:after="120" w:line="240" w:lineRule="auto"/>
              <w:ind w:firstLine="0"/>
              <w:jc w:val="left"/>
            </w:pPr>
            <w:r>
              <w:rPr>
                <w:rFonts w:ascii="Arial" w:eastAsia="Arial" w:hAnsi="Arial" w:cs="Arial"/>
                <w:color w:val="000000"/>
                <w:sz w:val="18"/>
                <w:szCs w:val="18"/>
              </w:rPr>
              <w:t xml:space="preserve">n_estimators: </w:t>
              <w:tab/>
              <w:tab/>
              <w:t>{100, 200, 300}</w:t>
            </w:r>
          </w:p>
        </w:tc>
        <w:tc>
          <w:tcPr>
            <w:tcW w:w="2389" w:type="dxa"/>
            <w:vAlign w:val="center"/>
          </w:tcPr>
          <w:p w14:paraId="1541FCBE" w14:textId="77777777" w:rsidR="000E6D28" w:rsidRDefault="000E6D28" w:rsidP="002A08AD">
            <w:pPr>
              <w:spacing w:before="120" w:after="120" w:line="240" w:lineRule="auto"/>
              <w:ind w:firstLine="0"/>
              <w:jc w:val="left"/>
            </w:pPr>
            <w:r>
              <w:rPr>
                <w:rFonts w:ascii="Arial" w:eastAsia="Arial" w:hAnsi="Arial" w:cs="Arial"/>
                <w:color w:val="666666"/>
                <w:sz w:val="18"/>
                <w:szCs w:val="18"/>
              </w:rPr>
              <w:t>criterion: gini</w:t>
            </w:r>
          </w:p>
        </w:tc>
        <w:tc>
          <w:tcPr>
            <w:tcW w:w="1644" w:type="dxa"/>
            <w:vAlign w:val="center"/>
          </w:tcPr>
          <w:p w14:paraId="1F89B175"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21</w:t>
            </w:r>
          </w:p>
        </w:tc>
      </w:tr>
      <w:tr w:rsidR="000E6D28" w14:paraId="7CF6E669" w14:textId="77777777" w:rsidTr="00A03A8D">
        <w:trPr>
          <w:trHeight w:val="288"/>
        </w:trPr>
        <w:tc>
          <w:tcPr>
            <w:tcW w:w="1345" w:type="dxa"/>
            <w:vAlign w:val="center"/>
          </w:tcPr>
          <w:p w14:paraId="6FD207A6" w14:textId="77777777" w:rsidR="000E6D28" w:rsidRPr="00924FF4" w:rsidRDefault="000E6D28" w:rsidP="002A08AD">
            <w:pPr>
              <w:spacing w:before="120" w:after="120" w:line="240" w:lineRule="auto"/>
              <w:ind w:firstLine="0"/>
              <w:jc w:val="left"/>
              <w:rPr>
                <w:b/>
                <w:bCs/>
              </w:rPr>
            </w:pPr>
            <w:r>
              <w:rPr>
                <w:rFonts w:ascii="Arial" w:eastAsia="Arial" w:hAnsi="Arial" w:cs="Arial"/>
                <w:b/>
                <w:bCs/>
                <w:color w:val="000000"/>
                <w:sz w:val="18"/>
                <w:szCs w:val="18"/>
              </w:rPr>
              <w:t>XGBoost</w:t>
            </w:r>
          </w:p>
        </w:tc>
        <w:tc>
          <w:tcPr>
            <w:tcW w:w="3982" w:type="dxa"/>
            <w:vAlign w:val="center"/>
          </w:tcPr>
          <w:p w14:paraId="677C630A" w14:textId="77777777" w:rsidR="000E6D28" w:rsidRDefault="000E6D28"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max_depth:              </w:t>
              <w:tab/>
              <w:t>{3, 5, 6}</w:t>
            </w:r>
          </w:p>
          <w:p w14:paraId="29F068E6" w14:textId="77777777" w:rsidR="000E6D28" w:rsidRDefault="000E6D28" w:rsidP="007315B4">
            <w:pPr>
              <w:tabs>
                <w:tab w:val="left" w:pos="1599"/>
              </w:tabs>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learning_rate:              </w:t>
              <w:tab/>
              <w:t>{0.01, 0.05}</w:t>
            </w:r>
          </w:p>
          <w:p w14:paraId="06F51979" w14:textId="77777777" w:rsidR="000E6D28" w:rsidRDefault="000E6D28" w:rsidP="007315B4">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n_estimators:              </w:t>
              <w:tab/>
              <w:t>{300, 500}</w:t>
            </w:r>
          </w:p>
          <w:p w14:paraId="03DEE93D" w14:textId="77777777" w:rsidR="000E6D28" w:rsidRDefault="000E6D28"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subsample:               </w:t>
              <w:tab/>
              <w:t>{0.7, 0.8}</w:t>
            </w:r>
          </w:p>
          <w:p w14:paraId="19A67811" w14:textId="77777777" w:rsidR="000E6D28" w:rsidRDefault="000E6D28" w:rsidP="002A08AD">
            <w:pPr>
              <w:spacing w:before="120" w:after="120" w:line="240" w:lineRule="auto"/>
              <w:ind w:firstLine="0"/>
              <w:jc w:val="left"/>
            </w:pPr>
            <w:r>
              <w:rPr>
                <w:rFonts w:ascii="Arial" w:eastAsia="Arial" w:hAnsi="Arial" w:cs="Arial"/>
                <w:color w:val="000000"/>
                <w:sz w:val="18"/>
                <w:szCs w:val="18"/>
              </w:rPr>
              <w:t xml:space="preserve">colsample_bytree:      </w:t>
              <w:tab/>
              <w:t>{0.7, 0.8}</w:t>
            </w:r>
          </w:p>
        </w:tc>
        <w:tc>
          <w:tcPr>
            <w:tcW w:w="2389" w:type="dxa"/>
            <w:vAlign w:val="center"/>
          </w:tcPr>
          <w:p w14:paraId="2258F2C7" w14:textId="77777777" w:rsidR="000E6D28" w:rsidRDefault="000E6D28" w:rsidP="002A08AD">
            <w:pPr>
              <w:spacing w:before="120" w:after="120" w:line="240" w:lineRule="auto"/>
              <w:ind w:firstLine="0"/>
              <w:jc w:val="left"/>
            </w:pPr>
            <w:r>
              <w:rPr>
                <w:rFonts w:ascii="Arial" w:eastAsia="Arial" w:hAnsi="Arial" w:cs="Arial"/>
                <w:color w:val="666666"/>
                <w:sz w:val="18"/>
                <w:szCs w:val="18"/>
              </w:rPr>
              <w:t>min_child_weight: 3, reg_alpha: 0.0, reg_lambda: 1.0</w:t>
            </w:r>
          </w:p>
        </w:tc>
        <w:tc>
          <w:tcPr>
            <w:tcW w:w="1644" w:type="dxa"/>
            <w:vAlign w:val="center"/>
          </w:tcPr>
          <w:p w14:paraId="49668486" w14:textId="77777777" w:rsidR="000E6D28" w:rsidRDefault="000E6D28" w:rsidP="002A08AD">
            <w:pPr>
              <w:spacing w:before="120" w:after="120" w:line="240" w:lineRule="auto"/>
              <w:ind w:firstLine="0"/>
              <w:jc w:val="center"/>
            </w:pPr>
            <w:r>
              <w:rPr>
                <w:rFonts w:ascii="Arial" w:eastAsia="Arial" w:hAnsi="Arial" w:cs="Arial"/>
                <w:b/>
                <w:bCs/>
                <w:color w:val="000000"/>
                <w:sz w:val="18"/>
                <w:szCs w:val="18"/>
              </w:rPr>
              <w:t>11</w:t>
            </w:r>
          </w:p>
        </w:tc>
      </w:tr>
      <w:tr w:rsidR="003E5371" w14:paraId="53098DAC" w14:textId="77777777" w:rsidTr="00A03A8D">
        <w:trPr>
          <w:trHeight w:val="288"/>
        </w:trPr>
        <w:tc>
          <w:tcPr>
            <w:tcW w:w="1345" w:type="dxa"/>
            <w:vAlign w:val="center"/>
          </w:tcPr>
          <w:p w14:paraId="26F25344" w14:textId="77777777" w:rsidR="003E5371" w:rsidRPr="003E5371" w:rsidRDefault="003E5371" w:rsidP="008434ED">
            <w:pPr>
              <w:spacing w:before="120" w:after="120" w:line="240" w:lineRule="auto"/>
              <w:ind w:firstLine="0"/>
              <w:jc w:val="left"/>
              <w:rPr>
                <w:rFonts w:ascii="Arial" w:eastAsia="Arial" w:hAnsi="Arial" w:cs="Arial"/>
                <w:b/>
                <w:bCs/>
                <w:color w:val="000000"/>
                <w:sz w:val="18"/>
                <w:szCs w:val="18"/>
              </w:rPr>
            </w:pPr>
            <w:r>
              <w:rPr>
                <w:rFonts w:ascii="Arial" w:eastAsia="Arial" w:hAnsi="Arial" w:cs="Arial"/>
                <w:b/>
                <w:bCs/>
                <w:color w:val="000000"/>
                <w:sz w:val="18"/>
                <w:szCs w:val="18"/>
              </w:rPr>
              <w:t>Total</w:t>
            </w:r>
          </w:p>
        </w:tc>
        <w:tc>
          <w:tcPr>
            <w:tcW w:w="3982" w:type="dxa"/>
            <w:vAlign w:val="center"/>
          </w:tcPr>
          <w:p w14:paraId="39711AC4" w14:textId="77777777" w:rsidR="003E5371" w:rsidRDefault="003E5371" w:rsidP="002A08AD">
            <w:pPr>
              <w:spacing w:before="120" w:after="120" w:line="240" w:lineRule="auto"/>
              <w:ind w:firstLine="0"/>
              <w:jc w:val="left"/>
              <w:rPr>
                <w:rFonts w:ascii="Arial" w:eastAsia="Arial" w:hAnsi="Arial" w:cs="Arial"/>
                <w:color w:val="000000"/>
                <w:sz w:val="18"/>
                <w:szCs w:val="18"/>
              </w:rPr>
            </w:pPr>
          </w:p>
        </w:tc>
        <w:tc>
          <w:tcPr>
            <w:tcW w:w="2389" w:type="dxa"/>
            <w:vAlign w:val="center"/>
          </w:tcPr>
          <w:p w14:paraId="431C9A7C" w14:textId="77777777" w:rsidR="003E5371" w:rsidRDefault="003E5371" w:rsidP="002A08AD">
            <w:pPr>
              <w:spacing w:before="120" w:after="120" w:line="240" w:lineRule="auto"/>
              <w:ind w:firstLine="0"/>
              <w:jc w:val="left"/>
              <w:rPr>
                <w:rFonts w:ascii="Arial" w:eastAsia="Arial" w:hAnsi="Arial" w:cs="Arial"/>
                <w:color w:val="666666"/>
                <w:sz w:val="18"/>
                <w:szCs w:val="18"/>
              </w:rPr>
            </w:pPr>
          </w:p>
        </w:tc>
        <w:tc>
          <w:tcPr>
            <w:tcW w:w="1644" w:type="dxa"/>
            <w:vAlign w:val="center"/>
          </w:tcPr>
          <w:p w14:paraId="3B5F5340" w14:textId="77777777" w:rsidR="003E5371" w:rsidRPr="008434ED" w:rsidRDefault="008434ED" w:rsidP="002A08AD">
            <w:pPr>
              <w:spacing w:before="120" w:after="120" w:line="240" w:lineRule="auto"/>
              <w:ind w:firstLine="0"/>
              <w:jc w:val="center"/>
              <w:rPr>
                <w:rFonts w:ascii="Arial" w:eastAsia="Arial" w:hAnsi="Arial" w:cs="Arial"/>
                <w:b/>
                <w:bCs/>
                <w:color w:val="000000"/>
                <w:sz w:val="18"/>
                <w:szCs w:val="18"/>
              </w:rPr>
            </w:pPr>
            <w:r>
              <w:rPr>
                <w:rFonts w:ascii="Arial" w:eastAsia="Arial" w:hAnsi="Arial" w:cs="Arial"/>
                <w:b/>
                <w:bCs/>
                <w:color w:val="000000"/>
                <w:sz w:val="18"/>
                <w:szCs w:val="18"/>
              </w:rPr>
              <w:t>59</w:t>
            </w:r>
          </w:p>
        </w:tc>
      </w:tr>
    </w:tbl>
    <w:p w14:paraId="308CEE01" w14:textId="77777777" w:rsidR="00856161" w:rsidRDefault="00750A62">
      <w:pPr>
        <w:pStyle w:val="ThesisParagraphText"/>
      </w:pPr>
      <w:r>
        <w:t>The ranges reflect three constraints. The computational budget capped each grid at roughly ten configurations per model so that the full 1,092-experiment benchmark remained tractable; the specific values follow prior benchmarking literature, which finds diminishing returns beyond moderate tree depths and ensemble sizes [27]; and the XGBoost grid was additionally shaped by GPU memory constraints, favoring moderate depth with subsampling over exhaustive expansion.</w:t>
      </w:r>
    </w:p>
    <w:p w14:paraId="29937322" w14:textId="77777777" w:rsidR="00856161" w:rsidRDefault="00750A62">
      <w:pPr>
        <w:pStyle w:val="ThesisParagraphText"/>
      </w:pPr>
      <w:r>
        <w:t>The following table presents the hyperparameter grid searched for the ordinal classifier configurations.</w:t>
      </w:r>
    </w:p>
    <w:p w14:paraId="18B49FDE" w14:textId="5821E226" w:rsidR="002A08AD" w:rsidRDefault="002A08AD" w:rsidP="00D30FDC">
      <w:pPr>
        <w:pStyle w:val="Caption"/>
        <w:ind w:firstLine="0"/>
      </w:pPr>
      <w:bookmarkStart w:id="105" w:name="_Toc233585356"/>
      <w:r>
        <w:lastRenderedPageBreak/>
        <w:t>Table 3.</w:t>
      </w:r>
      <w:r>
        <w:rPr>
          <w:noProof/>
        </w:rPr>
        <w:fldChar w:fldCharType="begin"/>
        <w:instrText xml:space="preserve"> SEQ Table \* ARABIC </w:instrText>
        <w:fldChar w:fldCharType="separate"/>
        <w:t>5</w:t>
        <w:fldChar w:fldCharType="end"/>
      </w:r>
      <w:r>
        <w:t>.  Hyperparameters used (Ordinal Models).</w:t>
      </w:r>
      <w:bookmarkEnd w:id="105"/>
    </w:p>
    <w:tbl>
      <w:tblPr>
        <w:tblStyle w:val="TableGridLight"/>
        <w:tblW w:w="9360" w:type="dxa"/>
        <w:tblLook w:val="0000" w:firstRow="0" w:lastRow="0" w:firstColumn="0" w:lastColumn="0" w:noHBand="0" w:noVBand="0"/>
      </w:tblPr>
      <w:tblGrid>
        <w:gridCol w:w="1345"/>
        <w:gridCol w:w="3982"/>
        <w:gridCol w:w="2389"/>
        <w:gridCol w:w="1644"/>
      </w:tblGrid>
      <w:tr w:rsidR="00D6518E" w:rsidRPr="000E6D28" w14:paraId="2DF50CFE" w14:textId="77777777" w:rsidTr="002A08AD">
        <w:trPr>
          <w:trHeight w:val="288"/>
        </w:trPr>
        <w:tc>
          <w:tcPr>
            <w:tcW w:w="1345" w:type="dxa"/>
            <w:vAlign w:val="center"/>
          </w:tcPr>
          <w:p w14:paraId="6465CA2F" w14:textId="77777777" w:rsidR="00D6518E" w:rsidRPr="000E6D28" w:rsidRDefault="00D6518E" w:rsidP="002A08AD">
            <w:pPr>
              <w:spacing w:before="120" w:after="120" w:line="240" w:lineRule="auto"/>
              <w:ind w:firstLine="0"/>
              <w:jc w:val="left"/>
            </w:pPr>
            <w:r>
              <w:rPr>
                <w:rFonts w:ascii="Arial" w:eastAsia="Arial" w:hAnsi="Arial" w:cs="Arial"/>
                <w:b/>
                <w:bCs/>
                <w:sz w:val="19"/>
                <w:szCs w:val="19"/>
              </w:rPr>
              <w:t>Model</w:t>
            </w:r>
          </w:p>
        </w:tc>
        <w:tc>
          <w:tcPr>
            <w:tcW w:w="3982" w:type="dxa"/>
            <w:vAlign w:val="center"/>
          </w:tcPr>
          <w:p w14:paraId="300A524E" w14:textId="77777777" w:rsidR="00D6518E" w:rsidRPr="000E6D28" w:rsidRDefault="00D6518E" w:rsidP="002A08AD">
            <w:pPr>
              <w:spacing w:before="120" w:after="120" w:line="240" w:lineRule="auto"/>
              <w:ind w:firstLine="0"/>
              <w:jc w:val="left"/>
            </w:pPr>
            <w:r>
              <w:rPr>
                <w:rFonts w:ascii="Arial" w:eastAsia="Arial" w:hAnsi="Arial" w:cs="Arial"/>
                <w:b/>
                <w:bCs/>
                <w:sz w:val="19"/>
                <w:szCs w:val="19"/>
              </w:rPr>
              <w:t>Tuned Parameters</w:t>
            </w:r>
          </w:p>
        </w:tc>
        <w:tc>
          <w:tcPr>
            <w:tcW w:w="2389" w:type="dxa"/>
            <w:vAlign w:val="center"/>
          </w:tcPr>
          <w:p w14:paraId="17043D06" w14:textId="77777777" w:rsidR="00D6518E" w:rsidRPr="000E6D28" w:rsidRDefault="00D6518E" w:rsidP="002A08AD">
            <w:pPr>
              <w:spacing w:before="120" w:after="120" w:line="240" w:lineRule="auto"/>
              <w:ind w:firstLine="0"/>
              <w:jc w:val="left"/>
            </w:pPr>
            <w:r>
              <w:rPr>
                <w:rFonts w:ascii="Arial" w:eastAsia="Arial" w:hAnsi="Arial" w:cs="Arial"/>
                <w:b/>
                <w:bCs/>
                <w:sz w:val="19"/>
                <w:szCs w:val="19"/>
              </w:rPr>
              <w:t>Fixed Parameters</w:t>
            </w:r>
          </w:p>
        </w:tc>
        <w:tc>
          <w:tcPr>
            <w:tcW w:w="1644" w:type="dxa"/>
            <w:vAlign w:val="center"/>
          </w:tcPr>
          <w:p w14:paraId="18A5DBFC" w14:textId="77777777" w:rsidR="00D6518E" w:rsidRPr="000E6D28" w:rsidRDefault="00D6518E" w:rsidP="002A08AD">
            <w:pPr>
              <w:spacing w:before="120" w:after="120" w:line="240" w:lineRule="auto"/>
              <w:ind w:firstLine="0"/>
              <w:jc w:val="center"/>
            </w:pPr>
            <w:r>
              <w:rPr>
                <w:rFonts w:ascii="Arial" w:eastAsia="Arial" w:hAnsi="Arial" w:cs="Arial"/>
                <w:b/>
                <w:bCs/>
                <w:sz w:val="19"/>
                <w:szCs w:val="19"/>
              </w:rPr>
              <w:t>Configs</w:t>
            </w:r>
          </w:p>
        </w:tc>
      </w:tr>
      <w:tr w:rsidR="007A556C" w:rsidRPr="000E6D28" w14:paraId="4B93B716" w14:textId="77777777" w:rsidTr="002A08AD">
        <w:trPr>
          <w:trHeight w:val="288"/>
        </w:trPr>
        <w:tc>
          <w:tcPr>
            <w:tcW w:w="1345" w:type="dxa"/>
            <w:vAlign w:val="center"/>
          </w:tcPr>
          <w:p w14:paraId="2D0039D3" w14:textId="77777777" w:rsidR="007A556C" w:rsidRPr="00924FF4" w:rsidRDefault="007A556C" w:rsidP="002A08AD">
            <w:pPr>
              <w:spacing w:before="120" w:after="120" w:line="240" w:lineRule="auto"/>
              <w:ind w:firstLine="0"/>
              <w:jc w:val="left"/>
              <w:rPr>
                <w:rFonts w:ascii="Arial" w:eastAsia="Arial" w:hAnsi="Arial" w:cs="Arial"/>
                <w:b/>
                <w:bCs/>
                <w:sz w:val="19"/>
                <w:szCs w:val="19"/>
              </w:rPr>
            </w:pPr>
            <w:r>
              <w:rPr>
                <w:rFonts w:ascii="Arial" w:eastAsia="Arial" w:hAnsi="Arial" w:cs="Arial"/>
                <w:b/>
                <w:bCs/>
                <w:color w:val="000000"/>
                <w:sz w:val="18"/>
                <w:szCs w:val="18"/>
              </w:rPr>
              <w:t>Ordinal AdaBoost</w:t>
            </w:r>
          </w:p>
        </w:tc>
        <w:tc>
          <w:tcPr>
            <w:tcW w:w="3982" w:type="dxa"/>
            <w:vAlign w:val="center"/>
          </w:tcPr>
          <w:p w14:paraId="7CB72D6A" w14:textId="77777777" w:rsidR="000B1AC4" w:rsidRDefault="007A556C"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learning_rate: </w:t>
              <w:tab/>
              <w:tab/>
              <w:t>{0.01, 0.1, 0.5, 1.0}</w:t>
            </w:r>
          </w:p>
          <w:p w14:paraId="1A562C94" w14:textId="77777777" w:rsidR="007A556C" w:rsidRPr="000E6D28" w:rsidRDefault="007A556C" w:rsidP="002A08AD">
            <w:pPr>
              <w:spacing w:before="120" w:after="120" w:line="240" w:lineRule="auto"/>
              <w:ind w:firstLine="0"/>
              <w:jc w:val="left"/>
              <w:rPr>
                <w:rFonts w:ascii="Arial" w:eastAsia="Arial" w:hAnsi="Arial" w:cs="Arial"/>
                <w:b/>
                <w:bCs/>
                <w:sz w:val="19"/>
                <w:szCs w:val="19"/>
              </w:rPr>
            </w:pPr>
            <w:r>
              <w:rPr>
                <w:rFonts w:ascii="Arial" w:eastAsia="Arial" w:hAnsi="Arial" w:cs="Arial"/>
                <w:color w:val="000000"/>
                <w:sz w:val="18"/>
                <w:szCs w:val="18"/>
              </w:rPr>
              <w:t xml:space="preserve">n_estimators:          </w:t>
              <w:tab/>
              <w:t>{50, 150}</w:t>
            </w:r>
          </w:p>
        </w:tc>
        <w:tc>
          <w:tcPr>
            <w:tcW w:w="2389" w:type="dxa"/>
            <w:vAlign w:val="center"/>
          </w:tcPr>
          <w:p w14:paraId="76F8E0FC" w14:textId="77777777" w:rsidR="007A556C" w:rsidRPr="000E6D28" w:rsidRDefault="007A556C" w:rsidP="002A08AD">
            <w:pPr>
              <w:spacing w:before="120" w:after="120" w:line="240" w:lineRule="auto"/>
              <w:ind w:firstLine="0"/>
              <w:jc w:val="left"/>
              <w:rPr>
                <w:rFonts w:ascii="Arial" w:eastAsia="Arial" w:hAnsi="Arial" w:cs="Arial"/>
                <w:b/>
                <w:bCs/>
                <w:sz w:val="19"/>
                <w:szCs w:val="19"/>
              </w:rPr>
            </w:pPr>
            <w:r>
              <w:rPr>
                <w:rFonts w:ascii="Arial" w:eastAsia="Arial" w:hAnsi="Arial" w:cs="Arial"/>
                <w:color w:val="666666"/>
                <w:sz w:val="18"/>
                <w:szCs w:val="18"/>
              </w:rPr>
              <w:t>scale_pos_weight: false</w:t>
            </w:r>
          </w:p>
        </w:tc>
        <w:tc>
          <w:tcPr>
            <w:tcW w:w="1644" w:type="dxa"/>
            <w:vAlign w:val="center"/>
          </w:tcPr>
          <w:p w14:paraId="44DC1EBB" w14:textId="77777777" w:rsidR="007A556C" w:rsidRPr="000E6D28" w:rsidRDefault="007A556C" w:rsidP="002A08AD">
            <w:pPr>
              <w:spacing w:before="120" w:after="120" w:line="240" w:lineRule="auto"/>
              <w:ind w:firstLine="0"/>
              <w:jc w:val="center"/>
              <w:rPr>
                <w:rFonts w:ascii="Arial" w:eastAsia="Arial" w:hAnsi="Arial" w:cs="Arial"/>
                <w:b/>
                <w:bCs/>
                <w:sz w:val="19"/>
                <w:szCs w:val="19"/>
              </w:rPr>
            </w:pPr>
            <w:r>
              <w:rPr>
                <w:rFonts w:ascii="Arial" w:eastAsia="Arial" w:hAnsi="Arial" w:cs="Arial"/>
                <w:b/>
                <w:bCs/>
                <w:color w:val="000000"/>
                <w:sz w:val="18"/>
                <w:szCs w:val="18"/>
              </w:rPr>
              <w:t>7</w:t>
            </w:r>
          </w:p>
        </w:tc>
      </w:tr>
      <w:tr w:rsidR="00643A65" w:rsidRPr="000E6D28" w14:paraId="4EB7F317" w14:textId="77777777" w:rsidTr="002A08AD">
        <w:trPr>
          <w:trHeight w:val="288"/>
        </w:trPr>
        <w:tc>
          <w:tcPr>
            <w:tcW w:w="1345" w:type="dxa"/>
            <w:vAlign w:val="center"/>
          </w:tcPr>
          <w:p w14:paraId="7CE3A7F2" w14:textId="77777777" w:rsidR="00643A65" w:rsidRPr="00924FF4" w:rsidRDefault="00643A65" w:rsidP="002A08AD">
            <w:pPr>
              <w:spacing w:before="120" w:after="120" w:line="240" w:lineRule="auto"/>
              <w:ind w:firstLine="0"/>
              <w:jc w:val="left"/>
              <w:rPr>
                <w:rFonts w:ascii="Arial" w:eastAsia="Arial" w:hAnsi="Arial" w:cs="Arial"/>
                <w:b/>
                <w:bCs/>
                <w:color w:val="000000"/>
                <w:sz w:val="18"/>
                <w:szCs w:val="18"/>
              </w:rPr>
            </w:pPr>
            <w:r>
              <w:rPr>
                <w:rFonts w:ascii="Arial" w:eastAsia="Arial" w:hAnsi="Arial" w:cs="Arial"/>
                <w:b/>
                <w:bCs/>
                <w:color w:val="000000"/>
                <w:sz w:val="18"/>
                <w:szCs w:val="18"/>
              </w:rPr>
              <w:t>Ordinal Random Forest</w:t>
            </w:r>
          </w:p>
        </w:tc>
        <w:tc>
          <w:tcPr>
            <w:tcW w:w="3982" w:type="dxa"/>
            <w:vAlign w:val="center"/>
          </w:tcPr>
          <w:p w14:paraId="44AEF0C4" w14:textId="77777777" w:rsidR="000B1AC4" w:rsidRDefault="00643A65"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max_depth:             </w:t>
              <w:tab/>
              <w:t>{10, 20, 30}</w:t>
            </w:r>
          </w:p>
          <w:p w14:paraId="065760CE" w14:textId="77777777" w:rsidR="000B1AC4" w:rsidRDefault="00643A65"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 min_samples_leaf: </w:t>
              <w:tab/>
              <w:t>{1, 3, 5}</w:t>
            </w:r>
          </w:p>
          <w:p w14:paraId="61296AE4" w14:textId="77777777" w:rsidR="00643A65" w:rsidRDefault="00643A65"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n_estimators:           </w:t>
              <w:tab/>
              <w:t>{100, 200, 300}</w:t>
            </w:r>
          </w:p>
        </w:tc>
        <w:tc>
          <w:tcPr>
            <w:tcW w:w="2389" w:type="dxa"/>
            <w:vAlign w:val="center"/>
          </w:tcPr>
          <w:p w14:paraId="0CF6A58B" w14:textId="77777777" w:rsidR="00643A65" w:rsidRDefault="00643A65" w:rsidP="002A08AD">
            <w:pPr>
              <w:spacing w:before="120" w:after="120" w:line="240" w:lineRule="auto"/>
              <w:ind w:firstLine="0"/>
              <w:jc w:val="left"/>
              <w:rPr>
                <w:rFonts w:ascii="Arial" w:eastAsia="Arial" w:hAnsi="Arial" w:cs="Arial"/>
                <w:color w:val="666666"/>
                <w:sz w:val="18"/>
                <w:szCs w:val="18"/>
              </w:rPr>
            </w:pPr>
            <w:r>
              <w:rPr>
                <w:rFonts w:ascii="Arial" w:eastAsia="Arial" w:hAnsi="Arial" w:cs="Arial"/>
                <w:color w:val="666666"/>
                <w:sz w:val="18"/>
                <w:szCs w:val="18"/>
              </w:rPr>
              <w:t>scale_pos_weight: false</w:t>
            </w:r>
          </w:p>
        </w:tc>
        <w:tc>
          <w:tcPr>
            <w:tcW w:w="1644" w:type="dxa"/>
            <w:vAlign w:val="center"/>
          </w:tcPr>
          <w:p w14:paraId="6D396A82" w14:textId="77777777" w:rsidR="00643A65" w:rsidRDefault="00643A65" w:rsidP="002A08AD">
            <w:pPr>
              <w:spacing w:before="120" w:after="120" w:line="240" w:lineRule="auto"/>
              <w:ind w:firstLine="0"/>
              <w:jc w:val="center"/>
              <w:rPr>
                <w:rFonts w:ascii="Arial" w:eastAsia="Arial" w:hAnsi="Arial" w:cs="Arial"/>
                <w:b/>
                <w:bCs/>
                <w:color w:val="000000"/>
                <w:sz w:val="18"/>
                <w:szCs w:val="18"/>
              </w:rPr>
            </w:pPr>
            <w:r>
              <w:rPr>
                <w:rFonts w:ascii="Arial" w:eastAsia="Arial" w:hAnsi="Arial" w:cs="Arial"/>
                <w:b/>
                <w:bCs/>
                <w:color w:val="000000"/>
                <w:sz w:val="18"/>
                <w:szCs w:val="18"/>
              </w:rPr>
              <w:t>17</w:t>
            </w:r>
          </w:p>
        </w:tc>
      </w:tr>
      <w:tr w:rsidR="000B1AC4" w:rsidRPr="000E6D28" w14:paraId="672B4BDA" w14:textId="77777777" w:rsidTr="002A08AD">
        <w:trPr>
          <w:trHeight w:val="288"/>
        </w:trPr>
        <w:tc>
          <w:tcPr>
            <w:tcW w:w="1345" w:type="dxa"/>
            <w:vAlign w:val="center"/>
          </w:tcPr>
          <w:p w14:paraId="01F5888F" w14:textId="77777777" w:rsidR="000B1AC4" w:rsidRPr="00924FF4" w:rsidRDefault="000B1AC4" w:rsidP="002A08AD">
            <w:pPr>
              <w:spacing w:before="120" w:after="120" w:line="240" w:lineRule="auto"/>
              <w:ind w:firstLine="0"/>
              <w:jc w:val="left"/>
              <w:rPr>
                <w:rFonts w:ascii="Arial" w:eastAsia="Arial" w:hAnsi="Arial" w:cs="Arial"/>
                <w:b/>
                <w:bCs/>
                <w:color w:val="000000"/>
                <w:sz w:val="18"/>
                <w:szCs w:val="18"/>
              </w:rPr>
            </w:pPr>
            <w:r>
              <w:rPr>
                <w:rFonts w:ascii="Arial" w:eastAsia="Arial" w:hAnsi="Arial" w:cs="Arial"/>
                <w:b/>
                <w:bCs/>
                <w:color w:val="000000"/>
                <w:sz w:val="18"/>
                <w:szCs w:val="18"/>
              </w:rPr>
              <w:t>Ordinal XGBoost</w:t>
            </w:r>
          </w:p>
        </w:tc>
        <w:tc>
          <w:tcPr>
            <w:tcW w:w="3982" w:type="dxa"/>
            <w:vAlign w:val="center"/>
          </w:tcPr>
          <w:p w14:paraId="43848933" w14:textId="77777777" w:rsidR="009C66FA" w:rsidRDefault="000B1AC4"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max_depth:              </w:t>
              <w:tab/>
              <w:t>{3, 5, 6}</w:t>
            </w:r>
          </w:p>
          <w:p w14:paraId="4E904CA9" w14:textId="77777777" w:rsidR="009C66FA" w:rsidRDefault="000B1AC4"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learning_rate:           </w:t>
              <w:tab/>
              <w:t>{0.01, 0.05}</w:t>
            </w:r>
          </w:p>
          <w:p w14:paraId="10D9C5CA" w14:textId="77777777" w:rsidR="009C66FA" w:rsidRDefault="000B1AC4"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n_estimators:            </w:t>
              <w:tab/>
              <w:t>{300, 500}</w:t>
            </w:r>
          </w:p>
          <w:p w14:paraId="0D859A6C" w14:textId="77777777" w:rsidR="009C66FA" w:rsidRDefault="000B1AC4"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subsample:               </w:t>
              <w:tab/>
              <w:t>{0.7, 0.8}</w:t>
            </w:r>
          </w:p>
          <w:p w14:paraId="5981D203" w14:textId="77777777" w:rsidR="000B1AC4" w:rsidRDefault="000B1AC4" w:rsidP="002A08AD">
            <w:pPr>
              <w:spacing w:before="120" w:after="120" w:line="240" w:lineRule="auto"/>
              <w:ind w:firstLine="0"/>
              <w:jc w:val="left"/>
              <w:rPr>
                <w:rFonts w:ascii="Arial" w:eastAsia="Arial" w:hAnsi="Arial" w:cs="Arial"/>
                <w:color w:val="000000"/>
                <w:sz w:val="18"/>
                <w:szCs w:val="18"/>
              </w:rPr>
            </w:pPr>
            <w:r>
              <w:rPr>
                <w:rFonts w:ascii="Arial" w:eastAsia="Arial" w:hAnsi="Arial" w:cs="Arial"/>
                <w:color w:val="000000"/>
                <w:sz w:val="18"/>
                <w:szCs w:val="18"/>
              </w:rPr>
              <w:t xml:space="preserve">colsample_bytree:    </w:t>
              <w:tab/>
              <w:t>{0.7, 0.8}</w:t>
            </w:r>
          </w:p>
        </w:tc>
        <w:tc>
          <w:tcPr>
            <w:tcW w:w="2389" w:type="dxa"/>
            <w:vAlign w:val="center"/>
          </w:tcPr>
          <w:p w14:paraId="6462A071" w14:textId="77777777" w:rsidR="000B1AC4" w:rsidRDefault="000B1AC4" w:rsidP="002A08AD">
            <w:pPr>
              <w:spacing w:before="120" w:after="120" w:line="240" w:lineRule="auto"/>
              <w:ind w:firstLine="0"/>
              <w:jc w:val="left"/>
              <w:rPr>
                <w:rFonts w:ascii="Arial" w:eastAsia="Arial" w:hAnsi="Arial" w:cs="Arial"/>
                <w:color w:val="666666"/>
                <w:sz w:val="18"/>
                <w:szCs w:val="18"/>
              </w:rPr>
            </w:pPr>
            <w:r>
              <w:rPr>
                <w:rFonts w:ascii="Arial" w:eastAsia="Arial" w:hAnsi="Arial" w:cs="Arial"/>
                <w:color w:val="666666"/>
                <w:sz w:val="18"/>
                <w:szCs w:val="18"/>
              </w:rPr>
              <w:t>min_child_weight: 3, reg_alpha: 0.0, reg_lambda: 1.0, scale_pos_weight: true</w:t>
            </w:r>
          </w:p>
        </w:tc>
        <w:tc>
          <w:tcPr>
            <w:tcW w:w="1644" w:type="dxa"/>
            <w:vAlign w:val="center"/>
          </w:tcPr>
          <w:p w14:paraId="36B209B6" w14:textId="77777777" w:rsidR="000B1AC4" w:rsidRDefault="000B1AC4" w:rsidP="002A08AD">
            <w:pPr>
              <w:spacing w:before="120" w:after="120" w:line="240" w:lineRule="auto"/>
              <w:ind w:firstLine="0"/>
              <w:jc w:val="center"/>
              <w:rPr>
                <w:rFonts w:ascii="Arial" w:eastAsia="Arial" w:hAnsi="Arial" w:cs="Arial"/>
                <w:b/>
                <w:bCs/>
                <w:color w:val="000000"/>
                <w:sz w:val="18"/>
                <w:szCs w:val="18"/>
              </w:rPr>
            </w:pPr>
            <w:r>
              <w:rPr>
                <w:rFonts w:ascii="Arial" w:eastAsia="Arial" w:hAnsi="Arial" w:cs="Arial"/>
                <w:b/>
                <w:bCs/>
                <w:color w:val="000000"/>
                <w:sz w:val="18"/>
                <w:szCs w:val="18"/>
              </w:rPr>
              <w:t>11</w:t>
            </w:r>
          </w:p>
        </w:tc>
      </w:tr>
      <w:tr w:rsidR="008434ED" w:rsidRPr="000E6D28" w14:paraId="57D34276" w14:textId="77777777" w:rsidTr="002A08AD">
        <w:trPr>
          <w:trHeight w:val="288"/>
        </w:trPr>
        <w:tc>
          <w:tcPr>
            <w:tcW w:w="1345" w:type="dxa"/>
            <w:vAlign w:val="center"/>
          </w:tcPr>
          <w:p w14:paraId="0309E801" w14:textId="77777777" w:rsidR="008434ED" w:rsidRDefault="008434ED" w:rsidP="008434ED">
            <w:pPr>
              <w:spacing w:before="120" w:after="120" w:line="240" w:lineRule="auto"/>
              <w:ind w:firstLine="0"/>
              <w:jc w:val="left"/>
              <w:rPr>
                <w:rFonts w:ascii="Arial" w:eastAsia="Arial" w:hAnsi="Arial" w:cs="Arial"/>
                <w:color w:val="000000"/>
                <w:sz w:val="18"/>
                <w:szCs w:val="18"/>
              </w:rPr>
            </w:pPr>
            <w:r>
              <w:rPr>
                <w:rFonts w:ascii="Arial" w:eastAsia="Arial" w:hAnsi="Arial" w:cs="Arial"/>
                <w:b/>
                <w:bCs/>
                <w:color w:val="000000"/>
                <w:sz w:val="18"/>
                <w:szCs w:val="18"/>
              </w:rPr>
              <w:t>Total</w:t>
            </w:r>
          </w:p>
        </w:tc>
        <w:tc>
          <w:tcPr>
            <w:tcW w:w="3982" w:type="dxa"/>
            <w:vAlign w:val="center"/>
          </w:tcPr>
          <w:p w14:paraId="2E1620DE" w14:textId="77777777" w:rsidR="008434ED" w:rsidRDefault="008434ED" w:rsidP="008434ED">
            <w:pPr>
              <w:spacing w:before="120" w:after="120" w:line="240" w:lineRule="auto"/>
              <w:ind w:firstLine="0"/>
              <w:jc w:val="left"/>
              <w:rPr>
                <w:rFonts w:ascii="Arial" w:eastAsia="Arial" w:hAnsi="Arial" w:cs="Arial"/>
                <w:color w:val="000000"/>
                <w:sz w:val="18"/>
                <w:szCs w:val="18"/>
              </w:rPr>
            </w:pPr>
          </w:p>
        </w:tc>
        <w:tc>
          <w:tcPr>
            <w:tcW w:w="2389" w:type="dxa"/>
            <w:vAlign w:val="center"/>
          </w:tcPr>
          <w:p w14:paraId="21F7A877" w14:textId="77777777" w:rsidR="008434ED" w:rsidRDefault="008434ED" w:rsidP="008434ED">
            <w:pPr>
              <w:spacing w:before="120" w:after="120" w:line="240" w:lineRule="auto"/>
              <w:ind w:firstLine="0"/>
              <w:jc w:val="left"/>
              <w:rPr>
                <w:rFonts w:ascii="Arial" w:eastAsia="Arial" w:hAnsi="Arial" w:cs="Arial"/>
                <w:color w:val="666666"/>
                <w:sz w:val="18"/>
                <w:szCs w:val="18"/>
              </w:rPr>
            </w:pPr>
          </w:p>
        </w:tc>
        <w:tc>
          <w:tcPr>
            <w:tcW w:w="1644" w:type="dxa"/>
            <w:vAlign w:val="center"/>
          </w:tcPr>
          <w:p w14:paraId="3506901C" w14:textId="77777777" w:rsidR="008434ED" w:rsidRDefault="009476A7" w:rsidP="008434ED">
            <w:pPr>
              <w:spacing w:before="120" w:after="120" w:line="240" w:lineRule="auto"/>
              <w:ind w:firstLine="0"/>
              <w:jc w:val="center"/>
              <w:rPr>
                <w:rFonts w:ascii="Arial" w:eastAsia="Arial" w:hAnsi="Arial" w:cs="Arial"/>
                <w:b/>
                <w:bCs/>
                <w:color w:val="000000"/>
                <w:sz w:val="18"/>
                <w:szCs w:val="18"/>
              </w:rPr>
            </w:pPr>
            <w:r>
              <w:rPr>
                <w:rFonts w:ascii="Arial" w:eastAsia="Arial" w:hAnsi="Arial" w:cs="Arial"/>
                <w:b/>
                <w:bCs/>
                <w:color w:val="000000"/>
                <w:sz w:val="18"/>
                <w:szCs w:val="18"/>
              </w:rPr>
              <w:t>35</w:t>
            </w:r>
          </w:p>
        </w:tc>
      </w:tr>
    </w:tbl>
    <w:p w14:paraId="5EA97CDC" w14:textId="77777777" w:rsidR="00856161" w:rsidRDefault="00750A62">
      <w:pPr>
        <w:pStyle w:val="ThesisParagraphText"/>
      </w:pPr>
      <w:r>
        <w:t>The ordinal wrappers reuse the grids of their underlying base learners so that any performance difference is attributable to the Frank–Hall decomposition itself rather than to differential tuning effort. The scale_pos_weight flag is the one ordinal-specific addition, compensating for the shifting class ratios within each binary sub-problem.</w:t>
      </w:r>
    </w:p>
    <w:p w14:paraId="2727F584" w14:textId="77777777" w:rsidR="00550B9C" w:rsidRDefault="00550B9C">
      <w:pPr>
        <w:autoSpaceDE/>
        <w:autoSpaceDN/>
        <w:adjustRightInd/>
        <w:spacing w:line="278" w:lineRule="auto"/>
        <w:ind w:firstLine="0"/>
        <w:jc w:val="left"/>
        <w:rPr>
          <w:b/>
          <w:bCs/>
          <w:noProof/>
          <w:kern w:val="0"/>
          <w:szCs w:val="18"/>
          <w14:ligatures w14:val="none"/>
        </w:rPr>
        <w:sectPr w:rsidR="00550B9C" w:rsidSect="00BB6FF6">
          <w:endnotePr>
            <w:numFmt w:val="decimal"/>
          </w:endnotePr>
          <w:type w:val="continuous"/>
          <w:pgSz w:w="12240" w:h="15840"/>
          <w:pgMar w:top="1440" w:right="1440" w:bottom="1440" w:left="2160" w:header="720" w:footer="720" w:gutter="0"/>
          <w:lnNumType w:countBy="1" w:restart="continuous"/>
          <w:cols w:space="720"/>
          <w:titlePg/>
          <w:docGrid w:linePitch="360"/>
        </w:sectPr>
      </w:pPr>
    </w:p>
    <w:p w14:paraId="3E984C84" w14:textId="4B62A982" w:rsidR="0029707F" w:rsidRDefault="0029707F" w:rsidP="00424A41">
      <w:pPr>
        <w:pStyle w:val="ThesisParagraphText"/>
        <w:spacing w:line="240" w:lineRule="auto"/>
      </w:pPr>
      <w:r>
        <w:lastRenderedPageBreak/>
        <w:t>The table below shows the hyperparameter grids for the two-stage model (binary first stage and multi-class second stage).</w:t>
      </w:r>
    </w:p>
    <w:p w14:paraId="3FD8BC16" w14:textId="2A87A22B" w:rsidR="002A08AD" w:rsidRDefault="007E6EC8" w:rsidP="007E6EC8">
      <w:pPr>
        <w:pStyle w:val="Caption"/>
        <w:spacing w:before="240" w:after="0"/>
        <w:ind w:firstLine="0"/>
      </w:pPr>
      <w:bookmarkStart w:id="106" w:name="_Toc233585357"/>
      <w:r>
        <w:t>Table 3.</w:t>
      </w:r>
      <w:r>
        <w:rPr>
          <w:noProof/>
        </w:rPr>
        <w:fldChar w:fldCharType="begin"/>
        <w:instrText xml:space="preserve"> SEQ Table \* ARABIC </w:instrText>
        <w:fldChar w:fldCharType="separate"/>
        <w:t>6</w:t>
        <w:fldChar w:fldCharType="end"/>
      </w:r>
      <w:r>
        <w:t>. Hyperparameters used (Two-Stage Models).</w:t>
      </w:r>
      <w:bookmarkEnd w:id="106"/>
    </w:p>
    <w:tbl>
      <w:tblPr>
        <w:tblStyle w:val="TableGridLight"/>
        <w:tblW w:w="0" w:type="auto"/>
        <w:jc w:val="center"/>
        <w:tblLook w:val="0000" w:firstRow="0" w:lastRow="0" w:firstColumn="0" w:lastColumn="0" w:noHBand="0" w:noVBand="0"/>
      </w:tblPr>
      <w:tblGrid>
        <w:gridCol w:w="2000"/>
        <w:gridCol w:w="2280"/>
        <w:gridCol w:w="1710"/>
        <w:gridCol w:w="1969"/>
        <w:gridCol w:w="1710"/>
        <w:gridCol w:w="812"/>
      </w:tblGrid>
      <w:tr w:rsidR="0029707F" w:rsidRPr="00F27301" w14:paraId="1E5DD3CB" w14:textId="77777777" w:rsidTr="0029707F">
        <w:trPr>
          <w:trHeight w:val="20"/>
          <w:jc w:val="center"/>
        </w:trPr>
        <w:tc>
          <w:tcPr>
            <w:tcW w:w="0" w:type="auto"/>
            <w:vMerge w:val="restart"/>
            <w:vAlign w:val="center"/>
          </w:tcPr>
          <w:p w14:paraId="42B3A41F"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Model</w:t>
            </w:r>
          </w:p>
        </w:tc>
        <w:tc>
          <w:tcPr>
            <w:tcW w:w="0" w:type="auto"/>
            <w:gridSpan w:val="2"/>
            <w:vAlign w:val="center"/>
          </w:tcPr>
          <w:p w14:paraId="00AC23D0"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Stage 1 Parameters</w:t>
            </w:r>
          </w:p>
        </w:tc>
        <w:tc>
          <w:tcPr>
            <w:tcW w:w="0" w:type="auto"/>
            <w:gridSpan w:val="2"/>
            <w:vAlign w:val="center"/>
          </w:tcPr>
          <w:p w14:paraId="66E6A147"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Stage 2 Parameters</w:t>
            </w:r>
          </w:p>
        </w:tc>
        <w:tc>
          <w:tcPr>
            <w:tcW w:w="0" w:type="auto"/>
            <w:vMerge w:val="restart"/>
            <w:vAlign w:val="center"/>
          </w:tcPr>
          <w:p w14:paraId="38C5FBE8"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Configs</w:t>
            </w:r>
          </w:p>
        </w:tc>
      </w:tr>
      <w:tr w:rsidR="0029707F" w:rsidRPr="00F27301" w14:paraId="68E1B01A" w14:textId="77777777" w:rsidTr="0029707F">
        <w:trPr>
          <w:trHeight w:val="20"/>
          <w:jc w:val="center"/>
        </w:trPr>
        <w:tc>
          <w:tcPr>
            <w:tcW w:w="0" w:type="auto"/>
            <w:vMerge/>
          </w:tcPr>
          <w:p w14:paraId="1092C46D" w14:textId="77777777" w:rsidR="0029707F" w:rsidRPr="0029707F" w:rsidRDefault="0029707F" w:rsidP="00753D58">
            <w:pPr>
              <w:spacing w:before="120" w:after="120" w:line="240" w:lineRule="auto"/>
              <w:rPr>
                <w:sz w:val="16"/>
                <w:szCs w:val="16"/>
              </w:rPr>
            </w:pPr>
          </w:p>
        </w:tc>
        <w:tc>
          <w:tcPr>
            <w:tcW w:w="0" w:type="auto"/>
            <w:vAlign w:val="center"/>
          </w:tcPr>
          <w:p w14:paraId="69864D7B"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Tuned</w:t>
            </w:r>
          </w:p>
        </w:tc>
        <w:tc>
          <w:tcPr>
            <w:tcW w:w="0" w:type="auto"/>
            <w:vAlign w:val="center"/>
          </w:tcPr>
          <w:p w14:paraId="60575740"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Fixed</w:t>
            </w:r>
          </w:p>
        </w:tc>
        <w:tc>
          <w:tcPr>
            <w:tcW w:w="0" w:type="auto"/>
            <w:vAlign w:val="center"/>
          </w:tcPr>
          <w:p w14:paraId="11BB1DDA"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Tuned</w:t>
            </w:r>
          </w:p>
        </w:tc>
        <w:tc>
          <w:tcPr>
            <w:tcW w:w="0" w:type="auto"/>
            <w:vAlign w:val="center"/>
          </w:tcPr>
          <w:p w14:paraId="5274E160"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Fixed</w:t>
            </w:r>
          </w:p>
        </w:tc>
        <w:tc>
          <w:tcPr>
            <w:tcW w:w="0" w:type="auto"/>
            <w:vMerge/>
            <w:vAlign w:val="center"/>
          </w:tcPr>
          <w:p w14:paraId="68F70E04" w14:textId="77777777" w:rsidR="0029707F" w:rsidRPr="0029707F" w:rsidRDefault="0029707F" w:rsidP="00753D58">
            <w:pPr>
              <w:spacing w:before="120" w:after="120" w:line="240" w:lineRule="auto"/>
              <w:jc w:val="center"/>
              <w:rPr>
                <w:sz w:val="16"/>
                <w:szCs w:val="16"/>
              </w:rPr>
            </w:pPr>
          </w:p>
        </w:tc>
      </w:tr>
      <w:tr w:rsidR="0029707F" w:rsidRPr="00F27301" w14:paraId="3C127CCB" w14:textId="77777777" w:rsidTr="0029707F">
        <w:trPr>
          <w:trHeight w:val="20"/>
          <w:jc w:val="center"/>
        </w:trPr>
        <w:tc>
          <w:tcPr>
            <w:tcW w:w="0" w:type="auto"/>
            <w:vAlign w:val="center"/>
          </w:tcPr>
          <w:p w14:paraId="352DD0EE" w14:textId="77777777" w:rsidR="0029707F" w:rsidRPr="0029707F" w:rsidRDefault="0029707F" w:rsidP="00753D58">
            <w:pPr>
              <w:spacing w:before="120" w:after="120" w:line="240" w:lineRule="auto"/>
              <w:ind w:firstLine="0"/>
              <w:jc w:val="center"/>
              <w:rPr>
                <w:b/>
                <w:bCs/>
                <w:sz w:val="16"/>
                <w:szCs w:val="16"/>
              </w:rPr>
            </w:pPr>
            <w:r>
              <w:rPr>
                <w:rFonts w:ascii="Arial" w:eastAsia="Arial" w:hAnsi="Arial" w:cs="Arial"/>
                <w:b/>
                <w:bCs/>
                <w:sz w:val="16"/>
                <w:szCs w:val="16"/>
              </w:rPr>
              <w:t>Two-Stage XGB → XGB</w:t>
            </w:r>
          </w:p>
        </w:tc>
        <w:tc>
          <w:tcPr>
            <w:tcW w:w="0" w:type="auto"/>
          </w:tcPr>
          <w:p w14:paraId="39B4FB20"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 xml:space="preserve">max_depth: </w:t>
              <w:tab/>
              <w:t>{3}</w:t>
            </w:r>
          </w:p>
          <w:p w14:paraId="6F12CB18"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 xml:space="preserve">lr: </w:t>
              <w:tab/>
              <w:t>{0.01, 0.05}</w:t>
            </w:r>
          </w:p>
          <w:p w14:paraId="3F065B12"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{300, 500}</w:t>
            </w:r>
          </w:p>
        </w:tc>
        <w:tc>
          <w:tcPr>
            <w:tcW w:w="0" w:type="auto"/>
          </w:tcPr>
          <w:p w14:paraId="71E0850C"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subsample: 0.8</w:t>
            </w:r>
          </w:p>
          <w:p w14:paraId="4D5D1073"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colsample:  0.8</w:t>
            </w:r>
          </w:p>
          <w:p w14:paraId="064CE59F"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mcw:           3</w:t>
            </w:r>
          </w:p>
        </w:tc>
        <w:tc>
          <w:tcPr>
            <w:tcW w:w="0" w:type="auto"/>
          </w:tcPr>
          <w:p w14:paraId="4F11B012"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max_depth: {3, 5}</w:t>
            </w:r>
          </w:p>
          <w:p w14:paraId="749C7BED"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lr: {0.01, 0.05}</w:t>
            </w:r>
          </w:p>
          <w:p w14:paraId="324B27B0"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{300, 500}</w:t>
            </w:r>
          </w:p>
        </w:tc>
        <w:tc>
          <w:tcPr>
            <w:tcW w:w="0" w:type="auto"/>
          </w:tcPr>
          <w:p w14:paraId="083E56B2"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subsample: 0.8</w:t>
            </w:r>
          </w:p>
          <w:p w14:paraId="5A909047"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colsample: 0.8</w:t>
            </w:r>
          </w:p>
          <w:p w14:paraId="76FBD4AC"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mcw: 3</w:t>
            </w:r>
          </w:p>
        </w:tc>
        <w:tc>
          <w:tcPr>
            <w:tcW w:w="0" w:type="auto"/>
            <w:vAlign w:val="center"/>
          </w:tcPr>
          <w:p w14:paraId="361AC55E"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12</w:t>
            </w:r>
          </w:p>
        </w:tc>
      </w:tr>
      <w:tr w:rsidR="0029707F" w:rsidRPr="00F27301" w14:paraId="63268C00" w14:textId="77777777" w:rsidTr="0029707F">
        <w:trPr>
          <w:trHeight w:val="20"/>
          <w:jc w:val="center"/>
        </w:trPr>
        <w:tc>
          <w:tcPr>
            <w:tcW w:w="0" w:type="auto"/>
            <w:vAlign w:val="center"/>
          </w:tcPr>
          <w:p w14:paraId="2C4A42D3" w14:textId="77777777" w:rsidR="0029707F" w:rsidRPr="0029707F" w:rsidRDefault="0029707F" w:rsidP="00753D58">
            <w:pPr>
              <w:spacing w:before="120" w:after="120" w:line="240" w:lineRule="auto"/>
              <w:ind w:firstLine="0"/>
              <w:jc w:val="center"/>
              <w:rPr>
                <w:b/>
                <w:bCs/>
                <w:sz w:val="16"/>
                <w:szCs w:val="16"/>
              </w:rPr>
            </w:pPr>
            <w:r>
              <w:rPr>
                <w:rFonts w:ascii="Arial" w:eastAsia="Arial" w:hAnsi="Arial" w:cs="Arial"/>
                <w:b/>
                <w:bCs/>
                <w:sz w:val="16"/>
                <w:szCs w:val="16"/>
              </w:rPr>
              <w:t>Two-Stage XGB → RF</w:t>
            </w:r>
          </w:p>
        </w:tc>
        <w:tc>
          <w:tcPr>
            <w:tcW w:w="0" w:type="auto"/>
          </w:tcPr>
          <w:p w14:paraId="37F272A4"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max_depth:</w:t>
              <w:tab/>
              <w:t>{3}</w:t>
            </w:r>
          </w:p>
          <w:p w14:paraId="6B24DD2F"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 xml:space="preserve">lr: </w:t>
              <w:tab/>
              <w:t>{0.01, 0.05}</w:t>
            </w:r>
          </w:p>
          <w:p w14:paraId="00464B97"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{300, 500}</w:t>
            </w:r>
          </w:p>
        </w:tc>
        <w:tc>
          <w:tcPr>
            <w:tcW w:w="0" w:type="auto"/>
          </w:tcPr>
          <w:p w14:paraId="23CE888B"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subsample: 0.8</w:t>
            </w:r>
          </w:p>
          <w:p w14:paraId="4559082D"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colsample:  0.8</w:t>
            </w:r>
          </w:p>
          <w:p w14:paraId="039B79BF"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mcw:           3</w:t>
            </w:r>
          </w:p>
        </w:tc>
        <w:tc>
          <w:tcPr>
            <w:tcW w:w="0" w:type="auto"/>
          </w:tcPr>
          <w:p w14:paraId="7E9A4E3A"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max_depth: {10, 20}</w:t>
            </w:r>
          </w:p>
          <w:p w14:paraId="00B80FF8"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min_samples_leaf: {1, 3}</w:t>
            </w:r>
          </w:p>
          <w:p w14:paraId="30494B2D"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{200, 300}</w:t>
            </w:r>
          </w:p>
        </w:tc>
        <w:tc>
          <w:tcPr>
            <w:tcW w:w="0" w:type="auto"/>
          </w:tcPr>
          <w:p w14:paraId="06D5CC07"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criterion: gini</w:t>
            </w:r>
          </w:p>
        </w:tc>
        <w:tc>
          <w:tcPr>
            <w:tcW w:w="0" w:type="auto"/>
            <w:vAlign w:val="center"/>
          </w:tcPr>
          <w:p w14:paraId="5300DCE1"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12</w:t>
            </w:r>
          </w:p>
        </w:tc>
      </w:tr>
      <w:tr w:rsidR="0029707F" w:rsidRPr="00F27301" w14:paraId="116DCED1" w14:textId="77777777" w:rsidTr="0029707F">
        <w:trPr>
          <w:trHeight w:val="20"/>
          <w:jc w:val="center"/>
        </w:trPr>
        <w:tc>
          <w:tcPr>
            <w:tcW w:w="0" w:type="auto"/>
            <w:vAlign w:val="center"/>
          </w:tcPr>
          <w:p w14:paraId="58D5BF81" w14:textId="77777777" w:rsidR="0029707F" w:rsidRPr="0029707F" w:rsidRDefault="0029707F" w:rsidP="00753D58">
            <w:pPr>
              <w:spacing w:before="120" w:after="120" w:line="240" w:lineRule="auto"/>
              <w:ind w:firstLine="0"/>
              <w:jc w:val="center"/>
              <w:rPr>
                <w:b/>
                <w:bCs/>
                <w:sz w:val="16"/>
                <w:szCs w:val="16"/>
              </w:rPr>
            </w:pPr>
            <w:r>
              <w:rPr>
                <w:rFonts w:ascii="Arial" w:eastAsia="Arial" w:hAnsi="Arial" w:cs="Arial"/>
                <w:b/>
                <w:bCs/>
                <w:sz w:val="16"/>
                <w:szCs w:val="16"/>
              </w:rPr>
              <w:t>Two-Stage RF → RF</w:t>
            </w:r>
          </w:p>
        </w:tc>
        <w:tc>
          <w:tcPr>
            <w:tcW w:w="0" w:type="auto"/>
          </w:tcPr>
          <w:p w14:paraId="1B209A19"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 xml:space="preserve">max_depth: {10, 20} </w:t>
            </w:r>
          </w:p>
          <w:p w14:paraId="4CC46994"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 xml:space="preserve">min_samples_leaf: {1, 3} </w:t>
            </w:r>
          </w:p>
          <w:p w14:paraId="26132AF5"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{200}</w:t>
            </w:r>
          </w:p>
        </w:tc>
        <w:tc>
          <w:tcPr>
            <w:tcW w:w="0" w:type="auto"/>
          </w:tcPr>
          <w:p w14:paraId="4863CAD3"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criterion: gini</w:t>
            </w:r>
          </w:p>
        </w:tc>
        <w:tc>
          <w:tcPr>
            <w:tcW w:w="0" w:type="auto"/>
          </w:tcPr>
          <w:p w14:paraId="3768E7FB"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max_depth: {10, 20}</w:t>
            </w:r>
          </w:p>
          <w:p w14:paraId="4E984E2B"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min_samples_leaf: {1, 3}</w:t>
            </w:r>
          </w:p>
          <w:p w14:paraId="43FB941F"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{200, 300}</w:t>
            </w:r>
          </w:p>
        </w:tc>
        <w:tc>
          <w:tcPr>
            <w:tcW w:w="0" w:type="auto"/>
          </w:tcPr>
          <w:p w14:paraId="256E5490"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criterion: gini</w:t>
            </w:r>
          </w:p>
        </w:tc>
        <w:tc>
          <w:tcPr>
            <w:tcW w:w="0" w:type="auto"/>
            <w:vAlign w:val="center"/>
          </w:tcPr>
          <w:p w14:paraId="14AECFFD"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12</w:t>
            </w:r>
          </w:p>
        </w:tc>
      </w:tr>
      <w:tr w:rsidR="0029707F" w:rsidRPr="00F27301" w14:paraId="16744CAC" w14:textId="77777777" w:rsidTr="0029707F">
        <w:trPr>
          <w:trHeight w:val="20"/>
          <w:jc w:val="center"/>
        </w:trPr>
        <w:tc>
          <w:tcPr>
            <w:tcW w:w="0" w:type="auto"/>
            <w:vAlign w:val="center"/>
          </w:tcPr>
          <w:p w14:paraId="3CA3DA5A" w14:textId="77777777" w:rsidR="0029707F" w:rsidRPr="0029707F" w:rsidRDefault="0029707F" w:rsidP="00753D58">
            <w:pPr>
              <w:spacing w:before="120" w:after="120" w:line="240" w:lineRule="auto"/>
              <w:ind w:firstLine="0"/>
              <w:jc w:val="center"/>
              <w:rPr>
                <w:b/>
                <w:bCs/>
                <w:sz w:val="16"/>
                <w:szCs w:val="16"/>
              </w:rPr>
            </w:pPr>
            <w:r>
              <w:rPr>
                <w:rFonts w:ascii="Arial" w:eastAsia="Arial" w:hAnsi="Arial" w:cs="Arial"/>
                <w:b/>
                <w:bCs/>
                <w:sz w:val="16"/>
                <w:szCs w:val="16"/>
              </w:rPr>
              <w:t>Two-Stage XGB → Ada</w:t>
            </w:r>
          </w:p>
        </w:tc>
        <w:tc>
          <w:tcPr>
            <w:tcW w:w="0" w:type="auto"/>
          </w:tcPr>
          <w:p w14:paraId="74FC91E6"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max_depth: {3, 5}</w:t>
            </w:r>
          </w:p>
          <w:p w14:paraId="18761147"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lr: {0.01, 0.05}</w:t>
            </w:r>
          </w:p>
          <w:p w14:paraId="048199DA"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{300, 500}</w:t>
            </w:r>
          </w:p>
        </w:tc>
        <w:tc>
          <w:tcPr>
            <w:tcW w:w="0" w:type="auto"/>
          </w:tcPr>
          <w:p w14:paraId="7AF7F77D"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subsample:0.8</w:t>
            </w:r>
          </w:p>
          <w:p w14:paraId="15DE7890"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colsample: 0.8</w:t>
            </w:r>
          </w:p>
          <w:p w14:paraId="12C3F36C"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mcw:          3</w:t>
            </w:r>
          </w:p>
        </w:tc>
        <w:tc>
          <w:tcPr>
            <w:tcW w:w="0" w:type="auto"/>
          </w:tcPr>
          <w:p w14:paraId="025E382D"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learning_rate: {0.01, 0.1}</w:t>
            </w:r>
          </w:p>
          <w:p w14:paraId="739DC3D4"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{50, 150}</w:t>
            </w:r>
          </w:p>
        </w:tc>
        <w:tc>
          <w:tcPr>
            <w:tcW w:w="0" w:type="auto"/>
          </w:tcPr>
          <w:p w14:paraId="066E7FAD"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algorithm: SAMME.R</w:t>
            </w:r>
          </w:p>
        </w:tc>
        <w:tc>
          <w:tcPr>
            <w:tcW w:w="0" w:type="auto"/>
            <w:vAlign w:val="center"/>
          </w:tcPr>
          <w:p w14:paraId="5824CA5E"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10</w:t>
            </w:r>
          </w:p>
        </w:tc>
      </w:tr>
      <w:tr w:rsidR="0029707F" w:rsidRPr="00F27301" w14:paraId="1B056D78" w14:textId="77777777" w:rsidTr="0029707F">
        <w:trPr>
          <w:trHeight w:val="20"/>
          <w:jc w:val="center"/>
        </w:trPr>
        <w:tc>
          <w:tcPr>
            <w:tcW w:w="0" w:type="auto"/>
            <w:vAlign w:val="center"/>
          </w:tcPr>
          <w:p w14:paraId="06AE11C5" w14:textId="77777777" w:rsidR="0029707F" w:rsidRPr="0029707F" w:rsidRDefault="0029707F" w:rsidP="00753D58">
            <w:pPr>
              <w:spacing w:before="120" w:after="120" w:line="240" w:lineRule="auto"/>
              <w:ind w:firstLine="0"/>
              <w:jc w:val="center"/>
              <w:rPr>
                <w:b/>
                <w:bCs/>
                <w:sz w:val="16"/>
                <w:szCs w:val="16"/>
              </w:rPr>
            </w:pPr>
            <w:r>
              <w:rPr>
                <w:rFonts w:ascii="Arial" w:eastAsia="Arial" w:hAnsi="Arial" w:cs="Arial"/>
                <w:b/>
                <w:bCs/>
                <w:sz w:val="16"/>
                <w:szCs w:val="16"/>
              </w:rPr>
              <w:t>Two-Stage RF → Ada</w:t>
            </w:r>
          </w:p>
        </w:tc>
        <w:tc>
          <w:tcPr>
            <w:tcW w:w="0" w:type="auto"/>
          </w:tcPr>
          <w:p w14:paraId="5EEC5748"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max_depth: {10, 20}</w:t>
            </w:r>
          </w:p>
          <w:p w14:paraId="2BDD3F26"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min_samples_leaf: {1, 3}</w:t>
            </w:r>
          </w:p>
          <w:p w14:paraId="61CC4E0C"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{200, 300}</w:t>
            </w:r>
          </w:p>
        </w:tc>
        <w:tc>
          <w:tcPr>
            <w:tcW w:w="0" w:type="auto"/>
          </w:tcPr>
          <w:p w14:paraId="75DB19DE"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criterion: gini</w:t>
            </w:r>
          </w:p>
        </w:tc>
        <w:tc>
          <w:tcPr>
            <w:tcW w:w="0" w:type="auto"/>
          </w:tcPr>
          <w:p w14:paraId="717C4EFC"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learning_rate: {0.01, 0.1}</w:t>
            </w:r>
          </w:p>
          <w:p w14:paraId="48EF04C5"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n_estimators: {50, 150}</w:t>
            </w:r>
          </w:p>
        </w:tc>
        <w:tc>
          <w:tcPr>
            <w:tcW w:w="0" w:type="auto"/>
          </w:tcPr>
          <w:p w14:paraId="1496D0B6"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algorithm: SAMME.R</w:t>
            </w:r>
          </w:p>
        </w:tc>
        <w:tc>
          <w:tcPr>
            <w:tcW w:w="0" w:type="auto"/>
            <w:vAlign w:val="center"/>
          </w:tcPr>
          <w:p w14:paraId="78D1931B"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10</w:t>
            </w:r>
          </w:p>
        </w:tc>
      </w:tr>
      <w:tr w:rsidR="0029707F" w:rsidRPr="00F27301" w14:paraId="15E97E6E" w14:textId="77777777" w:rsidTr="0029707F">
        <w:trPr>
          <w:trHeight w:val="20"/>
          <w:jc w:val="center"/>
        </w:trPr>
        <w:tc>
          <w:tcPr>
            <w:tcW w:w="0" w:type="auto"/>
            <w:vAlign w:val="center"/>
          </w:tcPr>
          <w:p w14:paraId="3A455568" w14:textId="77777777" w:rsidR="0029707F" w:rsidRPr="0029707F" w:rsidRDefault="0029707F" w:rsidP="00753D58">
            <w:pPr>
              <w:spacing w:before="120" w:after="120" w:line="240" w:lineRule="auto"/>
              <w:ind w:firstLine="0"/>
              <w:jc w:val="center"/>
              <w:rPr>
                <w:b/>
                <w:bCs/>
                <w:sz w:val="16"/>
                <w:szCs w:val="16"/>
              </w:rPr>
            </w:pPr>
            <w:r>
              <w:rPr>
                <w:rFonts w:ascii="Arial" w:eastAsia="Arial" w:hAnsi="Arial" w:cs="Arial"/>
                <w:b/>
                <w:bCs/>
                <w:sz w:val="16"/>
                <w:szCs w:val="16"/>
              </w:rPr>
              <w:t>Two-Stage Ada → XGB</w:t>
            </w:r>
          </w:p>
        </w:tc>
        <w:tc>
          <w:tcPr>
            <w:tcW w:w="0" w:type="auto"/>
          </w:tcPr>
          <w:p w14:paraId="10EA5532"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learning_rate: {0.01, 0.1, 0.5}</w:t>
            </w:r>
          </w:p>
          <w:p w14:paraId="08D30D8C"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n_estimators: {50, 150}</w:t>
            </w:r>
          </w:p>
        </w:tc>
        <w:tc>
          <w:tcPr>
            <w:tcW w:w="0" w:type="auto"/>
          </w:tcPr>
          <w:p w14:paraId="23BB780C"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algorithm: SAMME.R</w:t>
            </w:r>
          </w:p>
        </w:tc>
        <w:tc>
          <w:tcPr>
            <w:tcW w:w="0" w:type="auto"/>
          </w:tcPr>
          <w:p w14:paraId="69F92312"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max_depth: {3, 5}</w:t>
            </w:r>
          </w:p>
          <w:p w14:paraId="15C36B05"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 xml:space="preserve">lr: </w:t>
              <w:tab/>
              <w:t>{0.01, 0.05}</w:t>
            </w:r>
          </w:p>
          <w:p w14:paraId="04ED4D80"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n_estimators: {300, 500}</w:t>
            </w:r>
          </w:p>
        </w:tc>
        <w:tc>
          <w:tcPr>
            <w:tcW w:w="0" w:type="auto"/>
          </w:tcPr>
          <w:p w14:paraId="1EC2E132"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subsample: 0.8</w:t>
            </w:r>
          </w:p>
          <w:p w14:paraId="35460FC2" w14:textId="77777777" w:rsidR="0029707F" w:rsidRPr="0029707F" w:rsidRDefault="0029707F" w:rsidP="00753D58">
            <w:pPr>
              <w:spacing w:before="120" w:after="120" w:line="240" w:lineRule="auto"/>
              <w:ind w:firstLine="0"/>
              <w:rPr>
                <w:rFonts w:ascii="Arial" w:eastAsia="Arial" w:hAnsi="Arial" w:cs="Arial"/>
                <w:sz w:val="16"/>
                <w:szCs w:val="16"/>
              </w:rPr>
            </w:pPr>
            <w:r>
              <w:rPr>
                <w:rFonts w:ascii="Arial" w:eastAsia="Arial" w:hAnsi="Arial" w:cs="Arial"/>
                <w:sz w:val="16"/>
                <w:szCs w:val="16"/>
              </w:rPr>
              <w:t>colsample: 0.8</w:t>
            </w:r>
          </w:p>
          <w:p w14:paraId="5BD76216" w14:textId="77777777" w:rsidR="0029707F" w:rsidRPr="0029707F" w:rsidRDefault="0029707F" w:rsidP="00753D58">
            <w:pPr>
              <w:spacing w:before="120" w:after="120" w:line="240" w:lineRule="auto"/>
              <w:ind w:firstLine="0"/>
              <w:rPr>
                <w:sz w:val="16"/>
                <w:szCs w:val="16"/>
              </w:rPr>
            </w:pPr>
            <w:r>
              <w:rPr>
                <w:rFonts w:ascii="Arial" w:eastAsia="Arial" w:hAnsi="Arial" w:cs="Arial"/>
                <w:sz w:val="16"/>
                <w:szCs w:val="16"/>
              </w:rPr>
              <w:t>mcw: 3</w:t>
            </w:r>
          </w:p>
        </w:tc>
        <w:tc>
          <w:tcPr>
            <w:tcW w:w="0" w:type="auto"/>
            <w:vAlign w:val="center"/>
          </w:tcPr>
          <w:p w14:paraId="70DAD34F" w14:textId="77777777" w:rsidR="0029707F" w:rsidRPr="0029707F" w:rsidRDefault="0029707F" w:rsidP="00753D58">
            <w:pPr>
              <w:spacing w:before="120" w:after="120" w:line="240" w:lineRule="auto"/>
              <w:ind w:firstLine="0"/>
              <w:jc w:val="center"/>
              <w:rPr>
                <w:sz w:val="16"/>
                <w:szCs w:val="16"/>
              </w:rPr>
            </w:pPr>
            <w:r>
              <w:rPr>
                <w:rFonts w:ascii="Arial" w:eastAsia="Arial" w:hAnsi="Arial" w:cs="Arial"/>
                <w:b/>
                <w:bCs/>
                <w:sz w:val="16"/>
                <w:szCs w:val="16"/>
              </w:rPr>
              <w:t>10</w:t>
            </w:r>
          </w:p>
        </w:tc>
      </w:tr>
      <w:tr w:rsidR="0029707F" w:rsidRPr="00F27301" w14:paraId="2A091C21" w14:textId="77777777" w:rsidTr="0029707F">
        <w:trPr>
          <w:trHeight w:val="20"/>
          <w:jc w:val="center"/>
        </w:trPr>
        <w:tc>
          <w:tcPr>
            <w:tcW w:w="0" w:type="auto"/>
            <w:vAlign w:val="center"/>
          </w:tcPr>
          <w:p w14:paraId="39A3F7D6" w14:textId="77777777" w:rsidR="0029707F" w:rsidRPr="0029707F" w:rsidRDefault="0029707F" w:rsidP="00753D58">
            <w:pPr>
              <w:spacing w:before="120" w:after="120" w:line="240" w:lineRule="auto"/>
              <w:ind w:firstLine="0"/>
              <w:jc w:val="center"/>
              <w:rPr>
                <w:rFonts w:ascii="Arial" w:eastAsia="Arial" w:hAnsi="Arial" w:cs="Arial"/>
                <w:b/>
                <w:bCs/>
                <w:sz w:val="16"/>
                <w:szCs w:val="16"/>
              </w:rPr>
            </w:pPr>
            <w:r>
              <w:rPr>
                <w:rFonts w:ascii="Arial" w:eastAsia="Arial" w:hAnsi="Arial" w:cs="Arial"/>
                <w:b/>
                <w:bCs/>
                <w:sz w:val="16"/>
                <w:szCs w:val="16"/>
              </w:rPr>
              <w:t>Total</w:t>
            </w:r>
          </w:p>
        </w:tc>
        <w:tc>
          <w:tcPr>
            <w:tcW w:w="0" w:type="auto"/>
          </w:tcPr>
          <w:p w14:paraId="62679738" w14:textId="77777777" w:rsidR="0029707F" w:rsidRPr="0029707F" w:rsidRDefault="0029707F" w:rsidP="00753D58">
            <w:pPr>
              <w:spacing w:before="120" w:after="120" w:line="240" w:lineRule="auto"/>
              <w:ind w:firstLine="0"/>
              <w:rPr>
                <w:rFonts w:ascii="Arial" w:eastAsia="Arial" w:hAnsi="Arial" w:cs="Arial"/>
                <w:sz w:val="16"/>
                <w:szCs w:val="16"/>
              </w:rPr>
            </w:pPr>
          </w:p>
        </w:tc>
        <w:tc>
          <w:tcPr>
            <w:tcW w:w="0" w:type="auto"/>
          </w:tcPr>
          <w:p w14:paraId="3B212E50" w14:textId="77777777" w:rsidR="0029707F" w:rsidRPr="0029707F" w:rsidRDefault="0029707F" w:rsidP="00753D58">
            <w:pPr>
              <w:spacing w:before="120" w:after="120" w:line="240" w:lineRule="auto"/>
              <w:ind w:firstLine="0"/>
              <w:rPr>
                <w:rFonts w:ascii="Arial" w:eastAsia="Arial" w:hAnsi="Arial" w:cs="Arial"/>
                <w:sz w:val="16"/>
                <w:szCs w:val="16"/>
              </w:rPr>
            </w:pPr>
          </w:p>
        </w:tc>
        <w:tc>
          <w:tcPr>
            <w:tcW w:w="0" w:type="auto"/>
          </w:tcPr>
          <w:p w14:paraId="02FA8D48" w14:textId="77777777" w:rsidR="0029707F" w:rsidRPr="0029707F" w:rsidRDefault="0029707F" w:rsidP="00753D58">
            <w:pPr>
              <w:spacing w:before="120" w:after="120" w:line="240" w:lineRule="auto"/>
              <w:ind w:firstLine="0"/>
              <w:rPr>
                <w:rFonts w:ascii="Arial" w:eastAsia="Arial" w:hAnsi="Arial" w:cs="Arial"/>
                <w:sz w:val="16"/>
                <w:szCs w:val="16"/>
              </w:rPr>
            </w:pPr>
          </w:p>
        </w:tc>
        <w:tc>
          <w:tcPr>
            <w:tcW w:w="0" w:type="auto"/>
          </w:tcPr>
          <w:p w14:paraId="610AAAF1" w14:textId="77777777" w:rsidR="0029707F" w:rsidRPr="0029707F" w:rsidRDefault="0029707F" w:rsidP="00753D58">
            <w:pPr>
              <w:spacing w:before="120" w:after="120" w:line="240" w:lineRule="auto"/>
              <w:ind w:firstLine="0"/>
              <w:rPr>
                <w:rFonts w:ascii="Arial" w:eastAsia="Arial" w:hAnsi="Arial" w:cs="Arial"/>
                <w:sz w:val="16"/>
                <w:szCs w:val="16"/>
              </w:rPr>
            </w:pPr>
          </w:p>
        </w:tc>
        <w:tc>
          <w:tcPr>
            <w:tcW w:w="0" w:type="auto"/>
            <w:vAlign w:val="center"/>
          </w:tcPr>
          <w:p w14:paraId="714CCAB3" w14:textId="77777777" w:rsidR="0029707F" w:rsidRPr="0029707F" w:rsidRDefault="0029707F" w:rsidP="00753D58">
            <w:pPr>
              <w:spacing w:before="120" w:after="120" w:line="240" w:lineRule="auto"/>
              <w:ind w:firstLine="0"/>
              <w:jc w:val="center"/>
              <w:rPr>
                <w:rFonts w:ascii="Arial" w:eastAsia="Arial" w:hAnsi="Arial" w:cs="Arial"/>
                <w:b/>
                <w:bCs/>
                <w:sz w:val="16"/>
                <w:szCs w:val="16"/>
              </w:rPr>
            </w:pPr>
            <w:r>
              <w:rPr>
                <w:rFonts w:ascii="Arial" w:eastAsia="Arial" w:hAnsi="Arial" w:cs="Arial"/>
                <w:b/>
                <w:bCs/>
                <w:sz w:val="16"/>
                <w:szCs w:val="16"/>
              </w:rPr>
              <w:t>66</w:t>
            </w:r>
          </w:p>
        </w:tc>
      </w:tr>
    </w:tbl>
    <w:p w14:paraId="5388C152" w14:textId="7DE493E5" w:rsidR="00424A41" w:rsidRPr="00424A41" w:rsidRDefault="00424A41" w:rsidP="00424A41">
      <w:pPr>
        <w:ind w:firstLine="0"/>
        <w:sectPr w:rsidR="00424A41" w:rsidRPr="00424A41" w:rsidSect="00A03A8D">
          <w:endnotePr>
            <w:numFmt w:val="decimal"/>
          </w:endnotePr>
          <w:pgSz w:w="15840" w:h="12240" w:orient="landscape"/>
          <w:pgMar w:top="2160" w:right="1440" w:bottom="1440" w:left="1440" w:header="720" w:footer="720" w:gutter="0"/>
          <w:lnNumType w:countBy="1" w:restart="continuous"/>
          <w:cols w:space="720"/>
          <w:titlePg/>
          <w:docGrid w:linePitch="360"/>
        </w:sectPr>
      </w:pPr>
    </w:p>
    <w:p w14:paraId="7A4B226F" w14:textId="77777777" w:rsidR="00856161" w:rsidRDefault="00750A62">
      <w:pPr>
        <w:pStyle w:val="ThesisParagraphText"/>
      </w:pPr>
      <w:r>
        <w:lastRenderedPageBreak/>
        <w:t>Because each two-stage pipeline trains two models, the per-stage grids were kept deliberately compact to contain combinatorial growth; the tuned values concentrate on the parameters with the largest observed effects (depth, learning rate, ensemble size), while secondary regularization parameters were fixed at the values established in the base-model grids.</w:t>
      </w:r>
    </w:p>
    <w:p w14:paraId="2F74EF1E" w14:textId="77777777" w:rsidR="002D697F" w:rsidRPr="00FD0F64" w:rsidRDefault="002D697F" w:rsidP="002D697F">
      <w:pPr>
        <w:pStyle w:val="ThesisParagraphText"/>
      </w:pPr>
      <w:r>
        <w:t>These influence scores are then fed into a dedicated feature selection process in Module 9.0, where the most predictive variables are retained. Table 3.7 presents the feature importance method used for each model type.</w:t>
      </w:r>
    </w:p>
    <w:p w14:paraId="34060FDD" w14:textId="2F228508" w:rsidR="0011778A" w:rsidRDefault="002D697F" w:rsidP="00397807">
      <w:pPr>
        <w:pStyle w:val="Caption"/>
        <w:ind w:firstLine="0"/>
      </w:pPr>
      <w:bookmarkStart w:id="107" w:name="_Toc233585358"/>
      <w:r>
        <w:t>Table 3.</w:t>
      </w:r>
      <w:r>
        <w:rPr>
          <w:noProof/>
        </w:rPr>
        <w:fldChar w:fldCharType="begin"/>
        <w:instrText xml:space="preserve"> SEQ Table \* ARABIC </w:instrText>
        <w:fldChar w:fldCharType="separate"/>
        <w:t>7</w:t>
        <w:fldChar w:fldCharType="end"/>
      </w:r>
      <w:r>
        <w:t>.  List of the feature importance methods used per model.</w:t>
      </w:r>
      <w:bookmarkEnd w:id="107"/>
    </w:p>
    <w:tbl>
      <w:tblPr>
        <w:tblStyle w:val="TableGrid"/>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5"/>
        <w:gridCol w:w="6115"/>
      </w:tblGrid>
      <w:tr w:rsidR="002D697F" w:rsidRPr="00FD0F64" w14:paraId="4A5A32DD" w14:textId="77777777" w:rsidTr="007D1C45">
        <w:tc>
          <w:tcPr>
            <w:tcW w:w="2515" w:type="dxa"/>
            <w:vAlign w:val="center"/>
          </w:tcPr>
          <w:p w14:paraId="679B7370" w14:textId="77777777" w:rsidR="002D697F" w:rsidRPr="00FD0F64" w:rsidRDefault="002D697F" w:rsidP="007D1C45">
            <w:pPr>
              <w:pStyle w:val="ThesisParagraphText"/>
              <w:ind w:firstLine="0"/>
            </w:pPr>
            <w:r>
              <w:rPr>
                <w:rFonts w:eastAsia="Times New Roman"/>
                <w:b/>
                <w:bCs/>
                <w:lang w:eastAsia="en-PH"/>
              </w:rPr>
              <w:t>Model</w:t>
            </w:r>
          </w:p>
        </w:tc>
        <w:tc>
          <w:tcPr>
            <w:tcW w:w="6115" w:type="dxa"/>
            <w:vAlign w:val="center"/>
          </w:tcPr>
          <w:p w14:paraId="51A88DF1" w14:textId="77777777" w:rsidR="002D697F" w:rsidRPr="00FD0F64" w:rsidRDefault="002D697F" w:rsidP="007D1C45">
            <w:pPr>
              <w:pStyle w:val="ThesisParagraphText"/>
              <w:ind w:firstLine="0"/>
            </w:pPr>
            <w:r>
              <w:rPr>
                <w:rFonts w:eastAsia="Times New Roman"/>
                <w:b/>
                <w:bCs/>
                <w:lang w:eastAsia="en-PH"/>
              </w:rPr>
              <w:t>Feature Importance Method</w:t>
            </w:r>
          </w:p>
        </w:tc>
      </w:tr>
      <w:tr w:rsidR="002D697F" w:rsidRPr="00FD0F64" w14:paraId="3F00A43F" w14:textId="77777777" w:rsidTr="007D1C45">
        <w:tc>
          <w:tcPr>
            <w:tcW w:w="2515" w:type="dxa"/>
            <w:vAlign w:val="center"/>
          </w:tcPr>
          <w:p w14:paraId="015E19BD" w14:textId="77777777" w:rsidR="002D697F" w:rsidRPr="00FD0F64" w:rsidRDefault="002D697F" w:rsidP="007D1C45">
            <w:pPr>
              <w:pStyle w:val="ThesisParagraphText"/>
              <w:ind w:firstLine="0"/>
              <w:jc w:val="left"/>
            </w:pPr>
            <w:r>
              <w:rPr>
                <w:rFonts w:eastAsia="Times New Roman"/>
                <w:lang w:eastAsia="en-PH"/>
              </w:rPr>
              <w:t>Decision Tree</w:t>
            </w:r>
          </w:p>
        </w:tc>
        <w:tc>
          <w:tcPr>
            <w:tcW w:w="6115" w:type="dxa"/>
            <w:vAlign w:val="center"/>
          </w:tcPr>
          <w:p w14:paraId="120E05C9" w14:textId="77777777" w:rsidR="002D697F" w:rsidRPr="00FD0F64" w:rsidRDefault="002D697F" w:rsidP="007D1C45">
            <w:pPr>
              <w:pStyle w:val="ThesisParagraphText"/>
              <w:ind w:firstLine="0"/>
              <w:rPr>
                <w:rFonts w:eastAsia="Times New Roman"/>
                <w:lang w:eastAsia="en-PH"/>
              </w:rPr>
            </w:pPr>
            <w:r>
              <w:rPr>
                <w:rFonts w:eastAsia="Times New Roman"/>
                <w:lang w:eastAsia="en-PH"/>
              </w:rPr>
              <w:t>Gini importance</w:t>
            </w:r>
          </w:p>
        </w:tc>
      </w:tr>
      <w:tr w:rsidR="002D697F" w:rsidRPr="00FD0F64" w14:paraId="06CAD565" w14:textId="77777777" w:rsidTr="007D1C45">
        <w:tc>
          <w:tcPr>
            <w:tcW w:w="2515" w:type="dxa"/>
            <w:vAlign w:val="center"/>
          </w:tcPr>
          <w:p w14:paraId="16A9DB05" w14:textId="77777777" w:rsidR="002D697F" w:rsidRPr="00FD0F64" w:rsidRDefault="002D697F" w:rsidP="007D1C45">
            <w:pPr>
              <w:pStyle w:val="ThesisParagraphText"/>
              <w:ind w:firstLine="0"/>
              <w:jc w:val="left"/>
            </w:pPr>
            <w:r>
              <w:rPr>
                <w:rFonts w:eastAsia="Times New Roman"/>
                <w:lang w:eastAsia="en-PH"/>
              </w:rPr>
              <w:t>Random Forest</w:t>
            </w:r>
          </w:p>
        </w:tc>
        <w:tc>
          <w:tcPr>
            <w:tcW w:w="6115" w:type="dxa"/>
            <w:vAlign w:val="center"/>
          </w:tcPr>
          <w:p w14:paraId="0D440D9C" w14:textId="77777777" w:rsidR="002D697F" w:rsidRPr="00FD0F64" w:rsidRDefault="002D697F" w:rsidP="007D1C45">
            <w:pPr>
              <w:pStyle w:val="ThesisParagraphText"/>
              <w:ind w:firstLine="0"/>
            </w:pPr>
            <w:r>
              <w:rPr>
                <w:rFonts w:eastAsia="Times New Roman"/>
                <w:lang w:eastAsia="en-PH"/>
              </w:rPr>
              <w:t>Mean decrease in impurity (MDI) or Permutation importance</w:t>
            </w:r>
          </w:p>
        </w:tc>
      </w:tr>
      <w:tr w:rsidR="002D697F" w:rsidRPr="00FD0F64" w14:paraId="318563A6" w14:textId="77777777" w:rsidTr="007D1C45">
        <w:tc>
          <w:tcPr>
            <w:tcW w:w="2515" w:type="dxa"/>
            <w:vAlign w:val="center"/>
          </w:tcPr>
          <w:p w14:paraId="2E692E41" w14:textId="77777777" w:rsidR="002D697F" w:rsidRPr="00FD0F64" w:rsidRDefault="002D697F" w:rsidP="007D1C45">
            <w:pPr>
              <w:pStyle w:val="ThesisParagraphText"/>
              <w:ind w:firstLine="0"/>
              <w:jc w:val="left"/>
            </w:pPr>
            <w:r>
              <w:rPr>
                <w:rFonts w:eastAsia="Times New Roman"/>
                <w:lang w:eastAsia="en-PH"/>
              </w:rPr>
              <w:t>AdaBoost</w:t>
            </w:r>
          </w:p>
        </w:tc>
        <w:tc>
          <w:tcPr>
            <w:tcW w:w="6115" w:type="dxa"/>
            <w:vAlign w:val="center"/>
          </w:tcPr>
          <w:p w14:paraId="14202DB0" w14:textId="77777777" w:rsidR="002D697F" w:rsidRPr="00FD0F64" w:rsidRDefault="002D697F" w:rsidP="007D1C45">
            <w:pPr>
              <w:pStyle w:val="ThesisParagraphText"/>
              <w:ind w:firstLine="0"/>
            </w:pPr>
            <w:r>
              <w:rPr>
                <w:rFonts w:eastAsia="Times New Roman"/>
                <w:lang w:eastAsia="en-PH"/>
              </w:rPr>
              <w:t>Importance derived from the weighted sum of weak learners (decision stumps/trees).</w:t>
            </w:r>
          </w:p>
        </w:tc>
      </w:tr>
      <w:tr w:rsidR="002D697F" w:rsidRPr="00FD0F64" w14:paraId="7486EC86" w14:textId="77777777" w:rsidTr="007D1C45">
        <w:tc>
          <w:tcPr>
            <w:tcW w:w="2515" w:type="dxa"/>
            <w:vAlign w:val="center"/>
          </w:tcPr>
          <w:p w14:paraId="654C9F4F" w14:textId="77777777" w:rsidR="002D697F" w:rsidRPr="00FD0F64" w:rsidRDefault="002D697F" w:rsidP="007D1C45">
            <w:pPr>
              <w:pStyle w:val="ThesisParagraphText"/>
              <w:ind w:firstLine="0"/>
              <w:jc w:val="left"/>
            </w:pPr>
            <w:r>
              <w:rPr>
                <w:rFonts w:eastAsia="Times New Roman"/>
                <w:lang w:eastAsia="en-PH"/>
              </w:rPr>
              <w:t>XGBoost</w:t>
            </w:r>
          </w:p>
        </w:tc>
        <w:tc>
          <w:tcPr>
            <w:tcW w:w="6115" w:type="dxa"/>
            <w:vAlign w:val="center"/>
          </w:tcPr>
          <w:p w14:paraId="478888E5" w14:textId="77777777" w:rsidR="002D697F" w:rsidRPr="00FD0F64" w:rsidRDefault="002D697F" w:rsidP="007D1C45">
            <w:pPr>
              <w:pStyle w:val="ThesisParagraphText"/>
              <w:ind w:firstLine="0"/>
              <w:rPr>
                <w:rFonts w:eastAsia="Times New Roman"/>
                <w:lang w:eastAsia="en-PH"/>
              </w:rPr>
            </w:pPr>
            <w:r>
              <w:rPr>
                <w:rFonts w:eastAsia="Times New Roman"/>
                <w:lang w:eastAsia="en-PH"/>
              </w:rPr>
              <w:t xml:space="preserve">Multiple metrics: </w:t>
            </w:r>
          </w:p>
          <w:p w14:paraId="5BF881F2" w14:textId="77777777" w:rsidR="002D697F" w:rsidRPr="00FD0F64" w:rsidRDefault="002D697F" w:rsidP="007D1C45">
            <w:pPr>
              <w:pStyle w:val="ThesisParagraphText"/>
              <w:ind w:left="342" w:firstLine="0"/>
              <w:rPr>
                <w:rFonts w:eastAsia="Times New Roman"/>
                <w:lang w:eastAsia="en-PH"/>
              </w:rPr>
            </w:pPr>
            <w:r>
              <w:rPr>
                <w:rFonts w:eastAsia="Times New Roman"/>
                <w:lang w:eastAsia="en-PH"/>
              </w:rPr>
              <w:t>Gain (improvement in accuracy from splits),</w:t>
            </w:r>
          </w:p>
          <w:p w14:paraId="679E0910" w14:textId="77777777" w:rsidR="002D697F" w:rsidRPr="00FD0F64" w:rsidRDefault="002D697F" w:rsidP="007D1C45">
            <w:pPr>
              <w:pStyle w:val="ThesisParagraphText"/>
              <w:ind w:left="342" w:firstLine="0"/>
              <w:rPr>
                <w:rFonts w:eastAsia="Times New Roman"/>
                <w:lang w:eastAsia="en-PH"/>
              </w:rPr>
            </w:pPr>
            <w:r>
              <w:rPr>
                <w:rFonts w:eastAsia="Times New Roman"/>
                <w:lang w:eastAsia="en-PH"/>
              </w:rPr>
              <w:t>Cover (number of samples affected), and</w:t>
            </w:r>
          </w:p>
          <w:p w14:paraId="34CE9716" w14:textId="77777777" w:rsidR="002D697F" w:rsidRPr="00FD0F64" w:rsidRDefault="002D697F" w:rsidP="007D1C45">
            <w:pPr>
              <w:pStyle w:val="ThesisParagraphText"/>
              <w:ind w:left="342" w:firstLine="0"/>
            </w:pPr>
            <w:r>
              <w:rPr>
                <w:rFonts w:eastAsia="Times New Roman"/>
                <w:lang w:eastAsia="en-PH"/>
              </w:rPr>
              <w:t>Frequency (split count).</w:t>
            </w:r>
          </w:p>
        </w:tc>
      </w:tr>
      <w:tr w:rsidR="002D697F" w:rsidRPr="00FD0F64" w14:paraId="433FA0C2" w14:textId="77777777" w:rsidTr="007D1C45">
        <w:tc>
          <w:tcPr>
            <w:tcW w:w="2515" w:type="dxa"/>
            <w:vAlign w:val="center"/>
          </w:tcPr>
          <w:p w14:paraId="772CC018" w14:textId="77777777" w:rsidR="002D697F" w:rsidRPr="00FD0F64" w:rsidRDefault="002D697F" w:rsidP="007D1C45">
            <w:pPr>
              <w:pStyle w:val="ThesisParagraphText"/>
              <w:ind w:firstLine="0"/>
              <w:jc w:val="left"/>
            </w:pPr>
            <w:r>
              <w:rPr>
                <w:rFonts w:eastAsia="Times New Roman"/>
                <w:lang w:eastAsia="en-PH"/>
              </w:rPr>
              <w:t>Gaussian Naive Bayes</w:t>
            </w:r>
          </w:p>
        </w:tc>
        <w:tc>
          <w:tcPr>
            <w:tcW w:w="6115" w:type="dxa"/>
            <w:vAlign w:val="center"/>
          </w:tcPr>
          <w:p w14:paraId="0AD25CD2" w14:textId="77777777" w:rsidR="002D697F" w:rsidRPr="00FD0F64" w:rsidRDefault="002D697F" w:rsidP="007D1C45">
            <w:pPr>
              <w:pStyle w:val="ThesisParagraphText"/>
              <w:ind w:firstLine="0"/>
            </w:pPr>
            <w:r>
              <w:rPr>
                <w:rFonts w:eastAsia="Times New Roman"/>
                <w:lang w:eastAsia="en-PH"/>
              </w:rPr>
              <w:t>Feature influence comes from likelihoods (mean, variance per class).</w:t>
            </w:r>
          </w:p>
        </w:tc>
      </w:tr>
      <w:tr w:rsidR="002D697F" w:rsidRPr="00FD0F64" w14:paraId="274DEAD6" w14:textId="77777777" w:rsidTr="007D1C45">
        <w:tc>
          <w:tcPr>
            <w:tcW w:w="2515" w:type="dxa"/>
            <w:vAlign w:val="center"/>
          </w:tcPr>
          <w:p w14:paraId="7B06FC5A" w14:textId="77777777" w:rsidR="002D697F" w:rsidRPr="00FD0F64" w:rsidRDefault="002D697F" w:rsidP="007D1C45">
            <w:pPr>
              <w:pStyle w:val="ThesisParagraphText"/>
              <w:ind w:firstLine="0"/>
              <w:jc w:val="left"/>
            </w:pPr>
            <w:r>
              <w:rPr>
                <w:rFonts w:eastAsia="Times New Roman"/>
                <w:lang w:eastAsia="en-PH"/>
              </w:rPr>
              <w:t>KNN</w:t>
            </w:r>
          </w:p>
        </w:tc>
        <w:tc>
          <w:tcPr>
            <w:tcW w:w="6115" w:type="dxa"/>
            <w:vAlign w:val="center"/>
          </w:tcPr>
          <w:p w14:paraId="560C0CA5" w14:textId="77777777" w:rsidR="002D697F" w:rsidRPr="00FD0F64" w:rsidRDefault="002D697F" w:rsidP="007D1C45">
            <w:pPr>
              <w:pStyle w:val="ThesisParagraphText"/>
              <w:ind w:firstLine="0"/>
            </w:pPr>
            <w:r>
              <w:rPr>
                <w:rFonts w:eastAsia="Times New Roman"/>
                <w:lang w:eastAsia="en-PH"/>
              </w:rPr>
              <w:t>Permutation importance</w:t>
            </w:r>
          </w:p>
        </w:tc>
      </w:tr>
    </w:tbl>
    <w:p w14:paraId="659B94A9" w14:textId="77777777" w:rsidR="009704B0" w:rsidRDefault="009704B0">
      <w:pPr>
        <w:pStyle w:val="ThesisParagraphText"/>
      </w:pPr>
    </w:p>
    <w:p w14:paraId="7336E5DC" w14:textId="5B87036F" w:rsidR="00856161" w:rsidRDefault="00750A62">
      <w:pPr>
        <w:pStyle w:val="ThesisParagraphText"/>
      </w:pPr>
      <w:r>
        <w:lastRenderedPageBreak/>
        <w:t>The methods differ because feature attribution must respect each model's internal structure: impurity-based measures suit tree learners, the gain/cover/frequency metrics decompose XGBoost's boosted splits, likelihood parameters expose Gaussian Naive Bayes' per-class evidence, and model-agnostic permutation importance covers learners such as KNN that lack intrinsic attribution. Normalizing these scores per experiment allows importance rankings to be compared across model families in Chapter 4.</w:t>
      </w:r>
    </w:p>
    <w:p w14:paraId="1C1D2C20" w14:textId="77777777" w:rsidR="0011778A" w:rsidRDefault="0011778A">
      <w:pPr>
        <w:autoSpaceDE/>
        <w:autoSpaceDN/>
        <w:adjustRightInd/>
        <w:spacing w:line="278" w:lineRule="auto"/>
        <w:ind w:firstLine="0"/>
        <w:jc w:val="left"/>
        <w:rPr>
          <w:b/>
          <w:bCs/>
          <w:kern w:val="0"/>
          <w:szCs w:val="18"/>
          <w14:ligatures w14:val="none"/>
        </w:rPr>
      </w:pPr>
      <w:r>
        <w:br w:type="page"/>
      </w:r>
    </w:p>
    <w:p w14:paraId="26327D33" w14:textId="77777777" w:rsidR="00A86118" w:rsidRPr="00FD0F64" w:rsidRDefault="00DE17CA" w:rsidP="00DE17CA">
      <w:pPr>
        <w:pStyle w:val="Heading2"/>
      </w:pPr>
      <w:bookmarkStart w:id="108" w:name="_Toc233585283"/>
      <w:r>
        <w:lastRenderedPageBreak/>
        <w:t>3.6 Experimental Design and Evaluation</w:t>
      </w:r>
      <w:bookmarkEnd w:id="108"/>
    </w:p>
    <w:p w14:paraId="79F9E27E" w14:textId="77777777" w:rsidR="003C49E7" w:rsidRPr="00FD0F64" w:rsidRDefault="00CE74CF" w:rsidP="004A5505">
      <w:pPr>
        <w:pStyle w:val="ThesisParagraphText"/>
        <w:ind w:firstLine="720"/>
      </w:pPr>
      <w:r>
        <w:t>The benchmark encompasses 1,092 unique configurations (15 models × 7 balancing strategies × ~10 parameter sets × 2 feature regimes). Models were evaluated using a temporal 70/30 train–test split, where the training set comprised invoices with due dates prior to March 7, 2025, and the test set included invoices due on or after that date. Given the extreme class imbalance (Class 0 dominates at ~76%), macro-averaged F1-score was selected as the primary performance metric, supplemented by Area Under the Receiver Operating Characteristic Curve (ROC-AUC) and confusion matrix analysis to assess per-class recall.</w:t>
      </w:r>
    </w:p>
    <w:p w14:paraId="0272FB3B" w14:textId="77777777" w:rsidR="00856161" w:rsidRDefault="00750A62">
      <w:pPr>
        <w:pStyle w:val="ThesisParagraphText"/>
      </w:pPr>
      <w:r>
        <w:t>The temporal split was chosen over random cross-validation deliberately: invoices are not exchangeable across time, and a random split would leak future payment behavior into training, inflating measured performance relative to deployment conditions. Training on all invoices due before March 7, 2025 and testing on those due afterward reproduces the situation the school faces in production, predicting forthcoming invoices from historical behavior, and exposes the models to any distribution drift across school years. The class imbalance statistics underline the metric choice: with Class 0 at roughly 76% of records, raw accuracy is dominated by the majority class, while the minority brackets that carry the greatest financial risk contribute least to it. Macro-averaged F1 corrects this by weighting all four classes equally, ROC-AUC complements it with a threshold-independent view of separability, and confusion matrices retain the per-class recall that a finance office ultimately acts on.</w:t>
      </w:r>
    </w:p>
    <w:p w14:paraId="101CB8DD" w14:textId="77777777" w:rsidR="00856161" w:rsidRDefault="00750A62">
      <w:pPr>
        <w:pStyle w:val="ThesisParagraphText"/>
      </w:pPr>
      <w:r>
        <w:t>Figure 3.9 illustrates the distribution of the four payment brackets across the 6,527 training records used in this study.</w:t>
      </w:r>
    </w:p>
    <w:p w14:paraId="38ECB321" w14:textId="77777777" w:rsidR="004E2929" w:rsidRDefault="00AB53D5" w:rsidP="004E2929">
      <w:pPr>
        <w:pStyle w:val="NoSpacing"/>
        <w:jc w:val="center"/>
      </w:pPr>
      <w:r>
        <w:rPr>
          <w:noProof/>
        </w:rPr>
        <w:lastRenderedPageBreak/>
        <w:drawing>
          <wp:inline distT="0" distB="0" distL="0" distR="0" wp14:anchorId="17AE9EF5" wp14:editId="1FD56035">
            <wp:extent cx="5486400" cy="3406140"/>
            <wp:effectExtent l="0" t="0" r="0" b="3810"/>
            <wp:docPr id="1860341301" name="Picture 11" descr="A graph of blue rectangular bar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41301" name="Picture 11" descr="A graph of blue rectangular bars with black text&#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86400" cy="3406140"/>
                    </a:xfrm>
                    <a:prstGeom prst="rect">
                      <a:avLst/>
                    </a:prstGeom>
                    <a:noFill/>
                    <a:ln>
                      <a:noFill/>
                    </a:ln>
                  </pic:spPr>
                </pic:pic>
              </a:graphicData>
            </a:graphic>
          </wp:inline>
        </w:drawing>
      </w:r>
    </w:p>
    <w:p w14:paraId="6BA0D659" w14:textId="31F0BACA" w:rsidR="008D5CC8" w:rsidRDefault="0081578F" w:rsidP="008F0EE6">
      <w:pPr>
        <w:pStyle w:val="Caption"/>
        <w:ind w:firstLine="0"/>
        <w:rPr>
          <w:noProof/>
        </w:rPr>
      </w:pPr>
      <w:bookmarkStart w:id="109" w:name="_Toc233585322"/>
      <w:r>
        <w:t>Figure 3.</w:t>
        <w:fldChar w:fldCharType="begin"/>
        <w:instrText>SEQ Figure \* ARABIC \s 1</w:instrText>
        <w:fldChar w:fldCharType="separate"/>
      </w:r>
      <w:r>
        <w:rPr>
          <w:noProof/>
        </w:rPr>
        <w:t>9</w:t>
      </w:r>
      <w:r>
        <w:fldChar w:fldCharType="end"/>
        <w:t>: Distribution of payment statuses.</w:t>
      </w:r>
      <w:bookmarkEnd w:id="109"/>
    </w:p>
    <w:p w14:paraId="144BFA9D" w14:textId="77777777" w:rsidR="00856161" w:rsidRDefault="00750A62">
      <w:pPr>
        <w:pStyle w:val="ThesisParagraphText"/>
      </w:pPr>
      <w:r>
        <w:t>The distribution is extremely imbalanced: roughly 76% of invoices fall into Class 0 (on-time), while the three late brackets share the remainder, with the severest brackets the rarest. Left untreated, this imbalance lets a classifier achieve high accuracy by always predicting the majority class while failing entirely on the late invoices that matter operationally. It is this property that necessitates the resampling strategies evaluated in the benchmark (SMOTE [43], Borderline-SMOTE [44], SMOTE-Tomek [45], and threshold-based hybrid undersampling) and that motivates macro-averaged F1, which weights all four classes equally, as the primary evaluation metric, consistent with standard practice in imbalanced classification [46].</w:t>
      </w:r>
    </w:p>
    <w:p w14:paraId="64C89324" w14:textId="77777777" w:rsidR="00467A2C" w:rsidRPr="00FD0F64" w:rsidRDefault="00467A2C" w:rsidP="00467A2C">
      <w:pPr>
        <w:pStyle w:val="ThesisParagraphText"/>
      </w:pPr>
      <w:r>
        <w:t>The last module of the framework is the analysis phase, presented in Figure 3.10. After the benchmark completes, the analysis component aggregates the logged experiments for evaluation and comparison.</w:t>
      </w:r>
    </w:p>
    <w:p w14:paraId="7DC1AE02" w14:textId="77777777" w:rsidR="00467A2C" w:rsidRDefault="00467A2C" w:rsidP="009704B0">
      <w:pPr>
        <w:pStyle w:val="NoSpacing"/>
        <w:keepNext/>
        <w:jc w:val="center"/>
      </w:pPr>
      <w:r>
        <w:rPr>
          <w:noProof/>
        </w:rPr>
        <w:lastRenderedPageBreak/>
        <w:drawing>
          <wp:inline distT="0" distB="0" distL="0" distR="0" wp14:anchorId="7580891C" wp14:editId="0A38887B">
            <wp:extent cx="5099200" cy="5577840"/>
            <wp:effectExtent l="0" t="0" r="6350" b="3810"/>
            <wp:docPr id="17172182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18247"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5099200" cy="5577840"/>
                    </a:xfrm>
                    <a:prstGeom prst="rect">
                      <a:avLst/>
                    </a:prstGeom>
                  </pic:spPr>
                </pic:pic>
              </a:graphicData>
            </a:graphic>
          </wp:inline>
        </w:drawing>
      </w:r>
    </w:p>
    <w:p w14:paraId="0A3D6C14" w14:textId="77777777" w:rsidR="0081578F" w:rsidRPr="00FD0F64" w:rsidRDefault="0081578F" w:rsidP="00467A2C">
      <w:pPr>
        <w:pStyle w:val="NoSpacing"/>
        <w:keepNext/>
      </w:pPr>
    </w:p>
    <w:p w14:paraId="7167FDB9" w14:textId="09D4903B" w:rsidR="000047C7" w:rsidRDefault="0081578F" w:rsidP="008F0EE6">
      <w:pPr>
        <w:pStyle w:val="Caption"/>
        <w:ind w:firstLine="0"/>
        <w:rPr>
          <w:noProof/>
        </w:rPr>
      </w:pPr>
      <w:bookmarkStart w:id="110" w:name="_Toc233585323"/>
      <w:r>
        <w:t>Figure 3.</w:t>
        <w:fldChar w:fldCharType="begin"/>
        <w:instrText>SEQ Figure \* ARABIC \s 1</w:instrText>
        <w:fldChar w:fldCharType="separate"/>
      </w:r>
      <w:r>
        <w:rPr>
          <w:noProof/>
        </w:rPr>
        <w:t>10</w:t>
      </w:r>
      <w:r>
        <w:fldChar w:fldCharType="end"/>
        <w:t>: Level-1 DFD of the Analysis component.</w:t>
      </w:r>
      <w:bookmarkEnd w:id="110"/>
    </w:p>
    <w:p w14:paraId="18760057" w14:textId="1554174F" w:rsidR="000047C7" w:rsidRPr="009704B0" w:rsidRDefault="00750A62" w:rsidP="009704B0">
      <w:pPr>
        <w:pStyle w:val="ThesisParagraphText"/>
      </w:pPr>
      <w:r>
        <w:t>The analysis component reads the per-experiment metrics, feature importance scores, and class mappings from the results database, ranks configurations by macro-F1 and ROC-AUC, and renders the comparative figures presented in Chapter 4. Keeping analysis decoupled from training means new experiments extend the same results store without rerunning prior configurations, and every figure in Chapter 4 is reproducible from the 1,092 logged experiments.</w:t>
      </w:r>
      <w:r>
        <w:rPr>
          <w:noProof/>
        </w:rPr>
        <w:br w:type="page"/>
      </w:r>
    </w:p>
    <w:p w14:paraId="01F7BD9C" w14:textId="77777777" w:rsidR="00856161" w:rsidRDefault="00750A62">
      <w:pPr>
        <w:pStyle w:val="Heading2"/>
      </w:pPr>
      <w:bookmarkStart w:id="111" w:name="_Toc233585284"/>
      <w:r>
        <w:lastRenderedPageBreak/>
        <w:t>3.7 Ethical Considerations</w:t>
      </w:r>
      <w:bookmarkEnd w:id="111"/>
    </w:p>
    <w:p w14:paraId="1831BF66" w14:textId="77777777" w:rsidR="00856161" w:rsidRDefault="00750A62">
      <w:pPr>
        <w:pStyle w:val="ThesisParagraphText"/>
      </w:pPr>
      <w:r>
        <w:t>Because the study processes sensitive student financial records and produces predictions about identifiable behavior, two ethical dimensions require explicit treatment: the privacy of the data used to train the models, and the manner in which the resulting predictions may be used.</w:t>
      </w:r>
    </w:p>
    <w:p w14:paraId="47886899" w14:textId="77777777" w:rsidR="00856161" w:rsidRDefault="00750A62">
      <w:pPr>
        <w:pStyle w:val="Heading3"/>
      </w:pPr>
      <w:bookmarkStart w:id="112" w:name="_Toc233585285"/>
      <w:r>
        <w:t>3.7.1 Data Privacy</w:t>
      </w:r>
      <w:bookmarkEnd w:id="112"/>
    </w:p>
    <w:p w14:paraId="496944D1" w14:textId="6D5C195E" w:rsidR="009704B0" w:rsidRDefault="00750A62" w:rsidP="009704B0">
      <w:pPr>
        <w:pStyle w:val="ThesisParagraphText"/>
      </w:pPr>
      <w:r>
        <w:t>The dataset contains sensitive student financial records, and privacy was addressed before any analysis took place. All student identifiers were pseudonymized using a deterministic, irreversible hash implemented in a dedicated pseudonymization utility in the project codebase; no real names or student numbers appear in any processed file, and the mapping cannot be reversed from the published artifacts. Raw data files are never committed to version control; their exclusion is enforced through the repository's ignore rules, so the source records exist only within the institution's systems and the researchers' controlled working environment. These measures place the study in compliance with the Data Privacy Act of 2012 (Republic Act 10173) [47], which governs the processing of personal information in the Philippines and requires that processing be limited to declared, legitimate purposes with proportionate safeguards. Data access was granted under written institutional authorization, reproduced as Appendix G, which defines the scope of data access and the restrictions on its use. Finally, the predictive model outputs are intended for institutional receivables management only; they are not designed or released for individual student profiling for any public purpose.</w:t>
        <w:br w:type="page"/>
      </w:r>
    </w:p>
    <w:p w14:paraId="3FA17BB9" w14:textId="77777777" w:rsidR="00856161" w:rsidRDefault="00750A62">
      <w:pPr>
        <w:pStyle w:val="Heading3"/>
      </w:pPr>
      <w:bookmarkStart w:id="113" w:name="_Toc233585286"/>
      <w:r>
        <w:lastRenderedPageBreak/>
        <w:t>3.7.2 Ethical Use of Predictions</w:t>
      </w:r>
      <w:bookmarkEnd w:id="113"/>
    </w:p>
    <w:p w14:paraId="31143E3A" w14:textId="7DF30326" w:rsidR="009159CA" w:rsidRDefault="00750A62">
      <w:pPr>
        <w:pStyle w:val="ThesisParagraphText"/>
      </w:pPr>
      <w:r>
        <w:t>There is an inherent risk that machine learning predictions of payment delinquency could be used to discriminate against students from families with poor payment histories, and the researchers acknowledge this risk explicitly. Three mitigations are recommended wherever the system is deployed. First, predictions should inform early outreach and support (earlier reminders, proactive installment restructuring, or referral to social welfare assistance) and never punitive action against the student. Second, any intervention workflow built on the model must comply with Republic Act 11984 [11], which prohibits academic penalties, including examination denial, for outstanding balances; the system's outputs therefore cannot lawfully gate any academic activity. Third, the model should be audited periodically for demographic bias, comparing error rates across student segments, and retrained where disparities emerge. The study's framing is deliberately supportive rather than punitive: the goal is to enable schools to offer targeted payment assistance earlier, not to flag students for enforcement, and this orientation is embedded in the recommendations of Chapter 5.</w:t>
      </w:r>
    </w:p>
    <w:p w14:paraId="6ECCD79E" w14:textId="77777777" w:rsidR="009159CA" w:rsidRDefault="009159CA">
      <w:pPr>
        <w:autoSpaceDE/>
        <w:autoSpaceDN/>
        <w:adjustRightInd/>
        <w:spacing w:line="278" w:lineRule="auto"/>
        <w:ind w:firstLine="0"/>
        <w:jc w:val="left"/>
        <w:rPr>
          <w:rFonts w:eastAsia="Calibri"/>
          <w:kern w:val="0"/>
          <w14:ligatures w14:val="none"/>
        </w:rPr>
      </w:pPr>
      <w:r>
        <w:br w:type="page"/>
      </w:r>
    </w:p>
    <w:p w14:paraId="70A3FEA0" w14:textId="77777777" w:rsidR="0083039C" w:rsidRPr="00FD0F64" w:rsidRDefault="00E05849" w:rsidP="001A282A">
      <w:pPr>
        <w:pStyle w:val="Heading1"/>
      </w:pPr>
      <w:bookmarkStart w:id="114" w:name="_Toc233585287"/>
      <w:r>
        <w:lastRenderedPageBreak/>
        <w:t>CHAPTER 4</w:t>
      </w:r>
      <w:r>
        <w:rPr>
          <w:color w:val="FFFFFF" w:themeColor="background1"/>
        </w:rPr>
        <w:t>:</w:t>
      </w:r>
      <w:r>
        <w:br/>
        <w:t>RESULTS AND DISCUSSION</w:t>
      </w:r>
      <w:bookmarkEnd w:id="114"/>
    </w:p>
    <w:p w14:paraId="5E6C2BDF" w14:textId="77777777" w:rsidR="0083039C" w:rsidRPr="00FD0F64" w:rsidRDefault="00A61B0A" w:rsidP="009704B0">
      <w:pPr>
        <w:pStyle w:val="ThesisParagraphText"/>
      </w:pPr>
      <w:r>
        <w:t>The experimental results from 1,092 benchmark configurations reveal significant performance variances across model families, resampling strategies, and feature regimes. Performance is primarily ranked by macro-averaged F1-score to account for the severe class imbalance.</w:t>
      </w:r>
    </w:p>
    <w:p w14:paraId="76DBEBA4" w14:textId="338FF0BE" w:rsidR="009704B0" w:rsidRDefault="00750A62">
      <w:pPr>
        <w:pStyle w:val="ThesisParagraphText"/>
      </w:pPr>
      <w:r>
        <w:t>This chapter is organized around the four research questions posed in Section 1.3. Section 4.1 addresses RQ1 by comparing two-stage and ordinal ensemble architectures against single-stage base classifiers. Section 4.2 addresses RQ2, isolating the marginal contribution of survival-analysis-derived features. Section 4.3 addresses RQ3, evaluating seven class-balancing strategies across all model families. Section 4.4 examines the convergence of the two headline metrics and the resulting model selection criteria, and Section 4.5 addresses RQ4 by analyzing which granular features most consistently drive payment-bracket predictions. The chapter closes with a demonstration of the prototype system that operationalizes the best-performing model (Section 4.6) and an assessment of the pipeline's generalizability to public benchmark datasets (Section 4.7).</w:t>
      </w:r>
    </w:p>
    <w:p w14:paraId="34137095" w14:textId="77777777" w:rsidR="009704B0" w:rsidRDefault="009704B0">
      <w:pPr>
        <w:autoSpaceDE/>
        <w:autoSpaceDN/>
        <w:adjustRightInd/>
        <w:spacing w:line="278" w:lineRule="auto"/>
        <w:ind w:firstLine="0"/>
        <w:jc w:val="left"/>
        <w:rPr>
          <w:rFonts w:eastAsia="Calibri"/>
          <w:kern w:val="0"/>
          <w14:ligatures w14:val="none"/>
        </w:rPr>
      </w:pPr>
      <w:r>
        <w:br w:type="page"/>
      </w:r>
    </w:p>
    <w:p w14:paraId="6DEBE66A" w14:textId="77777777" w:rsidR="00C60A0D" w:rsidRPr="00FD0F64" w:rsidRDefault="00A61B0A" w:rsidP="009E2EBD">
      <w:pPr>
        <w:pStyle w:val="Heading2"/>
      </w:pPr>
      <w:bookmarkStart w:id="115" w:name="_Toc233585288"/>
      <w:r>
        <w:lastRenderedPageBreak/>
        <w:t>4.1 RQ1: Performance of Ensemble Architectures vs. Base Classifiers</w:t>
      </w:r>
      <w:bookmarkEnd w:id="115"/>
    </w:p>
    <w:p w14:paraId="0DF369D2" w14:textId="77777777" w:rsidR="00856161" w:rsidRDefault="00750A62">
      <w:pPr>
        <w:pStyle w:val="ThesisParagraphText"/>
      </w:pPr>
      <w:r>
        <w:t>Table 4.1 presents the peak macro-F1 and ROC-AUC scores for each model family under the enhanced feature regime, identifying the best individual model and resampling strategy per family.</w:t>
      </w:r>
    </w:p>
    <w:p w14:paraId="4E2F53C3" w14:textId="05E694F2" w:rsidR="006E4711" w:rsidRPr="00FD0F64" w:rsidRDefault="009E2EBD" w:rsidP="009279BE">
      <w:pPr>
        <w:pStyle w:val="Caption"/>
        <w:ind w:firstLine="0"/>
      </w:pPr>
      <w:bookmarkStart w:id="116" w:name="_Toc233585359"/>
      <w:r>
        <w:t>Table 4.</w:t>
      </w:r>
      <w:r>
        <w:rPr>
          <w:noProof/>
        </w:rPr>
        <w:fldChar w:fldCharType="begin"/>
        <w:instrText xml:space="preserve"> SEQ Table \* ARABIC \r 1 </w:instrText>
        <w:fldChar w:fldCharType="separate"/>
        <w:t>1</w:t>
        <w:fldChar w:fldCharType="end"/>
      </w:r>
      <w:r>
        <w:t>. Peak performance per model family (Enhanced Feature Regime).</w:t>
      </w:r>
      <w:bookmarkEnd w:id="116"/>
    </w:p>
    <w:tbl>
      <w:tblPr>
        <w:tblStyle w:val="PlainTable3"/>
        <w:tblW w:w="0" w:type="auto"/>
        <w:tblLook w:val="04A0" w:firstRow="1" w:lastRow="0" w:firstColumn="1" w:lastColumn="0" w:noHBand="0" w:noVBand="1"/>
      </w:tblPr>
      <w:tblGrid>
        <w:gridCol w:w="1565"/>
        <w:gridCol w:w="1404"/>
        <w:gridCol w:w="1404"/>
        <w:gridCol w:w="1883"/>
        <w:gridCol w:w="2384"/>
      </w:tblGrid>
      <w:tr w:rsidR="006E4711" w:rsidRPr="00FD0F64" w14:paraId="21233191" w14:textId="77777777" w:rsidTr="00E550D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5" w:type="dxa"/>
            <w:vAlign w:val="bottom"/>
          </w:tcPr>
          <w:p w14:paraId="08AD3BB5" w14:textId="77777777" w:rsidR="006E4711" w:rsidRPr="00FD0F64" w:rsidRDefault="00AD0161" w:rsidP="009726C9">
            <w:pPr>
              <w:pStyle w:val="ThesisParagraphText"/>
              <w:spacing w:line="240" w:lineRule="auto"/>
              <w:ind w:left="144" w:firstLine="0"/>
              <w:jc w:val="left"/>
              <w:rPr>
                <w:b w:val="0"/>
                <w:bCs w:val="0"/>
                <w:sz w:val="20"/>
                <w:szCs w:val="20"/>
              </w:rPr>
            </w:pPr>
            <w:r>
              <w:rPr>
                <w:b w:val="0"/>
                <w:bCs w:val="0"/>
                <w:sz w:val="20"/>
                <w:szCs w:val="20"/>
              </w:rPr>
              <w:t>Family</w:t>
            </w:r>
          </w:p>
        </w:tc>
        <w:tc>
          <w:tcPr>
            <w:tcW w:w="1404" w:type="dxa"/>
            <w:vAlign w:val="bottom"/>
          </w:tcPr>
          <w:p w14:paraId="78D83663" w14:textId="77777777" w:rsidR="006E4711" w:rsidRPr="00FD0F64" w:rsidRDefault="004A6411" w:rsidP="009726C9">
            <w:pPr>
              <w:pStyle w:val="ThesisParagraphTex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Peak F1</w:t>
            </w:r>
          </w:p>
        </w:tc>
        <w:tc>
          <w:tcPr>
            <w:tcW w:w="1404" w:type="dxa"/>
            <w:vAlign w:val="bottom"/>
          </w:tcPr>
          <w:p w14:paraId="19AB778B" w14:textId="77777777" w:rsidR="006E4711" w:rsidRPr="00FD0F64" w:rsidRDefault="004A6411" w:rsidP="009726C9">
            <w:pPr>
              <w:pStyle w:val="ThesisParagraphText"/>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Peak ROC-AUC</w:t>
            </w:r>
          </w:p>
        </w:tc>
        <w:tc>
          <w:tcPr>
            <w:tcW w:w="1883" w:type="dxa"/>
            <w:vAlign w:val="bottom"/>
          </w:tcPr>
          <w:p w14:paraId="6215C179" w14:textId="77777777" w:rsidR="006E4711" w:rsidRPr="00FD0F64" w:rsidRDefault="00882E5A" w:rsidP="009726C9">
            <w:pPr>
              <w:pStyle w:val="ThesisParagraphText"/>
              <w:spacing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Best Individual Model</w:t>
            </w:r>
          </w:p>
        </w:tc>
        <w:tc>
          <w:tcPr>
            <w:tcW w:w="2384" w:type="dxa"/>
            <w:vAlign w:val="bottom"/>
          </w:tcPr>
          <w:p w14:paraId="77AC1EB6" w14:textId="77777777" w:rsidR="006E4711" w:rsidRPr="00FD0F64" w:rsidRDefault="00882E5A" w:rsidP="009726C9">
            <w:pPr>
              <w:pStyle w:val="ThesisParagraphText"/>
              <w:spacing w:line="240" w:lineRule="auto"/>
              <w:ind w:firstLine="0"/>
              <w:jc w:val="left"/>
              <w:cnfStyle w:val="100000000000" w:firstRow="1" w:lastRow="0" w:firstColumn="0" w:lastColumn="0" w:oddVBand="0" w:evenVBand="0" w:oddHBand="0" w:evenHBand="0" w:firstRowFirstColumn="0" w:firstRowLastColumn="0" w:lastRowFirstColumn="0" w:lastRowLastColumn="0"/>
              <w:rPr>
                <w:b w:val="0"/>
                <w:bCs w:val="0"/>
                <w:sz w:val="20"/>
                <w:szCs w:val="20"/>
              </w:rPr>
            </w:pPr>
            <w:r>
              <w:rPr>
                <w:b w:val="0"/>
                <w:bCs w:val="0"/>
                <w:sz w:val="20"/>
                <w:szCs w:val="20"/>
              </w:rPr>
              <w:t>Best Strategy</w:t>
            </w:r>
          </w:p>
        </w:tc>
      </w:tr>
      <w:tr w:rsidR="006E4711" w:rsidRPr="00FD0F64" w14:paraId="4AF1C9F9" w14:textId="77777777" w:rsidTr="00E55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5" w:type="dxa"/>
            <w:vAlign w:val="bottom"/>
          </w:tcPr>
          <w:p w14:paraId="5E314E7B" w14:textId="77777777" w:rsidR="006E4711" w:rsidRPr="00FD0F64" w:rsidRDefault="00AD0161" w:rsidP="009726C9">
            <w:pPr>
              <w:pStyle w:val="ThesisParagraphText"/>
              <w:spacing w:before="120"/>
              <w:ind w:left="144" w:firstLine="0"/>
              <w:jc w:val="left"/>
              <w:rPr>
                <w:b w:val="0"/>
                <w:bCs w:val="0"/>
                <w:sz w:val="20"/>
                <w:szCs w:val="20"/>
              </w:rPr>
            </w:pPr>
            <w:r>
              <w:rPr>
                <w:b w:val="0"/>
                <w:bCs w:val="0"/>
                <w:sz w:val="20"/>
                <w:szCs w:val="20"/>
              </w:rPr>
              <w:t>Two-Stage</w:t>
            </w:r>
          </w:p>
        </w:tc>
        <w:tc>
          <w:tcPr>
            <w:tcW w:w="1404" w:type="dxa"/>
            <w:vAlign w:val="bottom"/>
          </w:tcPr>
          <w:p w14:paraId="249CB77A" w14:textId="77777777" w:rsidR="006E4711" w:rsidRPr="00FD0F64" w:rsidRDefault="00BA3E80" w:rsidP="009726C9">
            <w:pPr>
              <w:pStyle w:val="ThesisParagraphText"/>
              <w:spacing w:before="120"/>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0.6003</w:t>
            </w:r>
          </w:p>
        </w:tc>
        <w:tc>
          <w:tcPr>
            <w:tcW w:w="1404" w:type="dxa"/>
            <w:vAlign w:val="bottom"/>
          </w:tcPr>
          <w:p w14:paraId="2B37814A" w14:textId="77777777" w:rsidR="006E4711" w:rsidRPr="00FD0F64" w:rsidRDefault="00BA3E80" w:rsidP="009726C9">
            <w:pPr>
              <w:pStyle w:val="ThesisParagraphText"/>
              <w:spacing w:before="120"/>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0.8919</w:t>
            </w:r>
          </w:p>
        </w:tc>
        <w:tc>
          <w:tcPr>
            <w:tcW w:w="1883" w:type="dxa"/>
            <w:vAlign w:val="bottom"/>
          </w:tcPr>
          <w:p w14:paraId="0B67AFAE" w14:textId="77777777" w:rsidR="006E4711" w:rsidRPr="00FD0F64" w:rsidRDefault="00BA3E80" w:rsidP="009726C9">
            <w:pPr>
              <w:pStyle w:val="ThesisParagraphText"/>
              <w:spacing w:before="120"/>
              <w:ind w:firstLine="0"/>
              <w:jc w:val="left"/>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two_stage_xgb_ada</w:t>
            </w:r>
          </w:p>
        </w:tc>
        <w:tc>
          <w:tcPr>
            <w:tcW w:w="2384" w:type="dxa"/>
            <w:vAlign w:val="bottom"/>
          </w:tcPr>
          <w:p w14:paraId="23CB57BE" w14:textId="77777777" w:rsidR="006E4711" w:rsidRPr="00FD0F64" w:rsidRDefault="00915A00" w:rsidP="009726C9">
            <w:pPr>
              <w:pStyle w:val="ThesisParagraphText"/>
              <w:spacing w:before="120"/>
              <w:ind w:firstLine="0"/>
              <w:jc w:val="left"/>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BORDERLINE_SMOTE</w:t>
            </w:r>
          </w:p>
        </w:tc>
      </w:tr>
      <w:tr w:rsidR="00E550D7" w:rsidRPr="00FD0F64" w14:paraId="72B448D7" w14:textId="77777777" w:rsidTr="00E550D7">
        <w:tc>
          <w:tcPr>
            <w:cnfStyle w:val="001000000000" w:firstRow="0" w:lastRow="0" w:firstColumn="1" w:lastColumn="0" w:oddVBand="0" w:evenVBand="0" w:oddHBand="0" w:evenHBand="0" w:firstRowFirstColumn="0" w:firstRowLastColumn="0" w:lastRowFirstColumn="0" w:lastRowLastColumn="0"/>
            <w:tcW w:w="1565" w:type="dxa"/>
            <w:vAlign w:val="bottom"/>
          </w:tcPr>
          <w:p w14:paraId="38DE26E8" w14:textId="77777777" w:rsidR="00E550D7" w:rsidRPr="00FD0F64" w:rsidRDefault="00E550D7" w:rsidP="00E550D7">
            <w:pPr>
              <w:pStyle w:val="ThesisParagraphText"/>
              <w:spacing w:before="120"/>
              <w:ind w:left="144" w:firstLine="0"/>
              <w:jc w:val="left"/>
              <w:rPr>
                <w:b w:val="0"/>
                <w:bCs w:val="0"/>
                <w:sz w:val="20"/>
                <w:szCs w:val="20"/>
              </w:rPr>
            </w:pPr>
            <w:r>
              <w:rPr>
                <w:b w:val="0"/>
                <w:bCs w:val="0"/>
                <w:sz w:val="20"/>
                <w:szCs w:val="20"/>
              </w:rPr>
              <w:t>Ordinal</w:t>
            </w:r>
          </w:p>
        </w:tc>
        <w:tc>
          <w:tcPr>
            <w:tcW w:w="1404" w:type="dxa"/>
            <w:vAlign w:val="bottom"/>
          </w:tcPr>
          <w:p w14:paraId="3D8756C4" w14:textId="77777777" w:rsidR="00E550D7" w:rsidRPr="00FD0F64" w:rsidRDefault="00E550D7" w:rsidP="00E550D7">
            <w:pPr>
              <w:pStyle w:val="ThesisParagraphText"/>
              <w:spacing w:before="120"/>
              <w:ind w:firstLine="0"/>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0.5621</w:t>
            </w:r>
          </w:p>
        </w:tc>
        <w:tc>
          <w:tcPr>
            <w:tcW w:w="1404" w:type="dxa"/>
            <w:vAlign w:val="bottom"/>
          </w:tcPr>
          <w:p w14:paraId="0C1877CC" w14:textId="77777777" w:rsidR="00E550D7" w:rsidRPr="00FD0F64" w:rsidRDefault="00E550D7" w:rsidP="00E550D7">
            <w:pPr>
              <w:pStyle w:val="ThesisParagraphText"/>
              <w:spacing w:before="120"/>
              <w:ind w:firstLine="0"/>
              <w:jc w:val="center"/>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0.8205</w:t>
            </w:r>
          </w:p>
        </w:tc>
        <w:tc>
          <w:tcPr>
            <w:tcW w:w="1883" w:type="dxa"/>
            <w:vAlign w:val="bottom"/>
          </w:tcPr>
          <w:p w14:paraId="21B87160" w14:textId="77777777" w:rsidR="00E550D7" w:rsidRPr="00FD0F64" w:rsidRDefault="00E550D7" w:rsidP="00E550D7">
            <w:pPr>
              <w:pStyle w:val="ThesisParagraphText"/>
              <w:spacing w:before="120"/>
              <w:ind w:firstLine="0"/>
              <w:jc w:val="left"/>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ordinal_ada_boost</w:t>
            </w:r>
          </w:p>
        </w:tc>
        <w:tc>
          <w:tcPr>
            <w:tcW w:w="2384" w:type="dxa"/>
            <w:vAlign w:val="bottom"/>
          </w:tcPr>
          <w:p w14:paraId="3BE2466B" w14:textId="77777777" w:rsidR="00E550D7" w:rsidRPr="00FD0F64" w:rsidRDefault="00E550D7" w:rsidP="00E550D7">
            <w:pPr>
              <w:pStyle w:val="ThesisParagraphText"/>
              <w:spacing w:before="120"/>
              <w:ind w:firstLine="0"/>
              <w:jc w:val="left"/>
              <w:cnfStyle w:val="000000000000" w:firstRow="0" w:lastRow="0" w:firstColumn="0" w:lastColumn="0" w:oddVBand="0" w:evenVBand="0" w:oddHBand="0" w:evenHBand="0" w:firstRowFirstColumn="0" w:firstRowLastColumn="0" w:lastRowFirstColumn="0" w:lastRowLastColumn="0"/>
              <w:rPr>
                <w:b/>
                <w:bCs/>
                <w:sz w:val="20"/>
                <w:szCs w:val="20"/>
              </w:rPr>
            </w:pPr>
            <w:r>
              <w:rPr>
                <w:b/>
                <w:bCs/>
                <w:sz w:val="20"/>
                <w:szCs w:val="20"/>
              </w:rPr>
              <w:t>Hybrid (t=0.5)</w:t>
            </w:r>
          </w:p>
        </w:tc>
      </w:tr>
      <w:tr w:rsidR="00E550D7" w:rsidRPr="00FD0F64" w14:paraId="62AED12B" w14:textId="77777777" w:rsidTr="00E550D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5" w:type="dxa"/>
            <w:vAlign w:val="bottom"/>
          </w:tcPr>
          <w:p w14:paraId="095B555F" w14:textId="77777777" w:rsidR="00E550D7" w:rsidRPr="00FD0F64" w:rsidRDefault="00E550D7" w:rsidP="00E550D7">
            <w:pPr>
              <w:pStyle w:val="ThesisParagraphText"/>
              <w:spacing w:before="120"/>
              <w:ind w:left="144" w:firstLine="0"/>
              <w:jc w:val="left"/>
              <w:rPr>
                <w:b w:val="0"/>
                <w:bCs w:val="0"/>
                <w:sz w:val="20"/>
                <w:szCs w:val="20"/>
              </w:rPr>
            </w:pPr>
            <w:r>
              <w:rPr>
                <w:b w:val="0"/>
                <w:bCs w:val="0"/>
                <w:sz w:val="20"/>
                <w:szCs w:val="20"/>
              </w:rPr>
              <w:t>Base</w:t>
            </w:r>
          </w:p>
        </w:tc>
        <w:tc>
          <w:tcPr>
            <w:tcW w:w="1404" w:type="dxa"/>
            <w:vAlign w:val="bottom"/>
          </w:tcPr>
          <w:p w14:paraId="0FE6DB55" w14:textId="77777777" w:rsidR="00E550D7" w:rsidRPr="00FD0F64" w:rsidRDefault="00E550D7" w:rsidP="00E550D7">
            <w:pPr>
              <w:pStyle w:val="ThesisParagraphText"/>
              <w:spacing w:before="120"/>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0.5589</w:t>
            </w:r>
          </w:p>
        </w:tc>
        <w:tc>
          <w:tcPr>
            <w:tcW w:w="1404" w:type="dxa"/>
            <w:vAlign w:val="bottom"/>
          </w:tcPr>
          <w:p w14:paraId="2678F9BD" w14:textId="77777777" w:rsidR="00E550D7" w:rsidRPr="00FD0F64" w:rsidRDefault="00E550D7" w:rsidP="00E550D7">
            <w:pPr>
              <w:pStyle w:val="ThesisParagraphText"/>
              <w:spacing w:before="120"/>
              <w:ind w:firstLine="0"/>
              <w:jc w:val="center"/>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0.8607</w:t>
            </w:r>
          </w:p>
        </w:tc>
        <w:tc>
          <w:tcPr>
            <w:tcW w:w="1883" w:type="dxa"/>
            <w:vAlign w:val="bottom"/>
          </w:tcPr>
          <w:p w14:paraId="0A11816F" w14:textId="77777777" w:rsidR="00E550D7" w:rsidRPr="00FD0F64" w:rsidRDefault="00E550D7" w:rsidP="00E550D7">
            <w:pPr>
              <w:pStyle w:val="ThesisParagraphText"/>
              <w:spacing w:before="120"/>
              <w:ind w:firstLine="0"/>
              <w:jc w:val="left"/>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Ada_boost</w:t>
            </w:r>
          </w:p>
        </w:tc>
        <w:tc>
          <w:tcPr>
            <w:tcW w:w="2384" w:type="dxa"/>
            <w:vAlign w:val="bottom"/>
          </w:tcPr>
          <w:p w14:paraId="5C9F3486" w14:textId="77777777" w:rsidR="00E550D7" w:rsidRPr="00FD0F64" w:rsidRDefault="00E550D7" w:rsidP="00E550D7">
            <w:pPr>
              <w:pStyle w:val="ThesisParagraphText"/>
              <w:spacing w:before="120"/>
              <w:ind w:firstLine="0"/>
              <w:jc w:val="left"/>
              <w:cnfStyle w:val="000000100000" w:firstRow="0" w:lastRow="0" w:firstColumn="0" w:lastColumn="0" w:oddVBand="0" w:evenVBand="0" w:oddHBand="1" w:evenHBand="0" w:firstRowFirstColumn="0" w:firstRowLastColumn="0" w:lastRowFirstColumn="0" w:lastRowLastColumn="0"/>
              <w:rPr>
                <w:b/>
                <w:bCs/>
                <w:sz w:val="20"/>
                <w:szCs w:val="20"/>
              </w:rPr>
            </w:pPr>
            <w:r>
              <w:rPr>
                <w:b/>
                <w:bCs/>
                <w:sz w:val="20"/>
                <w:szCs w:val="20"/>
              </w:rPr>
              <w:t>Hybrid (t=0.5)</w:t>
            </w:r>
          </w:p>
        </w:tc>
      </w:tr>
    </w:tbl>
    <w:p w14:paraId="679B4C50" w14:textId="77777777" w:rsidR="00856161" w:rsidRDefault="00750A62">
      <w:pPr>
        <w:pStyle w:val="ThesisParagraphText"/>
      </w:pPr>
      <w:r>
        <w:t>The two-stage family leads on both headline metrics: its best configuration (two_stage_xgb_ada under Borderline-SMOTE) reaches a macro-F1 of 0.6003 and ROC-AUC of 0.8919, exceeding the best ordinal model by approximately 0.038 F1 and the best base classifier by approximately 0.041 F1. With respect to RQ1, this gap indicates that architectural decomposition, separating the on-time/late decision from delay-severity classification, yields a larger improvement than either exploiting class ordering alone (the ordinal family) or tuning strong single-stage learners, though the modest margins also show that base ensembles remain competitive when paired with well-chosen resampling.</w:t>
      </w:r>
    </w:p>
    <w:p w14:paraId="4BCB9644" w14:textId="77777777" w:rsidR="00856161" w:rsidRDefault="00750A62">
      <w:pPr>
        <w:pStyle w:val="ThesisParagraphText"/>
      </w:pPr>
      <w:r>
        <w:t>Figure 4.1 visualizes the full F1 and AUC lift of ordinal and two-stage variants over their corresponding base classifiers under the enhanced feature regime, making both the gains and the exceptions visible at a glance.</w:t>
      </w:r>
    </w:p>
    <w:p w14:paraId="5C509C8C" w14:textId="77777777" w:rsidR="00823091" w:rsidRDefault="00FC2192" w:rsidP="00C60A0D">
      <w:pPr>
        <w:pStyle w:val="ThesisParagraphText"/>
        <w:ind w:firstLine="0"/>
        <w:rPr>
          <w:b/>
          <w:bCs/>
        </w:rPr>
      </w:pPr>
      <w:r>
        <w:rPr>
          <w:noProof/>
        </w:rPr>
        <w:lastRenderedPageBreak/>
        <w:drawing>
          <wp:inline distT="0" distB="0" distL="0" distR="0" wp14:anchorId="711E8352" wp14:editId="6F7C88D5">
            <wp:extent cx="5486400" cy="5111115"/>
            <wp:effectExtent l="0" t="0" r="0" b="0"/>
            <wp:docPr id="427090022" name="Picture 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0022" name="Picture 4" descr="A screenshot of a graph&#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86400" cy="5111115"/>
                    </a:xfrm>
                    <a:prstGeom prst="rect">
                      <a:avLst/>
                    </a:prstGeom>
                    <a:noFill/>
                    <a:ln>
                      <a:noFill/>
                    </a:ln>
                  </pic:spPr>
                </pic:pic>
              </a:graphicData>
            </a:graphic>
          </wp:inline>
        </w:drawing>
      </w:r>
    </w:p>
    <w:p w14:paraId="1B928BA4" w14:textId="5F2BF759" w:rsidR="008F0EE6" w:rsidRDefault="00AF26EE" w:rsidP="008F0EE6">
      <w:pPr>
        <w:pStyle w:val="Caption"/>
        <w:spacing w:before="0"/>
        <w:ind w:firstLine="0"/>
      </w:pPr>
      <w:bookmarkStart w:id="117" w:name="_Toc233585324"/>
      <w:r>
        <w:t>Figure 4.</w:t>
        <w:fldChar w:fldCharType="begin"/>
        <w:instrText>SEQ Figure \* ARABIC \s 1</w:instrText>
        <w:fldChar w:fldCharType="separate"/>
      </w:r>
      <w:r>
        <w:rPr>
          <w:noProof/>
        </w:rPr>
        <w:t>1</w:t>
      </w:r>
      <w:r>
        <w:fldChar w:fldCharType="end"/>
        <w:t>: Ordinal &amp; Two-Stage Variants vs. Base Classifiers (lift in F1 and AUC metrics).</w:t>
      </w:r>
      <w:bookmarkEnd w:id="117"/>
    </w:p>
    <w:p w14:paraId="6003D1D1" w14:textId="77777777" w:rsidR="00C45873" w:rsidRDefault="008C2DD4" w:rsidP="008C2DD4">
      <w:r>
        <w:t>The two-stage ensemble family demonstrates clear dominance at the top of the overall performance ranking (</w:t>
      </w:r>
      <w:r>
        <w:rPr>
          <w:b/>
          <w:bCs/>
        </w:rPr>
        <w:t>Figure 4.1</w:t>
      </w:r>
      <w:r>
        <w:t xml:space="preserve">). The best configuration, which is a </w:t>
      </w:r>
      <w:r>
        <w:rPr>
          <w:b/>
          <w:bCs/>
        </w:rPr>
        <w:t>Two-Stage XGBoost-to-AdaBoost pipeline with SMOTE resampling</w:t>
      </w:r>
      <w:r>
        <w:t xml:space="preserve"> achieves a macro-F1 of 0.6003 and ROC-AUC of 0.8819. However, performance is highly sensitive to the choice of second-stage classifier: two-stage pipelines that route into AdaBoost yield the largest gains, while those routing into XGBoost (TS XGB→XGB, TS Ada→XGB) underperform </w:t>
        <w:lastRenderedPageBreak/>
        <w:t>their base classifiers. This suggests that hierarchical decomposition is most effective when paired with a complementary learner in Stage 2, rather than being universally beneficial.</w:t>
      </w:r>
    </w:p>
    <w:p w14:paraId="0D952475" w14:textId="77777777" w:rsidR="005F23C8" w:rsidRDefault="008C2DD4" w:rsidP="00E73A68">
      <w:r>
        <w:t>Ordinal classifiers provide modest and inconsistent gains over standard base models, confirming that while exploiting class ordering is beneficial, the benefit is secondary to the architectural decomposition provided by well-configured multi-stage pipelines. Among ordinal models, Ordinal AdaBoost (F1 = 0.5621) under hybrid resampling was the strongest performer.</w:t>
        <w:br w:type="page"/>
      </w:r>
    </w:p>
    <w:p w14:paraId="2DA454B4" w14:textId="77777777" w:rsidR="00856161" w:rsidRDefault="00750A62">
      <w:pPr>
        <w:pStyle w:val="Heading2"/>
      </w:pPr>
      <w:bookmarkStart w:id="118" w:name="_Toc233585289"/>
      <w:r>
        <w:lastRenderedPageBreak/>
        <w:t>4.2 RQ2: Impact of Survival-Analysis-Derived Features</w:t>
      </w:r>
      <w:bookmarkEnd w:id="118"/>
    </w:p>
    <w:p w14:paraId="145239B6" w14:textId="77777777" w:rsidR="00550E91" w:rsidRPr="00FD0F64" w:rsidRDefault="00550E91" w:rsidP="00437D43">
      <w:pPr>
        <w:pStyle w:val="ThesisParagraphText"/>
      </w:pPr>
      <w:r>
        <w:t>The inclusion of survival-derived features produced a differential impact highly dependent on the base learner's architecture:</w:t>
      </w:r>
    </w:p>
    <w:p w14:paraId="317CB710" w14:textId="77777777" w:rsidR="00550E91" w:rsidRPr="00FD0F64" w:rsidRDefault="00550E91" w:rsidP="00550E91">
      <w:pPr>
        <w:pStyle w:val="ThesisParagraphText"/>
      </w:pPr>
      <w:r>
        <w:rPr>
          <w:b/>
          <w:bCs/>
        </w:rPr>
        <w:t>(a) Positive Lift</w:t>
      </w:r>
      <w:r>
        <w:t>: Distance-based (KNN) and probabilistic (Gaussian Naive Bayes) models showed the highest mean F1 lifts (+0.0050 to +0.0061). These learners lack internal mechanisms to capture non-linear temporal interactions, making pre-computed survival statistics like the partial hazard and survival probability highly informative.</w:t>
      </w:r>
    </w:p>
    <w:p w14:paraId="1887A048" w14:textId="77777777" w:rsidR="00550E91" w:rsidRPr="00FD0F64" w:rsidRDefault="00550E91" w:rsidP="00550E91">
      <w:pPr>
        <w:pStyle w:val="ThesisParagraphText"/>
      </w:pPr>
      <w:r>
        <w:rPr>
          <w:b/>
          <w:bCs/>
        </w:rPr>
        <w:t>(b) Negligible-to-Negative Lift</w:t>
      </w:r>
      <w:r>
        <w:t>: High-capacity tree-based ensembles (Random Forest, XGBoost, AdaBoost) exhibited neutral or weakly negative results. These models can independently approximate survival patterns through complex branch splits and feature interactions, rendering the Cox PH-derived features redundant or, in cases of small class sizes, noisy.</w:t>
      </w:r>
    </w:p>
    <w:p w14:paraId="6C5C554D" w14:textId="2194771B" w:rsidR="009704B0" w:rsidRDefault="00550E91" w:rsidP="009704B0">
      <w:pPr>
        <w:pStyle w:val="ThesisParagraphText"/>
      </w:pPr>
      <w:r>
        <w:t>This finding suggests a conditional feature engineering strategy: survival features should be prioritized for simpler, faster models but may be omitted for high-capacity ensembles to reduce computational overhead. The magnitude of the contribution is quantified visually by comparing the baseline-regime distributions in Figure 4.4 against their enhanced-regime counterparts in Figure 4.2, and the feature importance analysis presented in Section 4.5 (Figures 4.5 and 4.6) confirms the relative weight of survival features across model types.</w:t>
        <w:br w:type="page"/>
      </w:r>
    </w:p>
    <w:p w14:paraId="31FACB7C" w14:textId="77777777" w:rsidR="005F23C8" w:rsidRDefault="008C7907" w:rsidP="005C54DC">
      <w:pPr>
        <w:pStyle w:val="Heading2"/>
      </w:pPr>
      <w:bookmarkStart w:id="119" w:name="_Toc233585290"/>
      <w:r>
        <w:lastRenderedPageBreak/>
        <w:t>4.3 RQ3: Effect of Class-Balancing Strategies on Model Performance</w:t>
      </w:r>
      <w:bookmarkEnd w:id="119"/>
    </w:p>
    <w:p w14:paraId="7D5D117C" w14:textId="77777777" w:rsidR="00856161" w:rsidRDefault="00750A62">
      <w:pPr>
        <w:pStyle w:val="ThesisParagraphText"/>
      </w:pPr>
      <w:r>
        <w:t>Figure 4.2 presents macro-F1 distributions across all model types and balancing strategies under the enhanced feature regime.</w:t>
      </w:r>
    </w:p>
    <w:p w14:paraId="7674C026" w14:textId="77777777" w:rsidR="001B6204" w:rsidRDefault="0094645B" w:rsidP="007E212A">
      <w:pPr>
        <w:spacing w:line="240" w:lineRule="auto"/>
        <w:ind w:firstLine="0"/>
        <w:jc w:val="center"/>
      </w:pPr>
      <w:r>
        <w:rPr>
          <w:noProof/>
        </w:rPr>
        <w:drawing>
          <wp:inline distT="0" distB="0" distL="0" distR="0" wp14:anchorId="54FA7C14" wp14:editId="36AAF9EA">
            <wp:extent cx="5486400" cy="5738495"/>
            <wp:effectExtent l="0" t="0" r="0" b="9525"/>
            <wp:docPr id="1580341608" name="Picture 1"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41608" name="Picture 1" descr="A screenshot of a chart&#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5738495"/>
                    </a:xfrm>
                    <a:prstGeom prst="rect">
                      <a:avLst/>
                    </a:prstGeom>
                    <a:noFill/>
                    <a:ln>
                      <a:noFill/>
                    </a:ln>
                  </pic:spPr>
                </pic:pic>
              </a:graphicData>
            </a:graphic>
          </wp:inline>
        </w:drawing>
      </w:r>
    </w:p>
    <w:p w14:paraId="332F3DFD" w14:textId="019FAD3A" w:rsidR="007E212A" w:rsidRPr="007E212A" w:rsidRDefault="007449D1" w:rsidP="007E212A">
      <w:pPr>
        <w:pStyle w:val="Caption"/>
        <w:ind w:firstLine="0"/>
        <w:rPr>
          <w:noProof/>
        </w:rPr>
      </w:pPr>
      <w:bookmarkStart w:id="120" w:name="_Toc233585325"/>
      <w:r>
        <w:t>Figure 4.</w:t>
        <w:fldChar w:fldCharType="begin"/>
        <w:instrText>SEQ Figure \* ARABIC \s 1</w:instrText>
        <w:fldChar w:fldCharType="separate"/>
      </w:r>
      <w:r>
        <w:rPr>
          <w:noProof/>
        </w:rPr>
        <w:t>2</w:t>
      </w:r>
      <w:r>
        <w:fldChar w:fldCharType="end"/>
        <w:t>: F1 Macro by Model &amp; Balance Strategy (enhanced features).</w:t>
      </w:r>
      <w:bookmarkEnd w:id="120"/>
      <w:r>
        <w:br w:type="page"/>
      </w:r>
    </w:p>
    <w:p w14:paraId="6962C5A3" w14:textId="42EF4CB3" w:rsidR="007E212A" w:rsidRDefault="00750A62" w:rsidP="00B97DCC">
      <w:pPr>
        <w:pStyle w:val="ThesisParagraphText"/>
      </w:pPr>
      <w:r>
        <w:lastRenderedPageBreak/>
        <w:t>Borderline-SMOTE wins most consistently across model types, matching or exceeding vanilla SMOTE in nearly every column, while configurations without resampling trail for all but the strongest ensembles. The variance across strategies is itself informative: high-capacity ensembles are relatively robust to the choice of strategy, whereas KNN and Gaussian Naive Bayes swing substantially; strategy selection matters most for precisely the models least able to compensate internally.</w:t>
        <w:br w:type="page"/>
      </w:r>
    </w:p>
    <w:p w14:paraId="6FCCB094" w14:textId="77777777" w:rsidR="00856161" w:rsidRDefault="00750A62">
      <w:pPr>
        <w:pStyle w:val="ThesisParagraphText"/>
      </w:pPr>
      <w:r>
        <w:lastRenderedPageBreak/>
        <w:t>Figure 4.3 presents ROC-AUC distributions across all model types and balancing strategies under the enhanced feature regime.</w:t>
      </w:r>
    </w:p>
    <w:p w14:paraId="1A9F0A57" w14:textId="77777777" w:rsidR="00AD240E" w:rsidRPr="00FD0F64" w:rsidRDefault="0094645B" w:rsidP="007E212A">
      <w:pPr>
        <w:spacing w:line="240" w:lineRule="auto"/>
        <w:ind w:firstLine="0"/>
        <w:jc w:val="center"/>
      </w:pPr>
      <w:r>
        <w:rPr>
          <w:noProof/>
        </w:rPr>
        <w:drawing>
          <wp:inline distT="0" distB="0" distL="0" distR="0" wp14:anchorId="734DA035" wp14:editId="635AE795">
            <wp:extent cx="5157956" cy="5394960"/>
            <wp:effectExtent l="0" t="0" r="5080" b="0"/>
            <wp:docPr id="1648710640" name="Picture 2" descr="A screenshot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10640" name="Picture 2" descr="A screenshot of a chart&#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57956" cy="5394960"/>
                    </a:xfrm>
                    <a:prstGeom prst="rect">
                      <a:avLst/>
                    </a:prstGeom>
                    <a:noFill/>
                    <a:ln>
                      <a:noFill/>
                    </a:ln>
                  </pic:spPr>
                </pic:pic>
              </a:graphicData>
            </a:graphic>
          </wp:inline>
        </w:drawing>
      </w:r>
    </w:p>
    <w:p w14:paraId="625C66B9" w14:textId="4F985296" w:rsidR="0082594D" w:rsidRDefault="00F659F2" w:rsidP="008F0EE6">
      <w:pPr>
        <w:pStyle w:val="Caption"/>
        <w:ind w:firstLine="0"/>
      </w:pPr>
      <w:bookmarkStart w:id="121" w:name="_Toc233585326"/>
      <w:r>
        <w:t>Figure 4.</w:t>
        <w:fldChar w:fldCharType="begin"/>
        <w:instrText>SEQ Figure \* ARABIC \s 1</w:instrText>
        <w:fldChar w:fldCharType="separate"/>
      </w:r>
      <w:r>
        <w:rPr>
          <w:noProof/>
        </w:rPr>
        <w:t>3</w:t>
      </w:r>
      <w:r>
        <w:fldChar w:fldCharType="end"/>
        <w:t>: AUC Macro by Model &amp; Balance Strategy (enhanced features).</w:t>
      </w:r>
      <w:bookmarkEnd w:id="121"/>
    </w:p>
    <w:p w14:paraId="0DDDAD1D" w14:textId="77777777" w:rsidR="00856161" w:rsidRDefault="00750A62">
      <w:pPr>
        <w:pStyle w:val="ThesisParagraphText"/>
      </w:pPr>
      <w:r>
        <w:t>The AUC view largely mirrors the F1 ranking; the same two-stage configurations top both charts, with the best AUC of 0.882 achieved by the two-stage XGBoost-to-AdaBoost pipeline under Borderline-SMOTE, but the spread between strategies is narrower than under F1. This indicates that resampling primarily improves the placement of the decision threshold rather than the underlying separability of the classes.</w:t>
      </w:r>
    </w:p>
    <w:p w14:paraId="16FA73B2" w14:textId="77777777" w:rsidR="00856161" w:rsidRDefault="00750A62">
      <w:pPr>
        <w:pStyle w:val="ThesisParagraphText"/>
      </w:pPr>
      <w:r>
        <w:lastRenderedPageBreak/>
        <w:t>Figure 4.4 presents macro-F1 distributions by model and balancing strategy under the baseline feature regime, that is, without the five survival-analysis-derived features.</w:t>
      </w:r>
    </w:p>
    <w:p w14:paraId="2135317B" w14:textId="77777777" w:rsidR="00F659F2" w:rsidRDefault="002158DA" w:rsidP="007E212A">
      <w:pPr>
        <w:spacing w:line="240" w:lineRule="auto"/>
        <w:ind w:firstLine="0"/>
        <w:jc w:val="center"/>
      </w:pPr>
      <w:r>
        <w:rPr>
          <w:noProof/>
        </w:rPr>
        <w:drawing>
          <wp:inline distT="0" distB="0" distL="0" distR="0" wp14:anchorId="1541077C" wp14:editId="0F7A56A6">
            <wp:extent cx="4495881" cy="4663440"/>
            <wp:effectExtent l="0" t="0" r="0" b="3810"/>
            <wp:docPr id="31885541" name="Picture 3" descr="A red and yellow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5541" name="Picture 3" descr="A red and yellow char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95881" cy="4663440"/>
                    </a:xfrm>
                    <a:prstGeom prst="rect">
                      <a:avLst/>
                    </a:prstGeom>
                    <a:noFill/>
                    <a:ln>
                      <a:noFill/>
                    </a:ln>
                  </pic:spPr>
                </pic:pic>
              </a:graphicData>
            </a:graphic>
          </wp:inline>
        </w:drawing>
      </w:r>
    </w:p>
    <w:p w14:paraId="10B80FE8" w14:textId="0187A583" w:rsidR="00A174DA" w:rsidRDefault="00A174DA" w:rsidP="008F0EE6">
      <w:pPr>
        <w:pStyle w:val="Caption"/>
        <w:ind w:firstLine="0"/>
      </w:pPr>
      <w:bookmarkStart w:id="122" w:name="_Toc233585327"/>
      <w:r>
        <w:t>Figure 4.</w:t>
        <w:fldChar w:fldCharType="begin"/>
        <w:instrText>SEQ Figure \* ARABIC \s 1</w:instrText>
        <w:fldChar w:fldCharType="separate"/>
      </w:r>
      <w:r>
        <w:rPr>
          <w:noProof/>
        </w:rPr>
        <w:t>4</w:t>
      </w:r>
      <w:r>
        <w:fldChar w:fldCharType="end"/>
        <w:t>: F1 Macro by Model &amp; Balance Strategy (baseline features).</w:t>
      </w:r>
      <w:bookmarkEnd w:id="122"/>
    </w:p>
    <w:p w14:paraId="3C9A5B49" w14:textId="0327FBBA" w:rsidR="00A174DA" w:rsidRPr="007E212A" w:rsidRDefault="00750A62" w:rsidP="007E212A">
      <w:pPr>
        <w:pStyle w:val="ThesisParagraphText"/>
      </w:pPr>
      <w:r>
        <w:t>Comparing Figure 4.4 against Figure 4.2 quantifies the survival-feature contribution discussed in Section 4.2: the distributions shift upward modestly under the enhanced regime for distance-based and probabilistic models (mean F1 lifts of +0.0050 to +0.0061 for KNN and Gaussian Naive Bayes), while tree-based ensembles are essentially unchanged. The strategy rankings, however, are stable across the two regimes, Borderline-SMOTE leads in both, indicating that resampling choice and feature regime act as largely independent levers.</w:t>
      </w:r>
    </w:p>
    <w:p w14:paraId="08ACD804" w14:textId="77777777" w:rsidR="00D92470" w:rsidRDefault="00D92470" w:rsidP="00D92470">
      <w:r>
        <w:lastRenderedPageBreak/>
        <w:t xml:space="preserve">Resampling is confirmed as the most critical preprocessing step. Borderline-SMOTE consistently outperforms or matches Vanilla SMOTE across most model–strategy combinations, with the peak F1 difference reaching approximately 0.022 for top-performing ensembles (e.g., TS XGB→Ada: 0.600 vs. 0.578 in </w:t>
      </w:r>
      <w:r>
        <w:rPr>
          <w:b/>
          <w:bCs/>
        </w:rPr>
        <w:t>Figure 4.2</w:t>
      </w:r>
      <w:r>
        <w:t xml:space="preserve">). Borderline-SMOTE also yields the highest observed ROC-AUC at 0.882 (TS XGB→Ada, </w:t>
      </w:r>
      <w:r>
        <w:rPr>
          <w:b/>
          <w:bCs/>
        </w:rPr>
        <w:t>Figure 4.3</w:t>
      </w:r>
      <w:r>
        <w:t>). Hybrid undersampling strategies offer a moderate but stable alternative, with mean F1 values clustering around 0.58–0.54; however, their variance across model types remains notable; weaker classifiers like KNN and Gaussian NB still lag substantially under hybrid strategies, limiting the claim that they are uniformly reliable when the classifier is not pre-selected.</w:t>
      </w:r>
    </w:p>
    <w:p w14:paraId="7ADC973E" w14:textId="457FB0C3" w:rsidR="00FF07D4" w:rsidRDefault="00D92470" w:rsidP="00FF07D4">
      <w:r>
        <w:t xml:space="preserve">The impact of different balancing strategies on model performance is visualized in </w:t>
      </w:r>
      <w:r>
        <w:rPr>
          <w:b/>
          <w:bCs/>
        </w:rPr>
        <w:t>Figure 4.2</w:t>
      </w:r>
      <w:r>
        <w:t xml:space="preserve"> and </w:t>
      </w:r>
      <w:r>
        <w:rPr>
          <w:b/>
          <w:bCs/>
        </w:rPr>
        <w:t>Figure 4.3</w:t>
      </w:r>
      <w:r>
        <w:t xml:space="preserve">, which show F1-score and ROC-AUC distributions across models and strategies using the enhanced feature set. Configurations without resampling tend to underperform resampled counterparts, particularly for weaker classifiers, though certain ensemble models (e.g., Ordinal AdaBoost at 0.557 and TS RF→RF at 0.536) show competitive F1 scores even without resampling, suggesting that the magnitude of improvement is model-dependent. Baseline performance without feature engineering is shown in </w:t>
      </w:r>
      <w:r>
        <w:rPr>
          <w:b/>
          <w:bCs/>
        </w:rPr>
        <w:t>Figure 4.4</w:t>
      </w:r>
      <w:r>
        <w:t xml:space="preserve"> for comparison, where similar patterns hold but with generally lower absolute scores for base and ordinal models.</w:t>
      </w:r>
    </w:p>
    <w:p w14:paraId="4EAD017B" w14:textId="77777777" w:rsidR="00FF07D4" w:rsidRDefault="00FF07D4">
      <w:pPr>
        <w:autoSpaceDE/>
        <w:autoSpaceDN/>
        <w:adjustRightInd/>
        <w:spacing w:line="278" w:lineRule="auto"/>
        <w:ind w:firstLine="0"/>
        <w:jc w:val="left"/>
      </w:pPr>
      <w:r>
        <w:br w:type="page"/>
      </w:r>
    </w:p>
    <w:p w14:paraId="7BA321C0" w14:textId="77777777" w:rsidR="00550E91" w:rsidRPr="00FD0F64" w:rsidRDefault="00550E91" w:rsidP="005C54DC">
      <w:pPr>
        <w:pStyle w:val="Heading2"/>
      </w:pPr>
      <w:bookmarkStart w:id="123" w:name="_Toc233585291"/>
      <w:r>
        <w:lastRenderedPageBreak/>
        <w:t>4.4 Metric Convergence and Model Selection Criteria</w:t>
      </w:r>
      <w:bookmarkEnd w:id="123"/>
    </w:p>
    <w:p w14:paraId="4EFF5186" w14:textId="7DB78C9C" w:rsidR="00550E91" w:rsidRDefault="00550E91" w:rsidP="00C76051">
      <w:pPr>
        <w:pStyle w:val="ThesisParagraphText"/>
      </w:pPr>
      <w:r>
        <w:t>Analysis of the Spearman rank correlation between macro-F1 and ROC-AUC (rho = 0.732, p &lt; 0.001) confirms a strong agreement between the two metrics. Models that excel at maximizing the harmonic mean of precision and recall also tend to provide superior class separation, validating macro-F1 as a reliable primary criterion for model selection in school finance applications.</w:t>
      </w:r>
    </w:p>
    <w:p w14:paraId="33E76124" w14:textId="6813FA3C" w:rsidR="00856161" w:rsidRDefault="00750A62">
      <w:pPr>
        <w:pStyle w:val="ThesisParagraphText"/>
      </w:pPr>
      <w:r>
        <w:t>Figure 4.5 shown on the next page presents ROC curves for the top-performing models, plotting the trade-off between true positive rate and false positive rate across classification thresholds.</w:t>
      </w:r>
    </w:p>
    <w:p w14:paraId="3FD0670C" w14:textId="11414BC9" w:rsidR="00C76051" w:rsidRDefault="00C76051" w:rsidP="001D0685">
      <w:pPr>
        <w:pStyle w:val="ThesisParagraphText"/>
      </w:pPr>
      <w:r>
        <w:t>The curves separate cleanly from the diagonal chance line, with the two-stage XGBoost-to-AdaBoost configuration achieving the largest area under the curve (approximately 0.89). Its advantage is most pronounced in the low-false-positive region, which is operationally the relevant regime: a finance office acting on predictions wants high recall of late invoices while contacting as few on-time payers as possible.</w:t>
      </w:r>
    </w:p>
    <w:p w14:paraId="4E86654A" w14:textId="77777777" w:rsidR="00A174DA" w:rsidRDefault="00A174DA" w:rsidP="00D472EE">
      <w:pPr>
        <w:ind w:firstLine="0"/>
        <w:jc w:val="center"/>
      </w:pPr>
      <w:r>
        <w:rPr>
          <w:noProof/>
        </w:rPr>
        <w:lastRenderedPageBreak/>
        <w:drawing>
          <wp:inline distT="0" distB="0" distL="0" distR="0" wp14:anchorId="2FF0F4A0" wp14:editId="5E1CBC8D">
            <wp:extent cx="3582742" cy="7772400"/>
            <wp:effectExtent l="0" t="0" r="0" b="0"/>
            <wp:docPr id="764223645" name="Picture 24" descr="A graph of a number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223645" name="Picture 24" descr="A graph of a number of data&#10;&#10;Description automatically generated with medium confidenc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582742" cy="7772400"/>
                    </a:xfrm>
                    <a:prstGeom prst="rect">
                      <a:avLst/>
                    </a:prstGeom>
                    <a:noFill/>
                    <a:ln>
                      <a:noFill/>
                    </a:ln>
                  </pic:spPr>
                </pic:pic>
              </a:graphicData>
            </a:graphic>
          </wp:inline>
        </w:drawing>
      </w:r>
    </w:p>
    <w:p w14:paraId="6B2283AB" w14:textId="1DCF8360" w:rsidR="00910587" w:rsidRPr="003537E8" w:rsidRDefault="00A174DA" w:rsidP="003537E8">
      <w:pPr>
        <w:jc w:val="center"/>
        <w:rPr>
          <w:b/>
          <w:bCs/>
        </w:rPr>
      </w:pPr>
      <w:bookmarkStart w:id="124" w:name="_Toc233585328"/>
      <w:r>
        <w:rPr>
          <w:b/>
          <w:bCs/>
        </w:rPr>
        <w:t>Figure 4.</w:t>
        <w:fldChar w:fldCharType="begin"/>
        <w:instrText>SEQ Figure \* ARABIC \s 1</w:instrText>
        <w:fldChar w:fldCharType="separate"/>
      </w:r>
      <w:r>
        <w:rPr>
          <w:b/>
          <w:bCs/>
          <w:noProof/>
        </w:rPr>
        <w:t>5</w:t>
      </w:r>
      <w:r>
        <w:rPr>
          <w:b/>
          <w:bCs/>
        </w:rPr>
        <w:fldChar w:fldCharType="end"/>
        <w:t>: ROC Curves for Top Models.</w:t>
      </w:r>
      <w:bookmarkEnd w:id="124"/>
    </w:p>
    <w:p w14:paraId="011CF51F" w14:textId="7EC0794F" w:rsidR="00856161" w:rsidRDefault="00750A62">
      <w:pPr>
        <w:pStyle w:val="ThesisParagraphText"/>
      </w:pPr>
      <w:r>
        <w:lastRenderedPageBreak/>
        <w:t>Figure 4.6 presents the confusion matrices of the top three models, detailing classification performance per payment bracket.</w:t>
      </w:r>
    </w:p>
    <w:p w14:paraId="4EF453D1" w14:textId="77777777" w:rsidR="00E36C3F" w:rsidRDefault="00863A0D" w:rsidP="00E36C3F">
      <w:pPr>
        <w:ind w:firstLine="0"/>
      </w:pPr>
      <w:r>
        <w:rPr>
          <w:noProof/>
        </w:rPr>
        <w:drawing>
          <wp:inline distT="0" distB="0" distL="0" distR="0" wp14:anchorId="7D571A7F" wp14:editId="0B7B5FE7">
            <wp:extent cx="5486400" cy="5900420"/>
            <wp:effectExtent l="0" t="0" r="0" b="5080"/>
            <wp:docPr id="433013812"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13812" name="Picture 10" descr="A screenshot of a computer&#10;&#10;Description automatically generated"/>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86400" cy="5900420"/>
                    </a:xfrm>
                    <a:prstGeom prst="rect">
                      <a:avLst/>
                    </a:prstGeom>
                    <a:noFill/>
                    <a:ln>
                      <a:noFill/>
                    </a:ln>
                  </pic:spPr>
                </pic:pic>
              </a:graphicData>
            </a:graphic>
          </wp:inline>
        </w:drawing>
      </w:r>
    </w:p>
    <w:p w14:paraId="0E40638E" w14:textId="5E02CB10" w:rsidR="00A174DA" w:rsidRDefault="00A174DA" w:rsidP="00A174DA">
      <w:pPr>
        <w:pStyle w:val="Caption"/>
        <w:ind w:firstLine="0"/>
      </w:pPr>
      <w:bookmarkStart w:id="125" w:name="_Toc233585329"/>
      <w:r>
        <w:t>Figure 4.</w:t>
        <w:fldChar w:fldCharType="begin"/>
        <w:instrText>SEQ Figure \* ARABIC \s 1</w:instrText>
        <w:fldChar w:fldCharType="separate"/>
      </w:r>
      <w:r>
        <w:rPr>
          <w:noProof/>
        </w:rPr>
        <w:t>6</w:t>
      </w:r>
      <w:r>
        <w:fldChar w:fldCharType="end"/>
        <w:t>: Confusion Matrices for Top 3 Models.</w:t>
      </w:r>
      <w:bookmarkEnd w:id="125"/>
    </w:p>
    <w:p w14:paraId="114AA907" w14:textId="77777777" w:rsidR="00EC4276" w:rsidRPr="00EC4276" w:rsidRDefault="00EC4276" w:rsidP="003A4A01">
      <w:pPr>
        <w:ind w:firstLine="0"/>
      </w:pPr>
    </w:p>
    <w:p w14:paraId="5737E95E" w14:textId="77777777" w:rsidR="00856161" w:rsidRDefault="00750A62">
      <w:pPr>
        <w:pStyle w:val="ThesisParagraphText"/>
      </w:pPr>
      <w:r>
        <w:lastRenderedPageBreak/>
        <w:t>The matrices reveal a consistent class-level pattern: Class 0 (on-time) recall is uniformly high and Class 1 (1–30 days late) is recovered reasonably well, but Classes 2 and 3 remain difficult under every strategy, with a substantial share of 31–60 day invoices absorbed into neighboring brackets. The errors are predominantly ordinal-adjacent, misclassifications land one bracket away rather than at the opposite extreme, which moderates their operational cost, since an invoice flagged one bracket early still receives an intervention.</w:t>
      </w:r>
    </w:p>
    <w:p w14:paraId="1700B07D" w14:textId="64F2032D" w:rsidR="00EC4276" w:rsidRDefault="004F39DB" w:rsidP="008A2514">
      <w:pPr>
        <w:pStyle w:val="ThesisParagraphText"/>
        <w:ind w:firstLine="720"/>
      </w:pPr>
      <w:r>
        <w:t xml:space="preserve">The relationship between F1-score and ROC-AUC is further illustrated in </w:t>
      </w:r>
      <w:r>
        <w:rPr>
          <w:b/>
          <w:bCs/>
        </w:rPr>
        <w:t>Figure 4.5</w:t>
      </w:r>
      <w:r>
        <w:t xml:space="preserve"> (ROC Curves for Top Models), showing the trade-off between true positive rate and false positive rate at various threshold settings. Confusion matrices for the top-performing models are presented in </w:t>
      </w:r>
      <w:r>
        <w:rPr>
          <w:b/>
          <w:bCs/>
        </w:rPr>
        <w:t>Figure 4.6</w:t>
      </w:r>
      <w:r>
        <w:t xml:space="preserve"> to detail classification performance per payment bracket.</w:t>
      </w:r>
    </w:p>
    <w:p w14:paraId="3DFB1C06" w14:textId="77777777" w:rsidR="00EC4276" w:rsidRDefault="00EC4276">
      <w:pPr>
        <w:autoSpaceDE/>
        <w:autoSpaceDN/>
        <w:adjustRightInd/>
        <w:spacing w:line="278" w:lineRule="auto"/>
        <w:ind w:firstLine="0"/>
        <w:jc w:val="left"/>
        <w:rPr>
          <w:rFonts w:eastAsia="Calibri"/>
          <w:kern w:val="0"/>
          <w14:ligatures w14:val="none"/>
        </w:rPr>
      </w:pPr>
      <w:r>
        <w:br w:type="page"/>
      </w:r>
    </w:p>
    <w:p w14:paraId="107F701F" w14:textId="77777777" w:rsidR="00856161" w:rsidRDefault="00750A62">
      <w:pPr>
        <w:pStyle w:val="Heading2"/>
      </w:pPr>
      <w:bookmarkStart w:id="126" w:name="_Toc233585292"/>
      <w:r>
        <w:lastRenderedPageBreak/>
        <w:t>4.5 RQ4: Granular Feature Contribution</w:t>
      </w:r>
      <w:bookmarkEnd w:id="126"/>
    </w:p>
    <w:p w14:paraId="03FD1E65" w14:textId="30AC11B3" w:rsidR="00856161" w:rsidRDefault="00750A62">
      <w:pPr>
        <w:pStyle w:val="ThesisParagraphText"/>
      </w:pPr>
      <w:r>
        <w:t>Figures 4.7 and 4.8 present feature importance scores aggregated across model types, revealing which variables most consistently drive payment bracket predictions.</w:t>
      </w:r>
    </w:p>
    <w:p w14:paraId="2083C6F6" w14:textId="77777777" w:rsidR="00550E91" w:rsidRDefault="003112F1" w:rsidP="00966C6A">
      <w:pPr>
        <w:spacing w:line="240" w:lineRule="auto"/>
        <w:ind w:firstLine="0"/>
        <w:jc w:val="center"/>
      </w:pPr>
      <w:r>
        <w:rPr>
          <w:noProof/>
        </w:rPr>
        <w:drawing>
          <wp:inline distT="0" distB="0" distL="0" distR="0" wp14:anchorId="0E0EE29B" wp14:editId="27DABE08">
            <wp:extent cx="4332478" cy="6766560"/>
            <wp:effectExtent l="0" t="0" r="0" b="0"/>
            <wp:docPr id="1943244550" name="Picture 8"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44550" name="Picture 8" descr="A screenshot of a graph&#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332478" cy="6766560"/>
                    </a:xfrm>
                    <a:prstGeom prst="rect">
                      <a:avLst/>
                    </a:prstGeom>
                    <a:noFill/>
                    <a:ln>
                      <a:noFill/>
                    </a:ln>
                  </pic:spPr>
                </pic:pic>
              </a:graphicData>
            </a:graphic>
          </wp:inline>
        </w:drawing>
      </w:r>
    </w:p>
    <w:p w14:paraId="2DE2301B" w14:textId="3BE194F1" w:rsidR="00C322A3" w:rsidRPr="00F620D8" w:rsidRDefault="009465DF" w:rsidP="00F620D8">
      <w:pPr>
        <w:jc w:val="center"/>
        <w:rPr>
          <w:b/>
          <w:bCs/>
        </w:rPr>
      </w:pPr>
      <w:bookmarkStart w:id="127" w:name="_Toc233585330"/>
      <w:r>
        <w:rPr>
          <w:b/>
          <w:bCs/>
        </w:rPr>
        <w:t>Figure 4.</w:t>
        <w:fldChar w:fldCharType="begin"/>
        <w:instrText>SEQ Figure \* ARABIC \s 1</w:instrText>
        <w:fldChar w:fldCharType="separate"/>
      </w:r>
      <w:r>
        <w:rPr>
          <w:b/>
          <w:bCs/>
          <w:noProof/>
        </w:rPr>
        <w:t>7</w:t>
      </w:r>
      <w:r>
        <w:rPr>
          <w:b/>
          <w:bCs/>
        </w:rPr>
        <w:fldChar w:fldCharType="end"/>
        <w:t>: Feature Importance across Model Types (1 of 2).</w:t>
      </w:r>
      <w:bookmarkEnd w:id="127"/>
    </w:p>
    <w:p w14:paraId="61DF99E4" w14:textId="3480E120" w:rsidR="00856161" w:rsidRDefault="00750A62">
      <w:pPr>
        <w:pStyle w:val="ThesisParagraphText"/>
      </w:pPr>
      <w:r>
        <w:lastRenderedPageBreak/>
        <w:t>Figure 4.7 covers the first half of the model types, where the same small set of behavioral variables heads every ranking. Figure 4.8 continues the ranking with the remaining model types, allowing the cross-family comparison discussed on the next page.</w:t>
      </w:r>
    </w:p>
    <w:p w14:paraId="5A1F9DB6" w14:textId="77777777" w:rsidR="00550E91" w:rsidRDefault="003112F1" w:rsidP="00437D43">
      <w:pPr>
        <w:pStyle w:val="ThesisParagraphText"/>
        <w:spacing w:line="240" w:lineRule="auto"/>
        <w:ind w:firstLine="0"/>
        <w:jc w:val="center"/>
      </w:pPr>
      <w:r>
        <w:rPr>
          <w:noProof/>
        </w:rPr>
        <w:drawing>
          <wp:inline distT="0" distB="0" distL="0" distR="0" wp14:anchorId="48CE8BEB" wp14:editId="0C575078">
            <wp:extent cx="4449572" cy="6949440"/>
            <wp:effectExtent l="0" t="0" r="8255" b="3810"/>
            <wp:docPr id="39039438" name="Picture 9"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438" name="Picture 9" descr="A screenshot of a graph&#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449572" cy="6949440"/>
                    </a:xfrm>
                    <a:prstGeom prst="rect">
                      <a:avLst/>
                    </a:prstGeom>
                    <a:noFill/>
                    <a:ln>
                      <a:noFill/>
                    </a:ln>
                  </pic:spPr>
                </pic:pic>
              </a:graphicData>
            </a:graphic>
          </wp:inline>
        </w:drawing>
      </w:r>
    </w:p>
    <w:p w14:paraId="09F23FD0" w14:textId="3368F37B" w:rsidR="00550E91" w:rsidRPr="00082D31" w:rsidRDefault="00550E91" w:rsidP="00082D31">
      <w:pPr>
        <w:ind w:firstLine="0"/>
        <w:jc w:val="center"/>
        <w:rPr>
          <w:b/>
          <w:bCs/>
        </w:rPr>
      </w:pPr>
      <w:bookmarkStart w:id="128" w:name="_Toc233585331"/>
      <w:r>
        <w:rPr>
          <w:b/>
          <w:bCs/>
        </w:rPr>
        <w:t>Figure 4.</w:t>
        <w:fldChar w:fldCharType="begin"/>
        <w:instrText>SEQ Figure \* ARABIC \s 1</w:instrText>
        <w:fldChar w:fldCharType="separate"/>
      </w:r>
      <w:r>
        <w:rPr>
          <w:b/>
          <w:bCs/>
          <w:noProof/>
        </w:rPr>
        <w:t>8</w:t>
      </w:r>
      <w:r>
        <w:rPr>
          <w:b/>
          <w:bCs/>
        </w:rPr>
        <w:fldChar w:fldCharType="end"/>
        <w:t>: Feature Importance across Model Types (2 of 2).</w:t>
      </w:r>
      <w:bookmarkEnd w:id="128"/>
    </w:p>
    <w:p w14:paraId="2D86C93C" w14:textId="77777777" w:rsidR="00856161" w:rsidRDefault="00750A62">
      <w:pPr>
        <w:pStyle w:val="ThesisParagraphText"/>
      </w:pPr>
      <w:r>
        <w:lastRenderedPageBreak/>
        <w:t>Three features dominate across model families: prev_bracket, the payment bracket of the student's most recent invoice; dtp_wavg, the recency-weighted average of historical days-to-payment; and opening_balance_flag, indicating whether the student carried an unpaid balance into the period. All three are behavioral-historical features engineered at the granular, line-item level described in Chapter 3, confirming the study's central design rationale with respect to RQ4: a student's payment future is best predicted by a compact summary of their payment past, and that summary is only available when invoices are tracked at category-level granularity rather than as aggregate balances.</w:t>
      </w:r>
    </w:p>
    <w:p w14:paraId="0ABD2D48" w14:textId="2278E34B" w:rsidR="000033FE" w:rsidRDefault="00750A62" w:rsidP="000033FE">
      <w:pPr>
        <w:pStyle w:val="ThesisParagraphText"/>
      </w:pPr>
      <w:r>
        <w:t>The exploratory linear discriminant analysis corroborates this ranking from a different angle. A four-class LDA on the training set finds that the first discriminant axis (LD1) explains 79.5% of between-class separation variance, and the features loading most heavily on it are opening_balance_flag, the log-transformed opening_balance, prev_bracket, and dtp_wavg, essentially the same compact behavioral set identified by the supervised importances. When the analysis is restricted to the three delinquent classes, LD1 explains 95.9% of separation, indicating that delay severity behaves as a nearly one-dimensional behavioral construct. The agreement between this projection-based view and the supervised importance rankings strengthens confidence that these variables capture genuine structure rather than model-specific artifacts.</w:t>
        <w:br w:type="page"/>
      </w:r>
    </w:p>
    <w:p w14:paraId="63C1FE3A" w14:textId="77777777" w:rsidR="00856161" w:rsidRDefault="00750A62">
      <w:pPr>
        <w:pStyle w:val="Heading2"/>
      </w:pPr>
      <w:bookmarkStart w:id="129" w:name="_Toc233585293"/>
      <w:r>
        <w:lastRenderedPageBreak/>
        <w:t>4.6 Prototype Demonstration</w:t>
      </w:r>
      <w:bookmarkEnd w:id="129"/>
    </w:p>
    <w:p w14:paraId="2442E943" w14:textId="74477494" w:rsidR="00856161" w:rsidRDefault="00750A62">
      <w:pPr>
        <w:pStyle w:val="ThesisParagraphText"/>
      </w:pPr>
      <w:r>
        <w:t>The benchmarking results are operationalized in a working prototype: a Dash (Python/Plotly) web application that serves as the study's delivery vehicle for institutional users. The prototype is best characterized as a Minimum Viable Product (MVP): a functional, working system that demonstrates the core workflow end to end, from raw data upload through model training to invoice-level prediction, while deferring selected non-core integrations to future development. An administrator interacts with five principal screens, described below.</w:t>
      </w:r>
    </w:p>
    <w:p w14:paraId="1CAAD3B4" w14:textId="2E97A684" w:rsidR="00ED399E" w:rsidRDefault="00ED399E" w:rsidP="00ED399E">
      <w:pPr>
        <w:pStyle w:val="ThesisParagraphText"/>
        <w:ind w:firstLine="0"/>
      </w:pPr>
      <w:r>
        <w:rPr>
          <w:noProof/>
        </w:rPr>
        <w:drawing>
          <wp:inline distT="0" distB="0" distL="0" distR="0" wp14:anchorId="0ADBD69F" wp14:editId="4585E9AC">
            <wp:extent cx="5485636" cy="3527946"/>
            <wp:effectExtent l="0" t="0" r="1270" b="0"/>
            <wp:docPr id="13639508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950845" name="Picture 1" descr="A screenshot of a computer&#10;&#10;Description automatically generated"/>
                    <pic:cNvPicPr/>
                  </pic:nvPicPr>
                  <pic:blipFill rotWithShape="1">
                    <a:blip r:embed="rId37"/>
                    <a:srcRect b="14251"/>
                    <a:stretch/>
                  </pic:blipFill>
                  <pic:spPr bwMode="auto">
                    <a:xfrm>
                      <a:off x="0" y="0"/>
                      <a:ext cx="5486400" cy="3528437"/>
                    </a:xfrm>
                    <a:prstGeom prst="rect">
                      <a:avLst/>
                    </a:prstGeom>
                    <a:ln>
                      <a:noFill/>
                    </a:ln>
                    <a:extLst>
                      <a:ext uri="{53640926-AAD7-44D8-BBD7-CCE9431645EC}">
                        <a14:shadowObscured xmlns:a14="http://schemas.microsoft.com/office/drawing/2010/main"/>
                      </a:ext>
                    </a:extLst>
                  </pic:spPr>
                </pic:pic>
              </a:graphicData>
            </a:graphic>
          </wp:inline>
        </w:drawing>
      </w:r>
    </w:p>
    <w:p w14:paraId="59D4055D" w14:textId="5EF77E80" w:rsidR="009E0083" w:rsidRPr="009E0083" w:rsidRDefault="009E0083" w:rsidP="009E0083">
      <w:pPr>
        <w:pStyle w:val="Caption"/>
        <w:ind w:firstLine="0"/>
      </w:pPr>
      <w:bookmarkStart w:id="130" w:name="_Toc233585332"/>
      <w:r>
        <w:t>Figure 4.</w:t>
        <w:fldChar w:fldCharType="begin"/>
        <w:instrText>SEQ Figure \* ARABIC \s 1</w:instrText>
        <w:fldChar w:fldCharType="separate"/>
      </w:r>
      <w:r>
        <w:rPr>
          <w:noProof/>
        </w:rPr>
        <w:t>9</w:t>
      </w:r>
      <w:r>
        <w:fldChar w:fldCharType="end"/>
        <w:t>: Multi-step initial setup wizard screen.</w:t>
      </w:r>
      <w:bookmarkEnd w:id="130"/>
    </w:p>
    <w:p w14:paraId="397D0B33" w14:textId="1189783E" w:rsidR="000643E3" w:rsidRDefault="00750A62" w:rsidP="003B78E8">
      <w:pPr>
        <w:pStyle w:val="ThesisParagraphText"/>
      </w:pPr>
      <w:r>
        <w:t>The entry point is a multi-step Initial Setup Wizard that guides the administrator through uploading the two institutional source files (revenues and enrollees) and triggering the training pipeline, removing any need to interact with code or notebooks.</w:t>
        <w:br w:type="page"/>
      </w:r>
    </w:p>
    <w:p w14:paraId="5F66B281" w14:textId="3456ACD1" w:rsidR="003B78E8" w:rsidRDefault="003B78E8" w:rsidP="00CF63BA">
      <w:pPr>
        <w:pStyle w:val="ThesisParagraphText"/>
        <w:ind w:firstLine="0"/>
      </w:pPr>
      <w:r>
        <w:rPr>
          <w:noProof/>
        </w:rPr>
        <w:lastRenderedPageBreak/>
        <w:drawing>
          <wp:inline distT="0" distB="0" distL="0" distR="0" wp14:anchorId="7C308FDC" wp14:editId="7DEA0CC3">
            <wp:extent cx="5486400" cy="4114800"/>
            <wp:effectExtent l="0" t="0" r="0" b="0"/>
            <wp:docPr id="2845059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05942" name="Picture 1" descr="A screenshot of a computer&#10;&#10;Description automatically generated"/>
                    <pic:cNvPicPr/>
                  </pic:nvPicPr>
                  <pic:blipFill>
                    <a:blip r:embed="rId38"/>
                    <a:stretch>
                      <a:fillRect/>
                    </a:stretch>
                  </pic:blipFill>
                  <pic:spPr>
                    <a:xfrm>
                      <a:off x="0" y="0"/>
                      <a:ext cx="5486400" cy="4114800"/>
                    </a:xfrm>
                    <a:prstGeom prst="rect">
                      <a:avLst/>
                    </a:prstGeom>
                  </pic:spPr>
                </pic:pic>
              </a:graphicData>
            </a:graphic>
          </wp:inline>
        </w:drawing>
      </w:r>
    </w:p>
    <w:p w14:paraId="7A51CC86" w14:textId="73C6F27E" w:rsidR="00C55A22" w:rsidRDefault="00C55A22" w:rsidP="00CF63BA">
      <w:pPr>
        <w:pStyle w:val="Caption"/>
        <w:ind w:firstLine="0"/>
      </w:pPr>
      <w:bookmarkStart w:id="131" w:name="_Toc233585333"/>
      <w:r>
        <w:t>Figure 4.</w:t>
        <w:fldChar w:fldCharType="begin"/>
        <w:instrText>SEQ Figure \* ARABIC \s 1</w:instrText>
        <w:fldChar w:fldCharType="separate"/>
      </w:r>
      <w:r>
        <w:rPr>
          <w:noProof/>
        </w:rPr>
        <w:t>10</w:t>
      </w:r>
      <w:r>
        <w:fldChar w:fldCharType="end"/>
        <w:t>: Main KPI dashboard screen.</w:t>
      </w:r>
      <w:bookmarkEnd w:id="131"/>
    </w:p>
    <w:p w14:paraId="623BBAC9" w14:textId="59EE07B1" w:rsidR="00094382" w:rsidRDefault="00750A62" w:rsidP="00A97A39">
      <w:pPr>
        <w:pStyle w:val="ThesisParagraphText"/>
      </w:pPr>
      <w:r>
        <w:t>Once training has been run, the KPI Dashboard loads live data from the results database on mount: four indicator cards report the best model's macro-F1, its ROC-AUC, the total number of logged experiments, and the name of the currently deployed model, alongside a payment-bracket distribution chart built from the processed invoice cache and a table of top models sorted by enhanced-regime F1. The screen falls back gracefully to an empty state when no training has yet been performed. For a school administrator, this view answers the first operational question: how reliable is the deployed model and what does the receivables mix look like, at a glance.</w:t>
      </w:r>
    </w:p>
    <w:p w14:paraId="4D72DBA5" w14:textId="2D9B358D" w:rsidR="00C144DC" w:rsidRDefault="00C144DC" w:rsidP="00CF63BA">
      <w:pPr>
        <w:pStyle w:val="ThesisParagraphText"/>
        <w:ind w:firstLine="0"/>
      </w:pPr>
      <w:r>
        <w:rPr>
          <w:noProof/>
        </w:rPr>
        <w:lastRenderedPageBreak/>
        <w:drawing>
          <wp:inline distT="0" distB="0" distL="0" distR="0" wp14:anchorId="36623AB7" wp14:editId="1F658311">
            <wp:extent cx="5486400" cy="4114800"/>
            <wp:effectExtent l="0" t="0" r="0" b="0"/>
            <wp:docPr id="349906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06193" name="Picture 1" descr="A screenshot of a computer&#10;&#10;Description automatically generated"/>
                    <pic:cNvPicPr/>
                  </pic:nvPicPr>
                  <pic:blipFill>
                    <a:blip r:embed="rId39"/>
                    <a:stretch>
                      <a:fillRect/>
                    </a:stretch>
                  </pic:blipFill>
                  <pic:spPr>
                    <a:xfrm>
                      <a:off x="0" y="0"/>
                      <a:ext cx="5486400" cy="4114800"/>
                    </a:xfrm>
                    <a:prstGeom prst="rect">
                      <a:avLst/>
                    </a:prstGeom>
                  </pic:spPr>
                </pic:pic>
              </a:graphicData>
            </a:graphic>
          </wp:inline>
        </w:drawing>
      </w:r>
    </w:p>
    <w:p w14:paraId="08A60DAD" w14:textId="62AF17E5" w:rsidR="00D76955" w:rsidRDefault="00D76955" w:rsidP="00CF63BA">
      <w:pPr>
        <w:pStyle w:val="Caption"/>
        <w:ind w:firstLine="0"/>
      </w:pPr>
      <w:bookmarkStart w:id="132" w:name="_Toc233585334"/>
      <w:r>
        <w:t>Figure 4.</w:t>
        <w:fldChar w:fldCharType="begin"/>
        <w:instrText>SEQ Figure \* ARABIC \s 1</w:instrText>
        <w:fldChar w:fldCharType="separate"/>
      </w:r>
      <w:r>
        <w:rPr>
          <w:noProof/>
        </w:rPr>
        <w:t>11</w:t>
      </w:r>
      <w:r>
        <w:fldChar w:fldCharType="end"/>
        <w:t>: Invoice prediction drilldown screen.</w:t>
      </w:r>
      <w:bookmarkEnd w:id="132"/>
    </w:p>
    <w:p w14:paraId="4B7067F5" w14:textId="7B318F83" w:rsidR="00C144DC" w:rsidRDefault="00750A62" w:rsidP="00C144DC">
      <w:pPr>
        <w:pStyle w:val="ThesisParagraphText"/>
      </w:pPr>
      <w:r>
        <w:t>The Invoice Prediction Drilldown is the screen where predictions become actionable. It loads the processed credit sales cache, runs the deployed inference pipeline's class and probability predictions across all invoice records, and displays a paginated table of invoice number, due date, amount, predicted payment bracket, prediction confidence, and the actual bracket where known. The administrator can filter the table by predicted bracket (isolating, for example, all invoices expected to fall 61 or more days late) and export the result to CSV for use in collection workflows; every prediction run is recorded in the audit log.</w:t>
        <w:br w:type="page"/>
      </w:r>
    </w:p>
    <w:p w14:paraId="50024C6B" w14:textId="3CEE00BD" w:rsidR="00C144DC" w:rsidRDefault="00C144DC" w:rsidP="001751E6">
      <w:pPr>
        <w:pStyle w:val="ThesisParagraphText"/>
        <w:ind w:firstLine="0"/>
      </w:pPr>
      <w:r>
        <w:rPr>
          <w:noProof/>
        </w:rPr>
        <w:lastRenderedPageBreak/>
        <w:drawing>
          <wp:inline distT="0" distB="0" distL="0" distR="0" wp14:anchorId="119F1486" wp14:editId="10D680A1">
            <wp:extent cx="5418161" cy="4114800"/>
            <wp:effectExtent l="0" t="0" r="0" b="0"/>
            <wp:docPr id="14809782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78210" name="Picture 1" descr="A screenshot of a computer&#10;&#10;Description automatically generated"/>
                    <pic:cNvPicPr/>
                  </pic:nvPicPr>
                  <pic:blipFill rotWithShape="1">
                    <a:blip r:embed="rId40"/>
                    <a:srcRect r="1244"/>
                    <a:stretch/>
                  </pic:blipFill>
                  <pic:spPr bwMode="auto">
                    <a:xfrm>
                      <a:off x="0" y="0"/>
                      <a:ext cx="5418161" cy="4114800"/>
                    </a:xfrm>
                    <a:prstGeom prst="rect">
                      <a:avLst/>
                    </a:prstGeom>
                    <a:ln>
                      <a:noFill/>
                    </a:ln>
                    <a:extLst>
                      <a:ext uri="{53640926-AAD7-44D8-BBD7-CCE9431645EC}">
                        <a14:shadowObscured xmlns:a14="http://schemas.microsoft.com/office/drawing/2010/main"/>
                      </a:ext>
                    </a:extLst>
                  </pic:spPr>
                </pic:pic>
              </a:graphicData>
            </a:graphic>
          </wp:inline>
        </w:drawing>
      </w:r>
    </w:p>
    <w:p w14:paraId="351C0EB6" w14:textId="509EC0D4" w:rsidR="00430110" w:rsidRDefault="00430110" w:rsidP="001751E6">
      <w:pPr>
        <w:pStyle w:val="Caption"/>
        <w:ind w:firstLine="0"/>
      </w:pPr>
      <w:bookmarkStart w:id="133" w:name="_Toc233585335"/>
      <w:r>
        <w:t>Figure 4.</w:t>
        <w:fldChar w:fldCharType="begin"/>
        <w:instrText>SEQ Figure \* ARABIC \s 1</w:instrText>
        <w:fldChar w:fldCharType="separate"/>
      </w:r>
      <w:r>
        <w:rPr>
          <w:noProof/>
        </w:rPr>
        <w:t>12</w:t>
      </w:r>
      <w:r>
        <w:fldChar w:fldCharType="end"/>
        <w:t>: Comparative model dashboard screen.</w:t>
      </w:r>
      <w:bookmarkEnd w:id="133"/>
    </w:p>
    <w:p w14:paraId="24EAC58C" w14:textId="00092A94" w:rsidR="00C144DC" w:rsidRDefault="00750A62" w:rsidP="000033FE">
      <w:pPr>
        <w:pStyle w:val="ThesisParagraphText"/>
      </w:pPr>
      <w:r>
        <w:t>The Comparative Model Dashboard provides the analytical depth behind the deployment choice, allowing filtering by model type and balance strategy and rendering ROC curves, confusion matrices, and F1/AUC comparison charts across all 1,092 experiment configurations.</w:t>
        <w:br w:type="page"/>
      </w:r>
    </w:p>
    <w:p w14:paraId="5A480878" w14:textId="1F387228" w:rsidR="00C144DC" w:rsidRDefault="00C144DC" w:rsidP="00C144DC">
      <w:pPr>
        <w:pStyle w:val="ThesisParagraphText"/>
        <w:ind w:firstLine="0"/>
      </w:pPr>
      <w:r>
        <w:rPr>
          <w:noProof/>
        </w:rPr>
        <w:lastRenderedPageBreak/>
        <w:drawing>
          <wp:inline distT="0" distB="0" distL="0" distR="0" wp14:anchorId="538030E9" wp14:editId="41BAB248">
            <wp:extent cx="5486400" cy="4114800"/>
            <wp:effectExtent l="0" t="0" r="0" b="0"/>
            <wp:docPr id="1031942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942164" name="Picture 1" descr="A screenshot of a computer&#10;&#10;Description automatically generated"/>
                    <pic:cNvPicPr/>
                  </pic:nvPicPr>
                  <pic:blipFill>
                    <a:blip r:embed="rId41"/>
                    <a:stretch>
                      <a:fillRect/>
                    </a:stretch>
                  </pic:blipFill>
                  <pic:spPr>
                    <a:xfrm>
                      <a:off x="0" y="0"/>
                      <a:ext cx="5486400" cy="4114800"/>
                    </a:xfrm>
                    <a:prstGeom prst="rect">
                      <a:avLst/>
                    </a:prstGeom>
                  </pic:spPr>
                </pic:pic>
              </a:graphicData>
            </a:graphic>
          </wp:inline>
        </w:drawing>
      </w:r>
    </w:p>
    <w:p w14:paraId="61BEFE4B" w14:textId="60EDD077" w:rsidR="00D0097D" w:rsidRDefault="00D0097D" w:rsidP="001968F7">
      <w:pPr>
        <w:pStyle w:val="Caption"/>
        <w:ind w:firstLine="0"/>
      </w:pPr>
      <w:bookmarkStart w:id="134" w:name="_Toc233585336"/>
      <w:r>
        <w:t>Figure 4.</w:t>
        <w:fldChar w:fldCharType="begin"/>
        <w:instrText>SEQ Figure \* ARABIC \s 1</w:instrText>
        <w:fldChar w:fldCharType="separate"/>
      </w:r>
      <w:r>
        <w:rPr>
          <w:noProof/>
        </w:rPr>
        <w:t>13</w:t>
      </w:r>
      <w:r>
        <w:fldChar w:fldCharType="end"/>
        <w:t>: Audit logs screen.</w:t>
      </w:r>
      <w:bookmarkEnd w:id="134"/>
    </w:p>
    <w:p w14:paraId="7EB4B6A4" w14:textId="2E0D16E6" w:rsidR="00C144DC" w:rsidRDefault="00750A62" w:rsidP="000033FE">
      <w:pPr>
        <w:pStyle w:val="ThesisParagraphText"/>
      </w:pPr>
      <w:r>
        <w:t>Two supporting screens round out the MVP. The Audit Logs screen lists all system events (predictions run, settings saved, models loaded) with timestamp, action, and details, refreshing automatically every 30 seconds; this provides the accountability trail required for responsible institutional use (Section 3.7).</w:t>
      </w:r>
    </w:p>
    <w:p w14:paraId="5ABCDC61" w14:textId="74A2EC8E" w:rsidR="00C144DC" w:rsidRDefault="00C144DC" w:rsidP="00C144DC">
      <w:pPr>
        <w:pStyle w:val="ThesisParagraphText"/>
        <w:ind w:firstLine="0"/>
      </w:pPr>
      <w:r>
        <w:rPr>
          <w:noProof/>
        </w:rPr>
        <w:lastRenderedPageBreak/>
        <w:drawing>
          <wp:inline distT="0" distB="0" distL="0" distR="0" wp14:anchorId="2959FDF2" wp14:editId="31C4C147">
            <wp:extent cx="5486400" cy="4114800"/>
            <wp:effectExtent l="0" t="0" r="0" b="0"/>
            <wp:docPr id="31339640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96406" name="Picture 1" descr="A screenshot of a computer&#10;&#10;Description automatically generated"/>
                    <pic:cNvPicPr/>
                  </pic:nvPicPr>
                  <pic:blipFill>
                    <a:blip r:embed="rId42"/>
                    <a:stretch>
                      <a:fillRect/>
                    </a:stretch>
                  </pic:blipFill>
                  <pic:spPr>
                    <a:xfrm>
                      <a:off x="0" y="0"/>
                      <a:ext cx="5486400" cy="4114800"/>
                    </a:xfrm>
                    <a:prstGeom prst="rect">
                      <a:avLst/>
                    </a:prstGeom>
                  </pic:spPr>
                </pic:pic>
              </a:graphicData>
            </a:graphic>
          </wp:inline>
        </w:drawing>
      </w:r>
    </w:p>
    <w:p w14:paraId="280CE5DA" w14:textId="564237F2" w:rsidR="006A50EF" w:rsidRDefault="006A50EF" w:rsidP="001968F7">
      <w:pPr>
        <w:pStyle w:val="Caption"/>
        <w:ind w:firstLine="0"/>
      </w:pPr>
      <w:bookmarkStart w:id="135" w:name="_Toc233585337"/>
      <w:r>
        <w:t>Figure 4.</w:t>
        <w:fldChar w:fldCharType="begin"/>
        <w:instrText>SEQ Figure \* ARABIC \s 1</w:instrText>
        <w:fldChar w:fldCharType="separate"/>
      </w:r>
      <w:r>
        <w:rPr>
          <w:noProof/>
        </w:rPr>
        <w:t>14</w:t>
      </w:r>
      <w:r>
        <w:fldChar w:fldCharType="end"/>
        <w:t>: Settings screen.</w:t>
      </w:r>
      <w:bookmarkEnd w:id="135"/>
    </w:p>
    <w:p w14:paraId="0A9E2A0E" w14:textId="2D9225B2" w:rsidR="00856161" w:rsidRDefault="00750A62">
      <w:pPr>
        <w:pStyle w:val="ThesisParagraphText"/>
      </w:pPr>
      <w:r>
        <w:t>The Settings screen exposes the undersample threshold, the default balance strategy, and the late-invoice cutoff, persisting preferences to a configuration file and logging each change. All five screens are implemented and functional in the MVP. One integration is deliberately deferred: a compatibility adapter that would map external dataset schemas (such as public Kaggle invoice datasets with columns like invoice_date, due_date, amount, customer_id, and paid_date) onto the input schema expected by the feature engineering pipeline. At present only the proprietary three-file institutional schema is supported; the adapter and additional data source integrations are planned for future development (Section 5.4).</w:t>
      </w:r>
    </w:p>
    <w:p w14:paraId="70C006D7" w14:textId="77777777" w:rsidR="00856161" w:rsidRDefault="00750A62">
      <w:pPr>
        <w:pStyle w:val="Heading2"/>
      </w:pPr>
      <w:bookmarkStart w:id="136" w:name="_Toc233585294"/>
      <w:r>
        <w:lastRenderedPageBreak/>
        <w:t>4.7 Benchmark Dataset Generalizability</w:t>
      </w:r>
      <w:bookmarkEnd w:id="136"/>
    </w:p>
    <w:p w14:paraId="33F52CF2" w14:textId="44041B59" w:rsidR="009159CA" w:rsidRDefault="00750A62" w:rsidP="000033FE">
      <w:pPr>
        <w:pStyle w:val="ThesisParagraphText"/>
      </w:pPr>
      <w:r>
        <w:t>The pipeline as implemented is designed around a specific institutional schema: the three Excel exports (revenues, enrollees, chart of accounts) described in Section 3.2. Its strong results therefore demonstrate effectiveness for the partner institution's data model, but not yet generalizability beyond it. The natural validation step is to benchmark the pipeline against publicly available invoice and accounts-receivable datasets, such as those published on Kaggle under searches for "B2B invoice payment prediction," "accounts receivable dataset," or "customer payment behavior." Doing so requires the compatibility adapter described in Section 4.6: a mapping layer that translates external columns onto the schema expected by the feature engineering pipeline and degrades gracefully where institution-specific variables (installment plan types, enrollment streaks, category-level fee structure) have no external equivalent. Because several of the study's strongest features are institution-specific, such benchmarking would also reveal how much of the measured performance derives from the granular school data model itself, which is an informative result in either direction. This evaluation is explicitly flagged as planned future work rather than a completed contribution of this study (Section 5.4).</w:t>
        <w:br w:type="page"/>
      </w:r>
    </w:p>
    <w:p w14:paraId="767BB145" w14:textId="77777777" w:rsidR="008C577C" w:rsidRPr="00FD0F64" w:rsidRDefault="00E05849" w:rsidP="008C577C">
      <w:pPr>
        <w:pStyle w:val="Heading1"/>
      </w:pPr>
      <w:bookmarkStart w:id="137" w:name="_Toc204781972"/>
      <w:bookmarkStart w:id="138" w:name="_Toc204781997"/>
      <w:bookmarkStart w:id="139" w:name="_Toc233585295"/>
      <w:r>
        <w:lastRenderedPageBreak/>
        <w:t>CHAPTER 5</w:t>
      </w:r>
      <w:r>
        <w:rPr>
          <w:color w:val="FFFFFF" w:themeColor="background1"/>
        </w:rPr>
        <w:t>:</w:t>
      </w:r>
      <w:r>
        <w:br/>
        <w:t>CONCLUSION AND RECOMMENDATION</w:t>
      </w:r>
      <w:bookmarkEnd w:id="137"/>
      <w:bookmarkEnd w:id="138"/>
      <w:bookmarkEnd w:id="139"/>
    </w:p>
    <w:p w14:paraId="024C9F67" w14:textId="77777777" w:rsidR="008C577C" w:rsidRPr="00FD0F64" w:rsidRDefault="00F35803" w:rsidP="00F35803">
      <w:pPr>
        <w:pStyle w:val="Heading2"/>
      </w:pPr>
      <w:bookmarkStart w:id="140" w:name="_Toc233585296"/>
      <w:r>
        <w:t>5.1 Summary of Findings</w:t>
      </w:r>
      <w:bookmarkEnd w:id="140"/>
    </w:p>
    <w:p w14:paraId="508BE54B" w14:textId="77777777" w:rsidR="00FC0021" w:rsidRPr="00FD0F64" w:rsidRDefault="00FC0021" w:rsidP="00FC0021">
      <w:pPr>
        <w:pStyle w:val="ThesisParagraphText"/>
      </w:pPr>
      <w:r>
        <w:t>This study benchmarked 1,092 experimental configurations to address the Invoice Payment Prediction Problem (IPPP) within a private educational context. By evaluating fifteen machine learning architectures across multiple resampling and feature engineering regimes, four conclusions emerge:</w:t>
      </w:r>
    </w:p>
    <w:p w14:paraId="21E854E7" w14:textId="77777777" w:rsidR="00FC0021" w:rsidRPr="00FD0F64" w:rsidRDefault="00FC0021" w:rsidP="00FC0021">
      <w:pPr>
        <w:pStyle w:val="ThesisParagraphText"/>
      </w:pPr>
      <w:r>
        <w:t>(1) Hierarchical architectures dominate: Two-stage ensemble classifiers, which separate the discrimination of on-time from late invoices before determining delay severity, consistently outperform single-stage and ordinal benchmarks. The two_stage_xgb_ada configuration represents the state-of-the-art for this task (F1 = 0.6002).</w:t>
      </w:r>
    </w:p>
    <w:p w14:paraId="690DE68D" w14:textId="77777777" w:rsidR="00FC0021" w:rsidRPr="00FD0F64" w:rsidRDefault="00FC0021" w:rsidP="00FC0021">
      <w:pPr>
        <w:pStyle w:val="ThesisParagraphText"/>
      </w:pPr>
      <w:r>
        <w:t>(2) Resampling is indispensable: Given the heavy concentration of on-time payments, synthetic oversampling via SMOTE or Borderline-SMOTE is necessary to achieve meaningful recall for late-payment brackets.</w:t>
      </w:r>
    </w:p>
    <w:p w14:paraId="555297BF" w14:textId="77777777" w:rsidR="00FC0021" w:rsidRPr="00FD0F64" w:rsidRDefault="00FC0021" w:rsidP="00FC0021">
      <w:pPr>
        <w:pStyle w:val="ThesisParagraphText"/>
      </w:pPr>
      <w:r>
        <w:t>(3) Ordinal structure yields modest utility: While exploiting the ordered nature of payment delay provides consistent gains under hybrid resampling, these improvements are marginal compared to the gains from multi-stage ensemble architectures.</w:t>
      </w:r>
    </w:p>
    <w:p w14:paraId="5C946323" w14:textId="77777777" w:rsidR="00A50B64" w:rsidRPr="00FD0F64" w:rsidRDefault="00FC0021" w:rsidP="00FC0021">
      <w:pPr>
        <w:pStyle w:val="ThesisParagraphText"/>
      </w:pPr>
      <w:r>
        <w:t>(4) Survival feature impact is model-specific: Survival-analysis-derived features provide significant informative lift for distance-based and probabilistic models but offer redundant signals for high-capacity tree-ensembles that can independently model temporal interactions.</w:t>
      </w:r>
    </w:p>
    <w:p w14:paraId="43AC0D02" w14:textId="77777777" w:rsidR="00FC0021" w:rsidRPr="00FD0F64" w:rsidRDefault="00FC0021" w:rsidP="00FC0021">
      <w:pPr>
        <w:pStyle w:val="Heading2"/>
      </w:pPr>
      <w:bookmarkStart w:id="141" w:name="_Toc233585297"/>
      <w:r>
        <w:lastRenderedPageBreak/>
        <w:t>5.2 Implications for Practice</w:t>
      </w:r>
      <w:bookmarkEnd w:id="141"/>
    </w:p>
    <w:p w14:paraId="3A7BD0A8" w14:textId="77777777" w:rsidR="006437CF" w:rsidRPr="00FD0F64" w:rsidRDefault="006437CF" w:rsidP="006437CF">
      <w:pPr>
        <w:pStyle w:val="ThesisParagraphText"/>
      </w:pPr>
      <w:r>
        <w:t>For private educational institutions, these findings provide a directly deployable framework to shift from reactive collections to proactive cash flow management. The recommended production pipeline is a Two-Stage XGBoost-to-AdaBoost architecture trained with SMOTE resampling. Institutional administrators can leverage model outputs to identify high-risk accounts at the start of billing cycles and prioritize tailored interventions (e.g., early reminders for Class 1 vs. installment restructuring for Class 3).</w:t>
      </w:r>
    </w:p>
    <w:p w14:paraId="3B008916" w14:textId="77777777" w:rsidR="006437CF" w:rsidRPr="00FD0F64" w:rsidRDefault="006437CF" w:rsidP="006437CF">
      <w:pPr>
        <w:pStyle w:val="Heading2"/>
      </w:pPr>
      <w:bookmarkStart w:id="142" w:name="_Toc233585298"/>
      <w:r>
        <w:t>5.3 Recommendation for Continuous Calibration</w:t>
      </w:r>
      <w:bookmarkEnd w:id="142"/>
    </w:p>
    <w:p w14:paraId="1E97D27B" w14:textId="77777777" w:rsidR="008869B8" w:rsidRPr="00FD0F64" w:rsidRDefault="008869B8" w:rsidP="008869B8">
      <w:pPr>
        <w:pStyle w:val="ThesisParagraphText"/>
      </w:pPr>
      <w:r>
        <w:t>To account for temporal drift in payment behaviors caused by shifting socioeconomic conditions or changes in institutional policies, the researchers’ recommend that schools re-fit the Cox PH model and retrain the downstream classifiers annually. This ensures that the survival probabilities and partial hazard features remain calibrated to the latest student cohorts.</w:t>
      </w:r>
    </w:p>
    <w:p w14:paraId="41728915" w14:textId="77777777" w:rsidR="008869B8" w:rsidRPr="00FD0F64" w:rsidRDefault="008869B8" w:rsidP="008869B8">
      <w:pPr>
        <w:pStyle w:val="Heading2"/>
      </w:pPr>
      <w:bookmarkStart w:id="143" w:name="_Toc233585299"/>
      <w:r>
        <w:t>5.4 Future Directions</w:t>
      </w:r>
      <w:bookmarkEnd w:id="143"/>
    </w:p>
    <w:p w14:paraId="6201C0A5" w14:textId="77777777" w:rsidR="00A3085E" w:rsidRPr="00FD0F64" w:rsidRDefault="00F15E51" w:rsidP="00F15E51">
      <w:pPr>
        <w:pStyle w:val="ThesisParagraphText"/>
      </w:pPr>
      <w:r>
        <w:t xml:space="preserve">Future research and development should proceed along six directions. First, explainable AI integration: a SHAP value layer over the deployed two-stage model would let administrators see why an individual invoice is flagged as high risk, increasing the administrative trust on which adoption depends. Second, time-varying covariates within the Cox model would allow hazard estimates to update as partial payments arrive during the term, rather than fixing survival features at invoice issuance. Third, multi-institution federated learning would improve model generalizability while preserving student data privacy, since schools could train shared models without exchanging raw records. Fourth, </w:t>
        <w:lastRenderedPageBreak/>
        <w:t>the Dash prototype should be extended beyond its MVP scope, most notably through the Kaggle dataset compatibility adapter described in Sections 4.6 and 4.7, a mapping layer that would translate external invoice schemas onto the input format expected by the feature engineering pipeline, together with additional data source integrations beyond the three-file institutional export. Fifth, and enabled by that adapter, the pipeline should be tested on publicly available accounts-receivable and invoice datasets to establish generalizability beyond the partner institution. Finally, deployments should adopt the retraining cadence recommended in Section 5.3: an annual recalibration of the Cox PH model and downstream classifiers, so that survival features and decision thresholds continue to track each new cohort's payment behavior.</w:t>
      </w:r>
    </w:p>
    <w:p w14:paraId="784867DC" w14:textId="77777777" w:rsidR="00F15E51" w:rsidRPr="00FD0F64" w:rsidRDefault="00A3085E" w:rsidP="008F1891">
      <w:pPr>
        <w:autoSpaceDE/>
        <w:autoSpaceDN/>
        <w:adjustRightInd/>
        <w:spacing w:line="278" w:lineRule="auto"/>
        <w:ind w:firstLine="0"/>
        <w:jc w:val="left"/>
        <w:rPr>
          <w:rFonts w:eastAsia="Calibri"/>
          <w:kern w:val="0"/>
          <w14:ligatures w14:val="none"/>
        </w:rPr>
      </w:pPr>
      <w:r>
        <w:br w:type="page"/>
      </w:r>
    </w:p>
    <w:p w14:paraId="0CC54EAC" w14:textId="77777777" w:rsidR="00856161" w:rsidRDefault="00750A62">
      <w:pPr>
        <w:pStyle w:val="Heading2"/>
      </w:pPr>
      <w:bookmarkStart w:id="144" w:name="_Toc233585300"/>
      <w:r>
        <w:lastRenderedPageBreak/>
        <w:t>5.5 Conclusion</w:t>
      </w:r>
      <w:bookmarkEnd w:id="144"/>
    </w:p>
    <w:p w14:paraId="0867D7C2" w14:textId="1755BBBE" w:rsidR="00856161" w:rsidRDefault="00750A62">
      <w:pPr>
        <w:pStyle w:val="ThesisParagraphText"/>
      </w:pPr>
      <w:r>
        <w:t>This study demonstrated that hierarchical ensemble decomposition is a viable architectural paradigm for the Invoice Payment Prediction Problem, outperforming both ordinal classifiers and single-stage baselines across the majority of resampling and feature regimes tested. Across 1,092 controlled configurations, the two-stage XGBoost-to-AdaBoost pipeline established the performance ceiling at a macro-F1 of 0.6003 and ROC-AUC of 0.8919, and the experiments further demonstrated two structural results: that granular, line-item behavioral features (a student's previous bracket, weighted payment history, and carried balance) are the dominant predictive signal, and that survival-analysis feature engineering has conditional rather than universal utility, helping probabilistic and distance-based learners while adding little to high-capacity tree ensembles.</w:t>
      </w:r>
    </w:p>
    <w:p w14:paraId="12CCD498" w14:textId="58A3F4BD" w:rsidR="00856161" w:rsidRDefault="00750A62">
      <w:pPr>
        <w:pStyle w:val="ThesisParagraphText"/>
      </w:pPr>
      <w:r>
        <w:t>These numbers have a concrete operational meaning for the partner school, connecting back to the significance articulated in Section 1.5. A macro-F1 of 0.60 on a four-class, heavily imbalanced problem means that if one hundred invoices fall due next month, the model places roughly sixty of the eventually-late ones in their correct delay bracket, and the confusion analysis in Section 4.4 shows that most of its remaining errors land in adjacent brackets rather than at the opposite extreme. Measured against the status quo (no forward visibility into receivables at all), this allows the finance office to concentrate outreach on the highest-risk invoices before due dates lapse: earlier reminders, proactive restructuring offers, and social welfare referrals, in place of after-the-fact collection that RA 11984 has rendered largely unenforceable. Prediction, in other words, converts bad-debt exposure into earlier and gentler intervention.</w:t>
      </w:r>
    </w:p>
    <w:p w14:paraId="570477A6" w14:textId="6BC7BF5D" w:rsidR="00856161" w:rsidRDefault="00750A62">
      <w:pPr>
        <w:pStyle w:val="ThesisParagraphText"/>
      </w:pPr>
      <w:r>
        <w:lastRenderedPageBreak/>
        <w:t>Beyond the single institution, the contribution is methodological. The study leaves behind a replicable benchmarking framework: a factorial protocol over model families, balancing strategies, and feature regimes, with every experiment logged to a queryable results store, together with a working prototype that operationalizes the winning configuration. Any institution facing the IPPP, educational or otherwise, can rerun the same protocol on its own records and obtain a defensible, evidence-based model selection rather than an imported assumption about what works.</w:t>
      </w:r>
    </w:p>
    <w:p w14:paraId="616F107E" w14:textId="23092370" w:rsidR="007C3645" w:rsidRDefault="00750A62">
      <w:pPr>
        <w:pStyle w:val="ThesisParagraphText"/>
      </w:pPr>
      <w:r>
        <w:t>Predictive receivables management, finally, should be read as an instrument of institutional responsibility rather than financial surveillance. A school that can see payment difficulty coming can keep its programs funded without leaning on enforcement mechanisms the law has rightly removed, and can direct assistance to the families who need it while there is still time to help. In aligning financial sustainability with educational equity, this study argues, predictive analytics becomes part of responsible governance, and the gap between what schools can know and what they currently act on is precisely where data science has the most to offer.</w:t>
      </w:r>
    </w:p>
    <w:p w14:paraId="30A13257" w14:textId="77777777" w:rsidR="007C3645" w:rsidRDefault="007C3645">
      <w:pPr>
        <w:autoSpaceDE/>
        <w:autoSpaceDN/>
        <w:adjustRightInd/>
        <w:spacing w:line="278" w:lineRule="auto"/>
        <w:ind w:firstLine="0"/>
        <w:jc w:val="left"/>
        <w:rPr>
          <w:rFonts w:eastAsia="Calibri"/>
          <w:kern w:val="0"/>
          <w14:ligatures w14:val="none"/>
        </w:rPr>
      </w:pPr>
      <w:r>
        <w:br w:type="page"/>
      </w:r>
    </w:p>
    <w:p w14:paraId="3EAD4B69" w14:textId="77777777" w:rsidR="007C3645" w:rsidRDefault="0083039C" w:rsidP="007C3645">
      <w:pPr>
        <w:pStyle w:val="Heading1"/>
      </w:pPr>
      <w:bookmarkStart w:id="145" w:name="_Toc204781973"/>
      <w:bookmarkStart w:id="146" w:name="_Toc204781998"/>
      <w:bookmarkStart w:id="147" w:name="_Toc233585301"/>
      <w:r>
        <w:lastRenderedPageBreak/>
        <w:t>APPENDICES</w:t>
      </w:r>
      <w:bookmarkEnd w:id="145"/>
      <w:bookmarkEnd w:id="146"/>
      <w:bookmarkEnd w:id="147"/>
    </w:p>
    <w:p w14:paraId="1AEF5205" w14:textId="78C87E96" w:rsidR="007F779D" w:rsidRPr="00FD0F64" w:rsidRDefault="00B747E8" w:rsidP="0060194D">
      <w:pPr>
        <w:pStyle w:val="Heading2"/>
      </w:pPr>
      <w:bookmarkStart w:id="148" w:name="_Toc233585302"/>
      <w:r>
        <w:t>APPENDIX A: Days Sales Outstanding per Plan Type (calendar year 2023)</w:t>
      </w:r>
      <w:bookmarkEnd w:id="148"/>
    </w:p>
    <w:p w14:paraId="6A2A477B" w14:textId="77777777" w:rsidR="00856161" w:rsidRDefault="00750A62">
      <w:pPr>
        <w:pStyle w:val="ThesisParagraphText"/>
      </w:pPr>
      <w:r>
        <w:t>Appendix A presents the Days Sales Outstanding (DSO) per payment plan type for calendar year 2023. DSO is computed as the average number of days between invoice due date and full settlement, segmented by the student's chosen installment plan (A through E, or none).</w:t>
      </w:r>
    </w:p>
    <w:p w14:paraId="73052654" w14:textId="77777777" w:rsidR="00B747E8" w:rsidRPr="00FD0F64" w:rsidRDefault="006342F8" w:rsidP="00BB6FF6">
      <w:pPr>
        <w:ind w:firstLine="0"/>
      </w:pPr>
      <w:r>
        <w:rPr>
          <w:noProof/>
        </w:rPr>
        <w:drawing>
          <wp:inline distT="0" distB="0" distL="0" distR="0" wp14:anchorId="49CA0906" wp14:editId="4E22E136">
            <wp:extent cx="5486400" cy="2720975"/>
            <wp:effectExtent l="0" t="0" r="0" b="3175"/>
            <wp:docPr id="2011297257" name="Picture 5" descr="A graph showing the growth of the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297257" name="Picture 5" descr="A graph showing the growth of the stock market&#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86400" cy="2720975"/>
                    </a:xfrm>
                    <a:prstGeom prst="rect">
                      <a:avLst/>
                    </a:prstGeom>
                    <a:noFill/>
                    <a:ln>
                      <a:noFill/>
                    </a:ln>
                  </pic:spPr>
                </pic:pic>
              </a:graphicData>
            </a:graphic>
          </wp:inline>
        </w:drawing>
      </w:r>
    </w:p>
    <w:p w14:paraId="279C4CE4" w14:textId="77777777" w:rsidR="00856161" w:rsidRDefault="00750A62">
      <w:pPr>
        <w:pStyle w:val="ThesisParagraphText"/>
      </w:pPr>
      <w:r>
        <w:t>The figure shows the same plan-level ordering observed across all three reported years: longer credit windows correspond to higher DSO. A consolidated observation across Appendices A–C follows the final figure in Appendix C.</w:t>
      </w:r>
    </w:p>
    <w:p w14:paraId="323EA1B8" w14:textId="77777777" w:rsidR="004454FE" w:rsidRPr="00FD0F64" w:rsidRDefault="00B747E8" w:rsidP="00BB6FF6">
      <w:pPr>
        <w:pStyle w:val="Heading2"/>
        <w:pageBreakBefore/>
      </w:pPr>
      <w:bookmarkStart w:id="149" w:name="_Toc233585303"/>
      <w:r>
        <w:lastRenderedPageBreak/>
        <w:t>APPENDIX B: Days Sales Outstanding per Plan Type (calendar year 2024)</w:t>
      </w:r>
      <w:bookmarkEnd w:id="149"/>
    </w:p>
    <w:p w14:paraId="27CECFFC" w14:textId="77777777" w:rsidR="00856161" w:rsidRDefault="00750A62">
      <w:pPr>
        <w:pStyle w:val="ThesisParagraphText"/>
      </w:pPr>
      <w:r>
        <w:t>Appendix B presents the Days Sales Outstanding (DSO) per payment plan type for calendar year 2024. DSO is computed as the average number of days between invoice due date and full settlement, segmented by the student's chosen installment plan (A through E, or none).</w:t>
      </w:r>
    </w:p>
    <w:p w14:paraId="440DBC9B" w14:textId="77777777" w:rsidR="004454FE" w:rsidRPr="00FD0F64" w:rsidRDefault="004454FE" w:rsidP="00BB6FF6">
      <w:pPr>
        <w:pStyle w:val="ThesisParagraphText"/>
        <w:ind w:firstLine="0"/>
      </w:pPr>
      <w:r>
        <w:rPr>
          <w:noProof/>
        </w:rPr>
        <w:drawing>
          <wp:inline distT="0" distB="0" distL="0" distR="0" wp14:anchorId="4EFF6772" wp14:editId="30F4D869">
            <wp:extent cx="5486400" cy="2720975"/>
            <wp:effectExtent l="0" t="0" r="0" b="3175"/>
            <wp:docPr id="143330092" name="Picture 2" descr="A graph showing the growth of the aver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0092" name="Picture 2" descr="A graph showing the growth of the average&#10;&#10;Description automatically generated with medium confidence"/>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86400" cy="2720975"/>
                    </a:xfrm>
                    <a:prstGeom prst="rect">
                      <a:avLst/>
                    </a:prstGeom>
                    <a:noFill/>
                    <a:ln>
                      <a:noFill/>
                    </a:ln>
                  </pic:spPr>
                </pic:pic>
              </a:graphicData>
            </a:graphic>
          </wp:inline>
        </w:drawing>
      </w:r>
    </w:p>
    <w:p w14:paraId="5E0959C7" w14:textId="77777777" w:rsidR="00856161" w:rsidRDefault="00750A62">
      <w:pPr>
        <w:pStyle w:val="ThesisParagraphText"/>
      </w:pPr>
      <w:r>
        <w:t>The figure shows the same plan-level ordering observed across all three reported years: longer credit windows correspond to higher DSO. A consolidated observation across Appendices A–C follows the final figure in Appendix C.</w:t>
      </w:r>
    </w:p>
    <w:p w14:paraId="27C60E79" w14:textId="77777777" w:rsidR="005145A8" w:rsidRPr="00FD0F64" w:rsidRDefault="005145A8" w:rsidP="00BB6FF6">
      <w:pPr>
        <w:pStyle w:val="ThesisParagraphText"/>
        <w:ind w:firstLine="0"/>
      </w:pPr>
    </w:p>
    <w:p w14:paraId="7425F000" w14:textId="77777777" w:rsidR="005145A8" w:rsidRPr="00FD0F64" w:rsidRDefault="005145A8" w:rsidP="00BB6FF6">
      <w:pPr>
        <w:pStyle w:val="Heading2"/>
        <w:pageBreakBefore/>
      </w:pPr>
      <w:bookmarkStart w:id="150" w:name="_Toc233585304"/>
      <w:r>
        <w:lastRenderedPageBreak/>
        <w:t>APPENDIX C: Days Sales Outstanding per Plan Type (calendar year 2025)</w:t>
      </w:r>
      <w:bookmarkEnd w:id="150"/>
    </w:p>
    <w:p w14:paraId="6E752B1B" w14:textId="77777777" w:rsidR="00856161" w:rsidRDefault="00750A62">
      <w:pPr>
        <w:pStyle w:val="ThesisParagraphText"/>
      </w:pPr>
      <w:r>
        <w:t>Appendix C presents the Days Sales Outstanding (DSO) per payment plan type for calendar year 2025. DSO is computed as the average number of days between invoice due date and full settlement, segmented by the student's chosen installment plan (A through E, or none).</w:t>
      </w:r>
    </w:p>
    <w:p w14:paraId="2003956F" w14:textId="77777777" w:rsidR="00B747E8" w:rsidRPr="00FD0F64" w:rsidRDefault="00B747E8" w:rsidP="00BB6FF6">
      <w:pPr>
        <w:pStyle w:val="ThesisParagraphText"/>
        <w:ind w:firstLine="0"/>
      </w:pPr>
      <w:r>
        <w:rPr>
          <w:noProof/>
        </w:rPr>
        <w:drawing>
          <wp:inline distT="0" distB="0" distL="0" distR="0" wp14:anchorId="50F88AA2" wp14:editId="1D56C1BE">
            <wp:extent cx="5486400" cy="2720975"/>
            <wp:effectExtent l="0" t="0" r="0" b="3175"/>
            <wp:docPr id="1668156887" name="Picture 3" descr="A graph showing the growt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6887" name="Picture 3" descr="A graph showing the growth of a number of people&#10;&#10;Description automatically generated with medium confidence"/>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86400" cy="2720975"/>
                    </a:xfrm>
                    <a:prstGeom prst="rect">
                      <a:avLst/>
                    </a:prstGeom>
                    <a:noFill/>
                    <a:ln>
                      <a:noFill/>
                    </a:ln>
                  </pic:spPr>
                </pic:pic>
              </a:graphicData>
            </a:graphic>
          </wp:inline>
        </w:drawing>
      </w:r>
    </w:p>
    <w:p w14:paraId="44888915" w14:textId="77777777" w:rsidR="00856161" w:rsidRDefault="00750A62">
      <w:pPr>
        <w:pStyle w:val="ThesisParagraphText"/>
      </w:pPr>
      <w:r>
        <w:t>Across the three years presented in Appendices A through C, the plan types that extend the longest credit windows, the extended monthly installment arrangements and invoices with no assigned plan, consistently exhibit the highest DSO, while Plan A (full upfront payment) settles fastest. The implication is that settlement speed tracks the length of the credit window a plan extends: the more payment is deferred, the longer receivables remain outstanding. This ordering is consistent with the ordinal plan-risk encoding used as a model feature (Section 3.3), and it explains why plan-type variables carry predictive signal in the payment-bracket models.</w:t>
      </w:r>
    </w:p>
    <w:p w14:paraId="44FFC897" w14:textId="77777777" w:rsidR="00920644" w:rsidRPr="00FD0F64" w:rsidRDefault="001F7C5A" w:rsidP="00BB6FF6">
      <w:pPr>
        <w:pStyle w:val="Heading2"/>
        <w:pageBreakBefore/>
      </w:pPr>
      <w:bookmarkStart w:id="151" w:name="_Toc233585305"/>
      <w:r>
        <w:lastRenderedPageBreak/>
        <w:t>APPENDIX D: Feature importance from the paper titled “A MACHINE-LEARNING APPROACH TOWARDS SOLVING THE INVOICE PAYMENT PREDICTION PROBLEM”</w:t>
      </w:r>
      <w:bookmarkEnd w:id="151"/>
    </w:p>
    <w:p w14:paraId="23BF1A28" w14:textId="77777777" w:rsidR="00856161" w:rsidRDefault="00750A62">
      <w:pPr>
        <w:pStyle w:val="ThesisParagraphText"/>
      </w:pPr>
      <w:r>
        <w:t>Appendix D reproduces the first set of feature importance rankings reported by Schoonbee et al. [5], included as the principal point of comparison for the importance analysis in Section 4.5.</w:t>
      </w:r>
    </w:p>
    <w:p w14:paraId="755B2713" w14:textId="77777777" w:rsidR="00DD7845" w:rsidRPr="00FD0F64" w:rsidRDefault="00DD7845" w:rsidP="00BB6FF6">
      <w:pPr>
        <w:ind w:firstLine="0"/>
        <w:jc w:val="center"/>
      </w:pPr>
      <w:r>
        <w:rPr>
          <w:noProof/>
        </w:rPr>
        <w:drawing>
          <wp:inline distT="0" distB="0" distL="0" distR="0" wp14:anchorId="18672E47" wp14:editId="0D28E4D2">
            <wp:extent cx="5486400" cy="2767330"/>
            <wp:effectExtent l="0" t="0" r="0" b="0"/>
            <wp:docPr id="799111275" name="Picture 1" descr="A graph of different colored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11275" name="Picture 1" descr="A graph of different colored bars&#10;&#10;Description automatically generated"/>
                    <pic:cNvPicPr/>
                  </pic:nvPicPr>
                  <pic:blipFill>
                    <a:blip r:embed="rId46"/>
                    <a:stretch>
                      <a:fillRect/>
                    </a:stretch>
                  </pic:blipFill>
                  <pic:spPr>
                    <a:xfrm>
                      <a:off x="0" y="0"/>
                      <a:ext cx="5486400" cy="2767330"/>
                    </a:xfrm>
                    <a:prstGeom prst="rect">
                      <a:avLst/>
                    </a:prstGeom>
                  </pic:spPr>
                </pic:pic>
              </a:graphicData>
            </a:graphic>
          </wp:inline>
        </w:drawing>
      </w:r>
    </w:p>
    <w:p w14:paraId="44F70D19" w14:textId="77777777" w:rsidR="00856161" w:rsidRDefault="00750A62">
      <w:pPr>
        <w:pStyle w:val="ThesisParagraphText"/>
      </w:pPr>
      <w:r>
        <w:t>Their top-ranked variables are aggregate, student-level payment history features, which is consistent with this study's finding that behavioral payment history dominates prediction, while lacking the category-level granularity and engineered survival features introduced here.</w:t>
      </w:r>
    </w:p>
    <w:p w14:paraId="54BE4209" w14:textId="77777777" w:rsidR="00DD7845" w:rsidRPr="00FD0F64" w:rsidRDefault="000B2180" w:rsidP="00BB6FF6">
      <w:pPr>
        <w:pStyle w:val="Heading2"/>
        <w:pageBreakBefore/>
        <w:spacing w:before="0" w:after="0"/>
      </w:pPr>
      <w:bookmarkStart w:id="152" w:name="_Toc233585306"/>
      <w:r>
        <w:lastRenderedPageBreak/>
        <w:t>APPENDIX E: Feature importance from the paper titled “A MACHINE-LEARNING APPROACH TOWARDS SOLVING THE INVOICE PAYMENT PREDICTION PROBLEM”</w:t>
      </w:r>
      <w:bookmarkEnd w:id="152"/>
    </w:p>
    <w:p w14:paraId="21F837D3" w14:textId="77777777" w:rsidR="00856161" w:rsidRDefault="00750A62">
      <w:pPr>
        <w:pStyle w:val="ThesisParagraphText"/>
      </w:pPr>
      <w:r>
        <w:t>Appendix E reproduces the second set of feature importance rankings from Schoonbee et al. [5], complementing Appendix D.</w:t>
      </w:r>
    </w:p>
    <w:p w14:paraId="4A826A5A" w14:textId="77777777" w:rsidR="000B2180" w:rsidRPr="00FD0F64" w:rsidRDefault="000B2180" w:rsidP="00BB6FF6">
      <w:pPr>
        <w:spacing w:after="0"/>
        <w:ind w:firstLine="0"/>
      </w:pPr>
      <w:r>
        <w:rPr>
          <w:noProof/>
        </w:rPr>
        <w:drawing>
          <wp:inline distT="0" distB="0" distL="0" distR="0" wp14:anchorId="6F7CFFC3" wp14:editId="7F4D19E3">
            <wp:extent cx="5486400" cy="2909570"/>
            <wp:effectExtent l="0" t="0" r="0" b="5080"/>
            <wp:docPr id="678657339" name="Picture 1" descr="A table with numbers and symbol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57339" name="Picture 1" descr="A table with numbers and symbols&#10;&#10;Description automatically generated with medium confidence"/>
                    <pic:cNvPicPr/>
                  </pic:nvPicPr>
                  <pic:blipFill>
                    <a:blip r:embed="rId47"/>
                    <a:stretch>
                      <a:fillRect/>
                    </a:stretch>
                  </pic:blipFill>
                  <pic:spPr>
                    <a:xfrm>
                      <a:off x="0" y="0"/>
                      <a:ext cx="5486400" cy="2909570"/>
                    </a:xfrm>
                    <a:prstGeom prst="rect">
                      <a:avLst/>
                    </a:prstGeom>
                  </pic:spPr>
                </pic:pic>
              </a:graphicData>
            </a:graphic>
          </wp:inline>
        </w:drawing>
      </w:r>
    </w:p>
    <w:p w14:paraId="0836CA3A" w14:textId="77777777" w:rsidR="00856161" w:rsidRDefault="00750A62">
      <w:pPr>
        <w:pStyle w:val="ThesisParagraphText"/>
      </w:pPr>
      <w:r>
        <w:t>Together, Appendices D and E show that prior educational IPPP work concentrated its predictive signal in a small set of aggregate history variables, supporting this study's design decision to expand the feature space at line-item granularity (Section 3.3).</w:t>
      </w:r>
    </w:p>
    <w:p w14:paraId="38F8CA25" w14:textId="77777777" w:rsidR="00664705" w:rsidRPr="00FD0F64" w:rsidRDefault="001B69AF" w:rsidP="00BB6FF6">
      <w:pPr>
        <w:pStyle w:val="Heading2"/>
        <w:pageBreakBefore/>
        <w:spacing w:before="0" w:after="0"/>
        <w:rPr>
          <w:noProof/>
        </w:rPr>
      </w:pPr>
      <w:bookmarkStart w:id="153" w:name="_Toc233585307"/>
      <w:r>
        <w:lastRenderedPageBreak/>
        <w:t>APPENDIX F: Correlation scores between features and the days to payment variable from the paper “A framework for modeling customer invoice payment prediction</w:t>
      </w:r>
      <w:bookmarkEnd w:id="153"/>
    </w:p>
    <w:p w14:paraId="3B6FB453" w14:textId="77777777" w:rsidR="00856161" w:rsidRDefault="00750A62">
      <w:pPr>
        <w:pStyle w:val="ThesisParagraphText"/>
      </w:pPr>
      <w:r>
        <w:t>Appendix F reproduces the correlation scores between candidate features and the days-to-payment variable reported by Moore and van Vuuren [4].</w:t>
      </w:r>
    </w:p>
    <w:p w14:paraId="4765A78C" w14:textId="77777777" w:rsidR="009C36B4" w:rsidRPr="00FD0F64" w:rsidRDefault="009806A4" w:rsidP="00BB6FF6">
      <w:pPr>
        <w:ind w:firstLine="0"/>
      </w:pPr>
      <w:r>
        <w:rPr>
          <w:noProof/>
        </w:rPr>
        <w:drawing>
          <wp:inline distT="0" distB="0" distL="0" distR="0" wp14:anchorId="6D9C2320" wp14:editId="7139BE81">
            <wp:extent cx="5486400" cy="3439160"/>
            <wp:effectExtent l="0" t="0" r="0" b="8890"/>
            <wp:docPr id="1407050290" name="Picture 1" descr="A graph with blue and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050290" name="Picture 1" descr="A graph with blue and white lines&#10;&#10;Description automatically generated"/>
                    <pic:cNvPicPr/>
                  </pic:nvPicPr>
                  <pic:blipFill>
                    <a:blip r:embed="rId48"/>
                    <a:stretch>
                      <a:fillRect/>
                    </a:stretch>
                  </pic:blipFill>
                  <pic:spPr>
                    <a:xfrm>
                      <a:off x="0" y="0"/>
                      <a:ext cx="5486400" cy="3439160"/>
                    </a:xfrm>
                    <a:prstGeom prst="rect">
                      <a:avLst/>
                    </a:prstGeom>
                  </pic:spPr>
                </pic:pic>
              </a:graphicData>
            </a:graphic>
          </wp:inline>
        </w:drawing>
      </w:r>
      <w:bookmarkStart w:id="154" w:name="_Toc204781974"/>
      <w:bookmarkStart w:id="155" w:name="_Toc204781999"/>
    </w:p>
    <w:p w14:paraId="30F91CB5" w14:textId="2EC58D5A" w:rsidR="009C36B4" w:rsidRPr="000033FE" w:rsidRDefault="00750A62" w:rsidP="000033FE">
      <w:pPr>
        <w:pStyle w:val="ThesisParagraphText"/>
      </w:pPr>
      <w:r>
        <w:t>The strongest correlates in their framework are historical payment-delay aggregates, anticipating the dominance of dtp-derived features observed in this study's importance rankings (Figures 4.5 and 4.6).</w:t>
        <w:br w:type="page"/>
      </w:r>
    </w:p>
    <w:p w14:paraId="5FCF201F" w14:textId="77777777" w:rsidR="00856161" w:rsidRDefault="00750A62">
      <w:pPr>
        <w:pStyle w:val="Heading2"/>
        <w:pageBreakBefore/>
      </w:pPr>
      <w:bookmarkStart w:id="156" w:name="_Toc233585308"/>
      <w:r>
        <w:lastRenderedPageBreak/>
        <w:t>APPENDIX G: Institutional Communication and Authorization Letter</w:t>
      </w:r>
      <w:bookmarkEnd w:id="156"/>
    </w:p>
    <w:p w14:paraId="28103355" w14:textId="0F7512BE" w:rsidR="00856161" w:rsidRDefault="00750A62">
      <w:pPr>
        <w:pStyle w:val="ThesisParagraphText"/>
      </w:pPr>
      <w:r>
        <w:t>This appendix contains the written authorization from the partner institution permitting the research team to access and process student financial records for the purposes of this study, subject to the conditions described in Section 3.7.1. The letter is issued on the school's letterhead and signed by an authorized signatory, and it specifies the scope of data access granted, the restrictions on data use (research purposes only, mandatory pseudonymization, and no public release of raw records), and the date of authorization. This communication is distinct from any non-disclosure agreement: it constitutes the school's formal authorization to use its data for research.</w:t>
      </w:r>
    </w:p>
    <w:p w14:paraId="6916BAC4" w14:textId="32209AB2" w:rsidR="00741A8F" w:rsidRDefault="00CA129D" w:rsidP="00741A8F">
      <w:pPr>
        <w:pStyle w:val="ThesisParagraphText"/>
        <w:ind w:firstLine="0"/>
      </w:pPr>
      <w:r>
        <w:rPr>
          <w:noProof/>
        </w:rPr>
        <w:lastRenderedPageBreak/>
        <w:drawing>
          <wp:inline distT="0" distB="0" distL="0" distR="0" wp14:anchorId="27DB6E64" wp14:editId="2826AFFF">
            <wp:extent cx="5137964" cy="7283539"/>
            <wp:effectExtent l="19050" t="19050" r="24765" b="12700"/>
            <wp:docPr id="230344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721982" name=""/>
                    <pic:cNvPicPr/>
                  </pic:nvPicPr>
                  <pic:blipFill>
                    <a:blip r:embed="rId49"/>
                    <a:stretch>
                      <a:fillRect/>
                    </a:stretch>
                  </pic:blipFill>
                  <pic:spPr>
                    <a:xfrm>
                      <a:off x="0" y="0"/>
                      <a:ext cx="5141891" cy="7289106"/>
                    </a:xfrm>
                    <a:prstGeom prst="rect">
                      <a:avLst/>
                    </a:prstGeom>
                    <a:ln>
                      <a:solidFill>
                        <a:schemeClr val="accent1"/>
                      </a:solidFill>
                    </a:ln>
                  </pic:spPr>
                </pic:pic>
              </a:graphicData>
            </a:graphic>
          </wp:inline>
        </w:drawing>
      </w:r>
    </w:p>
    <w:p w14:paraId="2AF4AC82" w14:textId="46FEF499" w:rsidR="00CA129D" w:rsidRDefault="00CA129D" w:rsidP="00741A8F">
      <w:pPr>
        <w:pStyle w:val="ThesisParagraphText"/>
        <w:ind w:firstLine="0"/>
      </w:pPr>
      <w:r>
        <w:rPr>
          <w:noProof/>
        </w:rPr>
        <w:lastRenderedPageBreak/>
        <w:drawing>
          <wp:inline distT="0" distB="0" distL="0" distR="0" wp14:anchorId="4E4986DD" wp14:editId="6AB935F5">
            <wp:extent cx="5486400" cy="7740650"/>
            <wp:effectExtent l="19050" t="19050" r="19050" b="12700"/>
            <wp:docPr id="14365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93690" name=""/>
                    <pic:cNvPicPr/>
                  </pic:nvPicPr>
                  <pic:blipFill>
                    <a:blip r:embed="rId50"/>
                    <a:stretch>
                      <a:fillRect/>
                    </a:stretch>
                  </pic:blipFill>
                  <pic:spPr>
                    <a:xfrm>
                      <a:off x="0" y="0"/>
                      <a:ext cx="5486400" cy="7740650"/>
                    </a:xfrm>
                    <a:prstGeom prst="rect">
                      <a:avLst/>
                    </a:prstGeom>
                    <a:ln>
                      <a:solidFill>
                        <a:schemeClr val="accent1"/>
                      </a:solidFill>
                    </a:ln>
                  </pic:spPr>
                </pic:pic>
              </a:graphicData>
            </a:graphic>
          </wp:inline>
        </w:drawing>
        <w:lastRenderedPageBreak/>
        <w:drawing>
          <wp:inline distT="0" distB="0" distL="0" distR="0" wp14:anchorId="65863D69" wp14:editId="0C888385">
            <wp:extent cx="5486400" cy="7768590"/>
            <wp:effectExtent l="19050" t="19050" r="19050" b="22860"/>
            <wp:docPr id="597915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30435" name=""/>
                    <pic:cNvPicPr/>
                  </pic:nvPicPr>
                  <pic:blipFill>
                    <a:blip r:embed="rId51"/>
                    <a:stretch>
                      <a:fillRect/>
                    </a:stretch>
                  </pic:blipFill>
                  <pic:spPr>
                    <a:xfrm>
                      <a:off x="0" y="0"/>
                      <a:ext cx="5486400" cy="7768590"/>
                    </a:xfrm>
                    <a:prstGeom prst="rect">
                      <a:avLst/>
                    </a:prstGeom>
                    <a:ln>
                      <a:solidFill>
                        <a:schemeClr val="accent1"/>
                      </a:solidFill>
                    </a:ln>
                  </pic:spPr>
                </pic:pic>
              </a:graphicData>
            </a:graphic>
          </wp:inline>
        </w:drawing>
        <w:lastRenderedPageBreak/>
        <w:drawing>
          <wp:inline distT="0" distB="0" distL="0" distR="0" wp14:anchorId="3DFA5BB0" wp14:editId="0B9B84BA">
            <wp:extent cx="5486400" cy="7747635"/>
            <wp:effectExtent l="19050" t="19050" r="19050" b="24765"/>
            <wp:docPr id="108315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59785" name=""/>
                    <pic:cNvPicPr/>
                  </pic:nvPicPr>
                  <pic:blipFill>
                    <a:blip r:embed="rId52"/>
                    <a:stretch>
                      <a:fillRect/>
                    </a:stretch>
                  </pic:blipFill>
                  <pic:spPr>
                    <a:xfrm>
                      <a:off x="0" y="0"/>
                      <a:ext cx="5486400" cy="7747635"/>
                    </a:xfrm>
                    <a:prstGeom prst="rect">
                      <a:avLst/>
                    </a:prstGeom>
                    <a:ln>
                      <a:solidFill>
                        <a:schemeClr val="accent1"/>
                      </a:solidFill>
                    </a:ln>
                  </pic:spPr>
                </pic:pic>
              </a:graphicData>
            </a:graphic>
          </wp:inline>
        </w:drawing>
      </w:r>
    </w:p>
    <w:p w14:paraId="108E1734" w14:textId="77777777" w:rsidR="00856161" w:rsidRDefault="00750A62">
      <w:pPr>
        <w:pStyle w:val="Heading2"/>
        <w:pageBreakBefore/>
      </w:pPr>
      <w:bookmarkStart w:id="157" w:name="_Toc233585309"/>
      <w:r>
        <w:lastRenderedPageBreak/>
        <w:t>APPENDIX H: Dataset Description and Variable Dictionary</w:t>
      </w:r>
      <w:bookmarkEnd w:id="157"/>
    </w:p>
    <w:p w14:paraId="361CD8C5" w14:textId="77777777" w:rsidR="00856161" w:rsidRDefault="00750A62">
      <w:pPr>
        <w:pStyle w:val="ThesisParagraphText"/>
      </w:pPr>
      <w:r>
        <w:t>The pseudonymized dataset comprises 11,440 raw invoice records exported from the partner institution's ERP system, of which 6,527 labeled records were retained for modeling after filtering for sufficient payment history. Records span academic years 2019–2025, with payment activity observed through March 31, 2026, and originate from three source tables: revenues (itemized receivables and payments), enrollees (per-year enrollment and installment plan), and the chart of accounts (category classifications). The table below lists every variable used in the machine learning pipeline, its category, type, description, and source.</w:t>
      </w:r>
    </w:p>
    <w:p w14:paraId="183BA934" w14:textId="77777777" w:rsidR="001830B9" w:rsidRDefault="001830B9">
      <w:pPr>
        <w:pStyle w:val="ThesisParagraphText"/>
      </w:pPr>
    </w:p>
    <w:tbl>
      <w:tblPr>
        <w:tblStyle w:val="PlainTable3"/>
        <w:tblW w:w="0" w:type="auto"/>
        <w:tblLayout w:type="fixed"/>
        <w:tblLook w:val="04A0" w:firstRow="1" w:lastRow="0" w:firstColumn="1" w:lastColumn="0" w:noHBand="0" w:noVBand="1"/>
      </w:tblPr>
      <w:tblGrid>
        <w:gridCol w:w="3150"/>
        <w:gridCol w:w="1530"/>
        <w:gridCol w:w="1170"/>
        <w:gridCol w:w="1620"/>
        <w:gridCol w:w="1170"/>
      </w:tblGrid>
      <w:tr w:rsidR="00856161" w14:paraId="6270A130" w14:textId="77777777" w:rsidTr="009D50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50" w:type="dxa"/>
          </w:tcPr>
          <w:p w14:paraId="0BB4BDDC" w14:textId="77777777" w:rsidR="00856161" w:rsidRPr="00937430" w:rsidRDefault="00750A62" w:rsidP="000033FE">
            <w:pPr>
              <w:ind w:firstLine="0"/>
              <w:rPr>
                <w:sz w:val="20"/>
                <w:szCs w:val="20"/>
              </w:rPr>
            </w:pPr>
            <w:r>
              <w:rPr>
                <w:sz w:val="20"/>
                <w:szCs w:val="20"/>
              </w:rPr>
              <w:t>Feature Name</w:t>
            </w:r>
          </w:p>
        </w:tc>
        <w:tc>
          <w:tcPr>
            <w:tcW w:w="1530" w:type="dxa"/>
          </w:tcPr>
          <w:p w14:paraId="2FE44E8E" w14:textId="77777777" w:rsidR="00856161" w:rsidRPr="00937430" w:rsidRDefault="00750A62" w:rsidP="00937430">
            <w:pPr>
              <w:ind w:firstLine="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Category</w:t>
            </w:r>
          </w:p>
        </w:tc>
        <w:tc>
          <w:tcPr>
            <w:tcW w:w="1170" w:type="dxa"/>
          </w:tcPr>
          <w:p w14:paraId="64A668D0" w14:textId="77777777" w:rsidR="00856161" w:rsidRPr="00937430" w:rsidRDefault="00750A62" w:rsidP="00937430">
            <w:pPr>
              <w:ind w:firstLine="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Type</w:t>
            </w:r>
          </w:p>
        </w:tc>
        <w:tc>
          <w:tcPr>
            <w:tcW w:w="1620" w:type="dxa"/>
          </w:tcPr>
          <w:p w14:paraId="5F0FDB7D" w14:textId="77777777" w:rsidR="00856161" w:rsidRPr="00937430" w:rsidRDefault="00750A62" w:rsidP="00937430">
            <w:pPr>
              <w:ind w:firstLine="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Description</w:t>
            </w:r>
          </w:p>
        </w:tc>
        <w:tc>
          <w:tcPr>
            <w:tcW w:w="1170" w:type="dxa"/>
          </w:tcPr>
          <w:p w14:paraId="7E6421C6" w14:textId="77777777" w:rsidR="00856161" w:rsidRPr="00937430" w:rsidRDefault="00750A62" w:rsidP="00937430">
            <w:pPr>
              <w:ind w:firstLine="0"/>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Source</w:t>
            </w:r>
          </w:p>
        </w:tc>
      </w:tr>
      <w:tr w:rsidR="00856161" w14:paraId="08FE4925"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5E49CCF" w14:textId="77777777" w:rsidR="00856161" w:rsidRPr="00036AF9" w:rsidRDefault="00750A62" w:rsidP="00036AF9">
            <w:pPr>
              <w:ind w:firstLine="0"/>
              <w:jc w:val="left"/>
              <w:rPr>
                <w:sz w:val="20"/>
                <w:szCs w:val="20"/>
              </w:rPr>
            </w:pPr>
            <w:r>
              <w:rPr>
                <w:sz w:val="20"/>
                <w:szCs w:val="20"/>
              </w:rPr>
              <w:t>school_year</w:t>
            </w:r>
          </w:p>
        </w:tc>
        <w:tc>
          <w:tcPr>
            <w:tcW w:w="1530" w:type="dxa"/>
          </w:tcPr>
          <w:p w14:paraId="7E607A07"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Identity (not a model input)</w:t>
            </w:r>
          </w:p>
        </w:tc>
        <w:tc>
          <w:tcPr>
            <w:tcW w:w="1170" w:type="dxa"/>
          </w:tcPr>
          <w:p w14:paraId="56364DA9"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Categorical</w:t>
            </w:r>
          </w:p>
        </w:tc>
        <w:tc>
          <w:tcPr>
            <w:tcW w:w="1620" w:type="dxa"/>
          </w:tcPr>
          <w:p w14:paraId="7C4E349E"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Academic year of the invoice</w:t>
            </w:r>
          </w:p>
        </w:tc>
        <w:tc>
          <w:tcPr>
            <w:tcW w:w="1170" w:type="dxa"/>
          </w:tcPr>
          <w:p w14:paraId="5F4584A3"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Revenues</w:t>
            </w:r>
          </w:p>
        </w:tc>
      </w:tr>
      <w:tr w:rsidR="00856161" w14:paraId="562549A6"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1E48C172" w14:textId="77777777" w:rsidR="00856161" w:rsidRPr="00036AF9" w:rsidRDefault="00750A62" w:rsidP="00036AF9">
            <w:pPr>
              <w:ind w:firstLine="0"/>
              <w:jc w:val="left"/>
              <w:rPr>
                <w:sz w:val="20"/>
                <w:szCs w:val="20"/>
              </w:rPr>
            </w:pPr>
            <w:r>
              <w:rPr>
                <w:sz w:val="20"/>
                <w:szCs w:val="20"/>
              </w:rPr>
              <w:t>student_id_pseudonymized</w:t>
            </w:r>
          </w:p>
        </w:tc>
        <w:tc>
          <w:tcPr>
            <w:tcW w:w="1530" w:type="dxa"/>
          </w:tcPr>
          <w:p w14:paraId="6832044F"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Identity (not a model input)</w:t>
            </w:r>
          </w:p>
        </w:tc>
        <w:tc>
          <w:tcPr>
            <w:tcW w:w="1170" w:type="dxa"/>
          </w:tcPr>
          <w:p w14:paraId="61DC38FE"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Integer</w:t>
            </w:r>
          </w:p>
        </w:tc>
        <w:tc>
          <w:tcPr>
            <w:tcW w:w="1620" w:type="dxa"/>
          </w:tcPr>
          <w:p w14:paraId="5883507F"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Anonymized student identifier</w:t>
            </w:r>
          </w:p>
        </w:tc>
        <w:tc>
          <w:tcPr>
            <w:tcW w:w="1170" w:type="dxa"/>
          </w:tcPr>
          <w:p w14:paraId="40B40B60"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Revenues (pseudonymized)</w:t>
            </w:r>
          </w:p>
        </w:tc>
      </w:tr>
      <w:tr w:rsidR="00856161" w14:paraId="206D7A0D"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F875518" w14:textId="77777777" w:rsidR="00856161" w:rsidRPr="00036AF9" w:rsidRDefault="00750A62" w:rsidP="00036AF9">
            <w:pPr>
              <w:ind w:firstLine="0"/>
              <w:jc w:val="left"/>
              <w:rPr>
                <w:sz w:val="20"/>
                <w:szCs w:val="20"/>
              </w:rPr>
            </w:pPr>
            <w:r>
              <w:rPr>
                <w:sz w:val="20"/>
                <w:szCs w:val="20"/>
              </w:rPr>
              <w:t>category_name</w:t>
            </w:r>
          </w:p>
        </w:tc>
        <w:tc>
          <w:tcPr>
            <w:tcW w:w="1530" w:type="dxa"/>
          </w:tcPr>
          <w:p w14:paraId="35D87A39"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Identity (not a model input)</w:t>
            </w:r>
          </w:p>
        </w:tc>
        <w:tc>
          <w:tcPr>
            <w:tcW w:w="1170" w:type="dxa"/>
          </w:tcPr>
          <w:p w14:paraId="4CD5A3F7"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Categorical</w:t>
            </w:r>
          </w:p>
        </w:tc>
        <w:tc>
          <w:tcPr>
            <w:tcW w:w="1620" w:type="dxa"/>
          </w:tcPr>
          <w:p w14:paraId="3B000A9B"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Fee category (e.g., tuition, miscellaneous)</w:t>
            </w:r>
          </w:p>
        </w:tc>
        <w:tc>
          <w:tcPr>
            <w:tcW w:w="1170" w:type="dxa"/>
          </w:tcPr>
          <w:p w14:paraId="0BA3A7EA"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Chart of accounts</w:t>
            </w:r>
          </w:p>
        </w:tc>
      </w:tr>
      <w:tr w:rsidR="00856161" w14:paraId="353ACAE5"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22F0077C" w14:textId="77777777" w:rsidR="00856161" w:rsidRPr="00036AF9" w:rsidRDefault="00750A62" w:rsidP="00036AF9">
            <w:pPr>
              <w:ind w:firstLine="0"/>
              <w:jc w:val="left"/>
              <w:rPr>
                <w:sz w:val="20"/>
                <w:szCs w:val="20"/>
              </w:rPr>
            </w:pPr>
            <w:r>
              <w:rPr>
                <w:sz w:val="20"/>
                <w:szCs w:val="20"/>
              </w:rPr>
              <w:t>gross_receivables</w:t>
            </w:r>
          </w:p>
        </w:tc>
        <w:tc>
          <w:tcPr>
            <w:tcW w:w="1530" w:type="dxa"/>
          </w:tcPr>
          <w:p w14:paraId="6D5BF3D0"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Raw financial</w:t>
            </w:r>
          </w:p>
        </w:tc>
        <w:tc>
          <w:tcPr>
            <w:tcW w:w="1170" w:type="dxa"/>
          </w:tcPr>
          <w:p w14:paraId="7BA5759C" w14:textId="05DD029D" w:rsidR="00856161" w:rsidRPr="00036AF9" w:rsidRDefault="00036AF9"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159DD60A"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Total billed amount before deductions</w:t>
            </w:r>
          </w:p>
        </w:tc>
        <w:tc>
          <w:tcPr>
            <w:tcW w:w="1170" w:type="dxa"/>
          </w:tcPr>
          <w:p w14:paraId="6328F48E"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Revenues</w:t>
            </w:r>
          </w:p>
        </w:tc>
      </w:tr>
      <w:tr w:rsidR="00856161" w14:paraId="2584AB2B"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2B868ED5" w14:textId="77777777" w:rsidR="00856161" w:rsidRPr="00036AF9" w:rsidRDefault="00750A62" w:rsidP="00036AF9">
            <w:pPr>
              <w:ind w:firstLine="0"/>
              <w:jc w:val="left"/>
              <w:rPr>
                <w:sz w:val="20"/>
                <w:szCs w:val="20"/>
              </w:rPr>
            </w:pPr>
            <w:r>
              <w:rPr>
                <w:sz w:val="20"/>
                <w:szCs w:val="20"/>
              </w:rPr>
              <w:t>amount_discounted</w:t>
            </w:r>
          </w:p>
        </w:tc>
        <w:tc>
          <w:tcPr>
            <w:tcW w:w="1530" w:type="dxa"/>
          </w:tcPr>
          <w:p w14:paraId="64223A79"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Raw financial</w:t>
            </w:r>
          </w:p>
        </w:tc>
        <w:tc>
          <w:tcPr>
            <w:tcW w:w="1170" w:type="dxa"/>
          </w:tcPr>
          <w:p w14:paraId="102A1D89"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3ABBC1A0"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Discount applied to the invoice</w:t>
            </w:r>
          </w:p>
        </w:tc>
        <w:tc>
          <w:tcPr>
            <w:tcW w:w="1170" w:type="dxa"/>
          </w:tcPr>
          <w:p w14:paraId="4FFFDB16"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Revenues</w:t>
            </w:r>
          </w:p>
        </w:tc>
      </w:tr>
      <w:tr w:rsidR="00856161" w14:paraId="51E9ED1F"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6DA751BB" w14:textId="77777777" w:rsidR="00856161" w:rsidRPr="00036AF9" w:rsidRDefault="00750A62" w:rsidP="00036AF9">
            <w:pPr>
              <w:ind w:firstLine="0"/>
              <w:jc w:val="left"/>
              <w:rPr>
                <w:sz w:val="20"/>
                <w:szCs w:val="20"/>
              </w:rPr>
            </w:pPr>
            <w:r>
              <w:rPr>
                <w:sz w:val="20"/>
                <w:szCs w:val="20"/>
              </w:rPr>
              <w:lastRenderedPageBreak/>
              <w:t>adjustments</w:t>
            </w:r>
          </w:p>
        </w:tc>
        <w:tc>
          <w:tcPr>
            <w:tcW w:w="1530" w:type="dxa"/>
          </w:tcPr>
          <w:p w14:paraId="46F76D37"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Raw financial</w:t>
            </w:r>
          </w:p>
        </w:tc>
        <w:tc>
          <w:tcPr>
            <w:tcW w:w="1170" w:type="dxa"/>
          </w:tcPr>
          <w:p w14:paraId="1D25C19B" w14:textId="77777777" w:rsidR="00856161" w:rsidRPr="00036AF9" w:rsidRDefault="00750A62" w:rsidP="000033F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4C811CFE" w14:textId="77777777" w:rsidR="00856161" w:rsidRPr="00036AF9" w:rsidRDefault="00750A62" w:rsidP="00036AF9">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Post-billing adjustments (credit or debit)</w:t>
            </w:r>
          </w:p>
        </w:tc>
        <w:tc>
          <w:tcPr>
            <w:tcW w:w="1170" w:type="dxa"/>
          </w:tcPr>
          <w:p w14:paraId="10421345" w14:textId="77777777" w:rsidR="00856161" w:rsidRPr="00036AF9" w:rsidRDefault="00750A62" w:rsidP="000033F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Revenues</w:t>
            </w:r>
          </w:p>
        </w:tc>
      </w:tr>
      <w:tr w:rsidR="00856161" w14:paraId="235B45B5"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63A9ACD" w14:textId="77777777" w:rsidR="00856161" w:rsidRPr="00036AF9" w:rsidRDefault="00750A62" w:rsidP="0086514E">
            <w:pPr>
              <w:ind w:firstLine="0"/>
              <w:jc w:val="left"/>
              <w:rPr>
                <w:sz w:val="20"/>
                <w:szCs w:val="20"/>
              </w:rPr>
            </w:pPr>
            <w:r>
              <w:rPr>
                <w:sz w:val="20"/>
                <w:szCs w:val="20"/>
              </w:rPr>
              <w:t>credit_sale_amount</w:t>
            </w:r>
          </w:p>
        </w:tc>
        <w:tc>
          <w:tcPr>
            <w:tcW w:w="1530" w:type="dxa"/>
          </w:tcPr>
          <w:p w14:paraId="61516A76" w14:textId="77777777" w:rsidR="00856161" w:rsidRPr="00036AF9" w:rsidRDefault="00750A62" w:rsidP="00036AF9">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Raw financial</w:t>
            </w:r>
          </w:p>
        </w:tc>
        <w:tc>
          <w:tcPr>
            <w:tcW w:w="1170" w:type="dxa"/>
          </w:tcPr>
          <w:p w14:paraId="0B6E0F5B"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184FCB69"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Net receivable after discount and adjustments</w:t>
            </w:r>
          </w:p>
        </w:tc>
        <w:tc>
          <w:tcPr>
            <w:tcW w:w="1170" w:type="dxa"/>
          </w:tcPr>
          <w:p w14:paraId="483B3B35"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12F78C89"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7F8E0857" w14:textId="77777777" w:rsidR="00856161" w:rsidRPr="00036AF9" w:rsidRDefault="00750A62" w:rsidP="0086514E">
            <w:pPr>
              <w:ind w:firstLine="0"/>
              <w:jc w:val="left"/>
              <w:rPr>
                <w:sz w:val="20"/>
                <w:szCs w:val="20"/>
              </w:rPr>
            </w:pPr>
            <w:r>
              <w:rPr>
                <w:sz w:val="20"/>
                <w:szCs w:val="20"/>
              </w:rPr>
              <w:t>due_date</w:t>
            </w:r>
          </w:p>
        </w:tc>
        <w:tc>
          <w:tcPr>
            <w:tcW w:w="1530" w:type="dxa"/>
          </w:tcPr>
          <w:p w14:paraId="06E2FEC6"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Raw financial</w:t>
            </w:r>
          </w:p>
        </w:tc>
        <w:tc>
          <w:tcPr>
            <w:tcW w:w="1170" w:type="dxa"/>
          </w:tcPr>
          <w:p w14:paraId="4D54AD7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Date</w:t>
            </w:r>
          </w:p>
        </w:tc>
        <w:tc>
          <w:tcPr>
            <w:tcW w:w="1620" w:type="dxa"/>
          </w:tcPr>
          <w:p w14:paraId="4490CA7C"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Contractual payment due date</w:t>
            </w:r>
          </w:p>
        </w:tc>
        <w:tc>
          <w:tcPr>
            <w:tcW w:w="1170" w:type="dxa"/>
          </w:tcPr>
          <w:p w14:paraId="01B4DFBA"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Revenues</w:t>
            </w:r>
          </w:p>
        </w:tc>
      </w:tr>
      <w:tr w:rsidR="00856161" w14:paraId="17BD6216"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DD70C75" w14:textId="77777777" w:rsidR="00856161" w:rsidRPr="00036AF9" w:rsidRDefault="00750A62" w:rsidP="0086514E">
            <w:pPr>
              <w:ind w:firstLine="0"/>
              <w:jc w:val="left"/>
              <w:rPr>
                <w:sz w:val="20"/>
                <w:szCs w:val="20"/>
              </w:rPr>
            </w:pPr>
            <w:r>
              <w:rPr>
                <w:sz w:val="20"/>
                <w:szCs w:val="20"/>
              </w:rPr>
              <w:t>date_fully_paid</w:t>
            </w:r>
          </w:p>
        </w:tc>
        <w:tc>
          <w:tcPr>
            <w:tcW w:w="1530" w:type="dxa"/>
          </w:tcPr>
          <w:p w14:paraId="7E05C72E"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Raw financial</w:t>
            </w:r>
          </w:p>
        </w:tc>
        <w:tc>
          <w:tcPr>
            <w:tcW w:w="1170" w:type="dxa"/>
          </w:tcPr>
          <w:p w14:paraId="3EB73861"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Date</w:t>
            </w:r>
          </w:p>
        </w:tc>
        <w:tc>
          <w:tcPr>
            <w:tcW w:w="1620" w:type="dxa"/>
          </w:tcPr>
          <w:p w14:paraId="15FAC712"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Date the invoice was fully settled (empty if unpaid)</w:t>
            </w:r>
          </w:p>
        </w:tc>
        <w:tc>
          <w:tcPr>
            <w:tcW w:w="1170" w:type="dxa"/>
          </w:tcPr>
          <w:p w14:paraId="50B3AB3F"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Revenues</w:t>
            </w:r>
          </w:p>
        </w:tc>
      </w:tr>
      <w:tr w:rsidR="00856161" w14:paraId="7E96EBA7"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5768A36F" w14:textId="77777777" w:rsidR="00856161" w:rsidRPr="00036AF9" w:rsidRDefault="00750A62" w:rsidP="0086514E">
            <w:pPr>
              <w:ind w:firstLine="0"/>
              <w:jc w:val="left"/>
              <w:rPr>
                <w:sz w:val="20"/>
                <w:szCs w:val="20"/>
              </w:rPr>
            </w:pPr>
            <w:r>
              <w:rPr>
                <w:sz w:val="20"/>
                <w:szCs w:val="20"/>
              </w:rPr>
              <w:t>dtp_1</w:t>
            </w:r>
          </w:p>
        </w:tc>
        <w:tc>
          <w:tcPr>
            <w:tcW w:w="1530" w:type="dxa"/>
          </w:tcPr>
          <w:p w14:paraId="6452B110"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Days-to-payment history</w:t>
            </w:r>
          </w:p>
        </w:tc>
        <w:tc>
          <w:tcPr>
            <w:tcW w:w="1170" w:type="dxa"/>
          </w:tcPr>
          <w:p w14:paraId="535FA78D"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17ABA5EA"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Days to full payment, most recent prior invoice</w:t>
            </w:r>
          </w:p>
        </w:tc>
        <w:tc>
          <w:tcPr>
            <w:tcW w:w="1170" w:type="dxa"/>
          </w:tcPr>
          <w:p w14:paraId="2F08C5B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307FE7D5"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EDB5981" w14:textId="77777777" w:rsidR="00856161" w:rsidRPr="00036AF9" w:rsidRDefault="00750A62" w:rsidP="0086514E">
            <w:pPr>
              <w:ind w:firstLine="0"/>
              <w:jc w:val="left"/>
              <w:rPr>
                <w:sz w:val="20"/>
                <w:szCs w:val="20"/>
              </w:rPr>
            </w:pPr>
            <w:r>
              <w:rPr>
                <w:sz w:val="20"/>
                <w:szCs w:val="20"/>
              </w:rPr>
              <w:t>dtp_2</w:t>
            </w:r>
          </w:p>
        </w:tc>
        <w:tc>
          <w:tcPr>
            <w:tcW w:w="1530" w:type="dxa"/>
          </w:tcPr>
          <w:p w14:paraId="4005A32C"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Days-to-payment history</w:t>
            </w:r>
          </w:p>
        </w:tc>
        <w:tc>
          <w:tcPr>
            <w:tcW w:w="1170" w:type="dxa"/>
          </w:tcPr>
          <w:p w14:paraId="3351ABD2"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5F397326"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Days to full payment, 2nd most recent prior invoice</w:t>
            </w:r>
          </w:p>
        </w:tc>
        <w:tc>
          <w:tcPr>
            <w:tcW w:w="1170" w:type="dxa"/>
          </w:tcPr>
          <w:p w14:paraId="3A036D2B"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1C2A689D"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35EDAEB8" w14:textId="77777777" w:rsidR="00856161" w:rsidRPr="00036AF9" w:rsidRDefault="00750A62" w:rsidP="0086514E">
            <w:pPr>
              <w:ind w:firstLine="0"/>
              <w:jc w:val="left"/>
              <w:rPr>
                <w:sz w:val="20"/>
                <w:szCs w:val="20"/>
              </w:rPr>
            </w:pPr>
            <w:r>
              <w:rPr>
                <w:sz w:val="20"/>
                <w:szCs w:val="20"/>
              </w:rPr>
              <w:t>dtp_3</w:t>
            </w:r>
          </w:p>
        </w:tc>
        <w:tc>
          <w:tcPr>
            <w:tcW w:w="1530" w:type="dxa"/>
          </w:tcPr>
          <w:p w14:paraId="7A54A899"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Days-to-payment history</w:t>
            </w:r>
          </w:p>
        </w:tc>
        <w:tc>
          <w:tcPr>
            <w:tcW w:w="1170" w:type="dxa"/>
          </w:tcPr>
          <w:p w14:paraId="1CD4FB08"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31AF28B7"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Days to full payment, 3rd most recent prior invoice</w:t>
            </w:r>
          </w:p>
        </w:tc>
        <w:tc>
          <w:tcPr>
            <w:tcW w:w="1170" w:type="dxa"/>
          </w:tcPr>
          <w:p w14:paraId="27B9C0E9"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41E37EE6"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21FC0AD5" w14:textId="77777777" w:rsidR="00856161" w:rsidRPr="00036AF9" w:rsidRDefault="00750A62" w:rsidP="0086514E">
            <w:pPr>
              <w:ind w:firstLine="0"/>
              <w:jc w:val="left"/>
              <w:rPr>
                <w:sz w:val="20"/>
                <w:szCs w:val="20"/>
              </w:rPr>
            </w:pPr>
            <w:r>
              <w:rPr>
                <w:sz w:val="20"/>
                <w:szCs w:val="20"/>
              </w:rPr>
              <w:t>dtp_4</w:t>
            </w:r>
          </w:p>
        </w:tc>
        <w:tc>
          <w:tcPr>
            <w:tcW w:w="1530" w:type="dxa"/>
          </w:tcPr>
          <w:p w14:paraId="5D383EE8"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Days-to-payment history</w:t>
            </w:r>
          </w:p>
        </w:tc>
        <w:tc>
          <w:tcPr>
            <w:tcW w:w="1170" w:type="dxa"/>
          </w:tcPr>
          <w:p w14:paraId="51D22698"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061F66AB"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Days to full payment, 4th most recent prior invoice</w:t>
            </w:r>
          </w:p>
        </w:tc>
        <w:tc>
          <w:tcPr>
            <w:tcW w:w="1170" w:type="dxa"/>
          </w:tcPr>
          <w:p w14:paraId="7DB2729A"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5A7CFE68"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4F880842" w14:textId="77777777" w:rsidR="00856161" w:rsidRPr="00036AF9" w:rsidRDefault="00750A62" w:rsidP="0086514E">
            <w:pPr>
              <w:ind w:firstLine="0"/>
              <w:jc w:val="left"/>
              <w:rPr>
                <w:sz w:val="20"/>
                <w:szCs w:val="20"/>
              </w:rPr>
            </w:pPr>
            <w:r>
              <w:rPr>
                <w:sz w:val="20"/>
                <w:szCs w:val="20"/>
              </w:rPr>
              <w:lastRenderedPageBreak/>
              <w:t>dtp_avg</w:t>
            </w:r>
          </w:p>
        </w:tc>
        <w:tc>
          <w:tcPr>
            <w:tcW w:w="1530" w:type="dxa"/>
          </w:tcPr>
          <w:p w14:paraId="30B1A97D"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Days-to-payment history</w:t>
            </w:r>
          </w:p>
        </w:tc>
        <w:tc>
          <w:tcPr>
            <w:tcW w:w="1170" w:type="dxa"/>
          </w:tcPr>
          <w:p w14:paraId="2ABFEE43"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20244F9E"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Simple average of available DTP values</w:t>
            </w:r>
          </w:p>
        </w:tc>
        <w:tc>
          <w:tcPr>
            <w:tcW w:w="1170" w:type="dxa"/>
          </w:tcPr>
          <w:p w14:paraId="2C0F1A9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51D1B9DC"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0838C1EA" w14:textId="77777777" w:rsidR="00856161" w:rsidRPr="00036AF9" w:rsidRDefault="00750A62" w:rsidP="0086514E">
            <w:pPr>
              <w:ind w:firstLine="0"/>
              <w:jc w:val="left"/>
              <w:rPr>
                <w:sz w:val="20"/>
                <w:szCs w:val="20"/>
              </w:rPr>
            </w:pPr>
            <w:r>
              <w:rPr>
                <w:sz w:val="20"/>
                <w:szCs w:val="20"/>
              </w:rPr>
              <w:t>dtp_wavg</w:t>
            </w:r>
          </w:p>
        </w:tc>
        <w:tc>
          <w:tcPr>
            <w:tcW w:w="1530" w:type="dxa"/>
          </w:tcPr>
          <w:p w14:paraId="0473D13A"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Days-to-payment history</w:t>
            </w:r>
          </w:p>
        </w:tc>
        <w:tc>
          <w:tcPr>
            <w:tcW w:w="1170" w:type="dxa"/>
          </w:tcPr>
          <w:p w14:paraId="6A2E5FC8"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101D60F6"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Weighted average of DTP values (recent invoices weighted higher)</w:t>
            </w:r>
          </w:p>
        </w:tc>
        <w:tc>
          <w:tcPr>
            <w:tcW w:w="1170" w:type="dxa"/>
          </w:tcPr>
          <w:p w14:paraId="521D8705"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7A52C81A"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75D40E1A" w14:textId="77777777" w:rsidR="00856161" w:rsidRPr="00036AF9" w:rsidRDefault="00750A62" w:rsidP="0086514E">
            <w:pPr>
              <w:ind w:firstLine="0"/>
              <w:jc w:val="left"/>
              <w:rPr>
                <w:sz w:val="20"/>
                <w:szCs w:val="20"/>
              </w:rPr>
            </w:pPr>
            <w:r>
              <w:rPr>
                <w:sz w:val="20"/>
                <w:szCs w:val="20"/>
              </w:rPr>
              <w:t>dtp_2_trend</w:t>
            </w:r>
          </w:p>
        </w:tc>
        <w:tc>
          <w:tcPr>
            <w:tcW w:w="1530" w:type="dxa"/>
          </w:tcPr>
          <w:p w14:paraId="632DEBD6"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Days-to-payment history</w:t>
            </w:r>
          </w:p>
        </w:tc>
        <w:tc>
          <w:tcPr>
            <w:tcW w:w="1170" w:type="dxa"/>
          </w:tcPr>
          <w:p w14:paraId="73BD5C43"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42896948"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Slope of DTP across the 2 most recent invoices</w:t>
            </w:r>
          </w:p>
        </w:tc>
        <w:tc>
          <w:tcPr>
            <w:tcW w:w="1170" w:type="dxa"/>
          </w:tcPr>
          <w:p w14:paraId="2C98BB36"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125BE8D8"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54D38435" w14:textId="77777777" w:rsidR="00856161" w:rsidRPr="00036AF9" w:rsidRDefault="00750A62" w:rsidP="0086514E">
            <w:pPr>
              <w:ind w:firstLine="0"/>
              <w:jc w:val="left"/>
              <w:rPr>
                <w:sz w:val="20"/>
                <w:szCs w:val="20"/>
              </w:rPr>
            </w:pPr>
            <w:r>
              <w:rPr>
                <w:sz w:val="20"/>
                <w:szCs w:val="20"/>
              </w:rPr>
              <w:t>dtp_3_trend</w:t>
            </w:r>
          </w:p>
        </w:tc>
        <w:tc>
          <w:tcPr>
            <w:tcW w:w="1530" w:type="dxa"/>
          </w:tcPr>
          <w:p w14:paraId="5183BB59"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Days-to-payment history</w:t>
            </w:r>
          </w:p>
        </w:tc>
        <w:tc>
          <w:tcPr>
            <w:tcW w:w="1170" w:type="dxa"/>
          </w:tcPr>
          <w:p w14:paraId="45B713DB"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1B81A030"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Slope of DTP across the 3 most recent invoices</w:t>
            </w:r>
          </w:p>
        </w:tc>
        <w:tc>
          <w:tcPr>
            <w:tcW w:w="1170" w:type="dxa"/>
          </w:tcPr>
          <w:p w14:paraId="56EB0CEE"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539B2164"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6B006CE6" w14:textId="77777777" w:rsidR="00856161" w:rsidRPr="00036AF9" w:rsidRDefault="00750A62" w:rsidP="0086514E">
            <w:pPr>
              <w:ind w:firstLine="0"/>
              <w:jc w:val="left"/>
              <w:rPr>
                <w:sz w:val="20"/>
                <w:szCs w:val="20"/>
              </w:rPr>
            </w:pPr>
            <w:r>
              <w:rPr>
                <w:sz w:val="20"/>
                <w:szCs w:val="20"/>
              </w:rPr>
              <w:t>days_since_last_payment</w:t>
            </w:r>
          </w:p>
        </w:tc>
        <w:tc>
          <w:tcPr>
            <w:tcW w:w="1530" w:type="dxa"/>
          </w:tcPr>
          <w:p w14:paraId="0A5EA9D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Days-to-payment history</w:t>
            </w:r>
          </w:p>
        </w:tc>
        <w:tc>
          <w:tcPr>
            <w:tcW w:w="1170" w:type="dxa"/>
          </w:tcPr>
          <w:p w14:paraId="6CA77C4B"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7058307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Calendar days since the student's last full payment</w:t>
            </w:r>
          </w:p>
        </w:tc>
        <w:tc>
          <w:tcPr>
            <w:tcW w:w="1170" w:type="dxa"/>
          </w:tcPr>
          <w:p w14:paraId="02495DAB"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44D9BCA0"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015CE2FC" w14:textId="77777777" w:rsidR="00856161" w:rsidRPr="00036AF9" w:rsidRDefault="00750A62" w:rsidP="0086514E">
            <w:pPr>
              <w:ind w:firstLine="0"/>
              <w:jc w:val="left"/>
              <w:rPr>
                <w:sz w:val="20"/>
                <w:szCs w:val="20"/>
              </w:rPr>
            </w:pPr>
            <w:r>
              <w:rPr>
                <w:sz w:val="20"/>
                <w:szCs w:val="20"/>
              </w:rPr>
              <w:t>dtp_rolling_std</w:t>
            </w:r>
          </w:p>
        </w:tc>
        <w:tc>
          <w:tcPr>
            <w:tcW w:w="1530" w:type="dxa"/>
          </w:tcPr>
          <w:p w14:paraId="637C8602"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Days-to-payment history</w:t>
            </w:r>
          </w:p>
        </w:tc>
        <w:tc>
          <w:tcPr>
            <w:tcW w:w="1170" w:type="dxa"/>
          </w:tcPr>
          <w:p w14:paraId="3B2DD7DD"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68BF161F"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Rolling standard deviation of recent DTP values</w:t>
            </w:r>
          </w:p>
        </w:tc>
        <w:tc>
          <w:tcPr>
            <w:tcW w:w="1170" w:type="dxa"/>
          </w:tcPr>
          <w:p w14:paraId="05C07F21"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61BB7BF6"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70262355" w14:textId="77777777" w:rsidR="00856161" w:rsidRPr="00036AF9" w:rsidRDefault="00750A62" w:rsidP="0086514E">
            <w:pPr>
              <w:ind w:firstLine="0"/>
              <w:jc w:val="left"/>
              <w:rPr>
                <w:sz w:val="20"/>
                <w:szCs w:val="20"/>
              </w:rPr>
            </w:pPr>
            <w:r>
              <w:rPr>
                <w:sz w:val="20"/>
                <w:szCs w:val="20"/>
              </w:rPr>
              <w:t>dtp_max</w:t>
            </w:r>
          </w:p>
        </w:tc>
        <w:tc>
          <w:tcPr>
            <w:tcW w:w="1530" w:type="dxa"/>
          </w:tcPr>
          <w:p w14:paraId="02267296"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Days-to-payment history</w:t>
            </w:r>
          </w:p>
        </w:tc>
        <w:tc>
          <w:tcPr>
            <w:tcW w:w="1170" w:type="dxa"/>
          </w:tcPr>
          <w:p w14:paraId="18069DF7"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50E6CC6C"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Maximum DTP observed across recent invoices</w:t>
            </w:r>
          </w:p>
        </w:tc>
        <w:tc>
          <w:tcPr>
            <w:tcW w:w="1170" w:type="dxa"/>
          </w:tcPr>
          <w:p w14:paraId="413D24D9"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49025E66"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08F721E" w14:textId="77777777" w:rsidR="00856161" w:rsidRPr="00036AF9" w:rsidRDefault="00750A62" w:rsidP="0086514E">
            <w:pPr>
              <w:ind w:firstLine="0"/>
              <w:jc w:val="left"/>
              <w:rPr>
                <w:sz w:val="20"/>
                <w:szCs w:val="20"/>
              </w:rPr>
            </w:pPr>
            <w:r>
              <w:rPr>
                <w:sz w:val="20"/>
                <w:szCs w:val="20"/>
              </w:rPr>
              <w:t>amount_due_cumsum</w:t>
            </w:r>
          </w:p>
        </w:tc>
        <w:tc>
          <w:tcPr>
            <w:tcW w:w="1530" w:type="dxa"/>
          </w:tcPr>
          <w:p w14:paraId="4A19DC5D"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 cumulative</w:t>
            </w:r>
          </w:p>
        </w:tc>
        <w:tc>
          <w:tcPr>
            <w:tcW w:w="1170" w:type="dxa"/>
          </w:tcPr>
          <w:p w14:paraId="5D27B22D"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56EB52BF"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Cumulative total billed to the student to date</w:t>
            </w:r>
          </w:p>
        </w:tc>
        <w:tc>
          <w:tcPr>
            <w:tcW w:w="1170" w:type="dxa"/>
          </w:tcPr>
          <w:p w14:paraId="1CD24088"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72BA45EE"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7AEC4359" w14:textId="77777777" w:rsidR="00856161" w:rsidRPr="00036AF9" w:rsidRDefault="00750A62" w:rsidP="0086514E">
            <w:pPr>
              <w:ind w:firstLine="0"/>
              <w:jc w:val="left"/>
              <w:rPr>
                <w:sz w:val="20"/>
                <w:szCs w:val="20"/>
              </w:rPr>
            </w:pPr>
            <w:r>
              <w:rPr>
                <w:sz w:val="20"/>
                <w:szCs w:val="20"/>
              </w:rPr>
              <w:lastRenderedPageBreak/>
              <w:t>amount_paid_cumsum</w:t>
            </w:r>
          </w:p>
        </w:tc>
        <w:tc>
          <w:tcPr>
            <w:tcW w:w="1530" w:type="dxa"/>
          </w:tcPr>
          <w:p w14:paraId="54E0946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Financial / cumulative</w:t>
            </w:r>
          </w:p>
        </w:tc>
        <w:tc>
          <w:tcPr>
            <w:tcW w:w="1170" w:type="dxa"/>
          </w:tcPr>
          <w:p w14:paraId="46AB3DC4"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326D6112"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Cumulative total paid by the student to date</w:t>
            </w:r>
          </w:p>
        </w:tc>
        <w:tc>
          <w:tcPr>
            <w:tcW w:w="1170" w:type="dxa"/>
          </w:tcPr>
          <w:p w14:paraId="2931B35A"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2797318B"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F19AB2D" w14:textId="77777777" w:rsidR="00856161" w:rsidRPr="00036AF9" w:rsidRDefault="00750A62" w:rsidP="0086514E">
            <w:pPr>
              <w:ind w:firstLine="0"/>
              <w:jc w:val="left"/>
              <w:rPr>
                <w:sz w:val="20"/>
                <w:szCs w:val="20"/>
              </w:rPr>
            </w:pPr>
            <w:r>
              <w:rPr>
                <w:sz w:val="20"/>
                <w:szCs w:val="20"/>
              </w:rPr>
              <w:t>opening_balance</w:t>
            </w:r>
          </w:p>
        </w:tc>
        <w:tc>
          <w:tcPr>
            <w:tcW w:w="1530" w:type="dxa"/>
          </w:tcPr>
          <w:p w14:paraId="46C8D6F5"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 cumulative</w:t>
            </w:r>
          </w:p>
        </w:tc>
        <w:tc>
          <w:tcPr>
            <w:tcW w:w="1170" w:type="dxa"/>
          </w:tcPr>
          <w:p w14:paraId="21EB475A"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5A1D1312"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Unpaid balance carried over from prior periods</w:t>
            </w:r>
          </w:p>
        </w:tc>
        <w:tc>
          <w:tcPr>
            <w:tcW w:w="1170" w:type="dxa"/>
          </w:tcPr>
          <w:p w14:paraId="28718F67"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16D8D516"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6E547424" w14:textId="77777777" w:rsidR="00856161" w:rsidRPr="00036AF9" w:rsidRDefault="00750A62" w:rsidP="0086514E">
            <w:pPr>
              <w:ind w:firstLine="0"/>
              <w:jc w:val="left"/>
              <w:rPr>
                <w:sz w:val="20"/>
                <w:szCs w:val="20"/>
              </w:rPr>
            </w:pPr>
            <w:r>
              <w:rPr>
                <w:sz w:val="20"/>
                <w:szCs w:val="20"/>
              </w:rPr>
              <w:t>opening_balance_flag</w:t>
            </w:r>
          </w:p>
        </w:tc>
        <w:tc>
          <w:tcPr>
            <w:tcW w:w="1530" w:type="dxa"/>
          </w:tcPr>
          <w:p w14:paraId="38F87055"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Financial / cumulative</w:t>
            </w:r>
          </w:p>
        </w:tc>
        <w:tc>
          <w:tcPr>
            <w:tcW w:w="1170" w:type="dxa"/>
          </w:tcPr>
          <w:p w14:paraId="2DFA2C0B"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Binary</w:t>
            </w:r>
          </w:p>
        </w:tc>
        <w:tc>
          <w:tcPr>
            <w:tcW w:w="1620" w:type="dxa"/>
          </w:tcPr>
          <w:p w14:paraId="7178808E" w14:textId="330CA209"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if the current invoice has a non-zero opening balance</w:t>
            </w:r>
          </w:p>
        </w:tc>
        <w:tc>
          <w:tcPr>
            <w:tcW w:w="1170" w:type="dxa"/>
          </w:tcPr>
          <w:p w14:paraId="36E8AA44"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64A4836D"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773736D" w14:textId="77777777" w:rsidR="00856161" w:rsidRPr="00036AF9" w:rsidRDefault="00750A62" w:rsidP="0086514E">
            <w:pPr>
              <w:ind w:firstLine="0"/>
              <w:jc w:val="left"/>
              <w:rPr>
                <w:sz w:val="20"/>
                <w:szCs w:val="20"/>
              </w:rPr>
            </w:pPr>
            <w:r>
              <w:rPr>
                <w:sz w:val="20"/>
                <w:szCs w:val="20"/>
              </w:rPr>
              <w:t>payment_ratio</w:t>
            </w:r>
          </w:p>
        </w:tc>
        <w:tc>
          <w:tcPr>
            <w:tcW w:w="1530" w:type="dxa"/>
          </w:tcPr>
          <w:p w14:paraId="431FEC8C"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Financial / cumulative</w:t>
            </w:r>
          </w:p>
        </w:tc>
        <w:tc>
          <w:tcPr>
            <w:tcW w:w="1170" w:type="dxa"/>
          </w:tcPr>
          <w:p w14:paraId="3AC2896E"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541F213E"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Ratio of cumulative paid to cumulative billed</w:t>
            </w:r>
          </w:p>
        </w:tc>
        <w:tc>
          <w:tcPr>
            <w:tcW w:w="1170" w:type="dxa"/>
          </w:tcPr>
          <w:p w14:paraId="494B3106"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67B1C9F6"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1652DB0B" w14:textId="77777777" w:rsidR="00856161" w:rsidRPr="00036AF9" w:rsidRDefault="00750A62" w:rsidP="0086514E">
            <w:pPr>
              <w:ind w:firstLine="0"/>
              <w:jc w:val="left"/>
              <w:rPr>
                <w:sz w:val="20"/>
                <w:szCs w:val="20"/>
              </w:rPr>
            </w:pPr>
            <w:r>
              <w:rPr>
                <w:sz w:val="20"/>
                <w:szCs w:val="20"/>
              </w:rPr>
              <w:t>prev_bracket</w:t>
            </w:r>
          </w:p>
        </w:tc>
        <w:tc>
          <w:tcPr>
            <w:tcW w:w="1530" w:type="dxa"/>
          </w:tcPr>
          <w:p w14:paraId="03AA04CC"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Behavioral / historical</w:t>
            </w:r>
          </w:p>
        </w:tc>
        <w:tc>
          <w:tcPr>
            <w:tcW w:w="1170" w:type="dxa"/>
          </w:tcPr>
          <w:p w14:paraId="2C86CAB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Ordinal</w:t>
            </w:r>
          </w:p>
        </w:tc>
        <w:tc>
          <w:tcPr>
            <w:tcW w:w="1620" w:type="dxa"/>
          </w:tcPr>
          <w:p w14:paraId="4A1CC38C"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Payment bracket of the most recent prior invoice</w:t>
            </w:r>
          </w:p>
        </w:tc>
        <w:tc>
          <w:tcPr>
            <w:tcW w:w="1170" w:type="dxa"/>
          </w:tcPr>
          <w:p w14:paraId="4C86BA9C"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0DA7EBCA"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2A9DD3A9" w14:textId="77777777" w:rsidR="00856161" w:rsidRPr="00036AF9" w:rsidRDefault="00750A62" w:rsidP="00036AF9">
            <w:pPr>
              <w:ind w:firstLine="0"/>
              <w:jc w:val="left"/>
              <w:rPr>
                <w:sz w:val="20"/>
                <w:szCs w:val="20"/>
              </w:rPr>
            </w:pPr>
            <w:r>
              <w:rPr>
                <w:sz w:val="20"/>
                <w:szCs w:val="20"/>
              </w:rPr>
              <w:t>early_payer_flag</w:t>
            </w:r>
          </w:p>
        </w:tc>
        <w:tc>
          <w:tcPr>
            <w:tcW w:w="1530" w:type="dxa"/>
          </w:tcPr>
          <w:p w14:paraId="03CDC673"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Behavioral / historical</w:t>
            </w:r>
          </w:p>
        </w:tc>
        <w:tc>
          <w:tcPr>
            <w:tcW w:w="1170" w:type="dxa"/>
          </w:tcPr>
          <w:p w14:paraId="0842EB45"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Binary</w:t>
            </w:r>
          </w:p>
        </w:tc>
        <w:tc>
          <w:tcPr>
            <w:tcW w:w="1620" w:type="dxa"/>
          </w:tcPr>
          <w:p w14:paraId="0A48601B" w14:textId="2D545B6B"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 if the previous invoice was paid before the due date</w:t>
            </w:r>
          </w:p>
        </w:tc>
        <w:tc>
          <w:tcPr>
            <w:tcW w:w="1170" w:type="dxa"/>
          </w:tcPr>
          <w:p w14:paraId="159B9B77"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0A88A286"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7E0D69C3" w14:textId="77777777" w:rsidR="00856161" w:rsidRPr="00036AF9" w:rsidRDefault="00750A62" w:rsidP="00036AF9">
            <w:pPr>
              <w:ind w:firstLine="0"/>
              <w:jc w:val="left"/>
              <w:rPr>
                <w:sz w:val="20"/>
                <w:szCs w:val="20"/>
              </w:rPr>
            </w:pPr>
            <w:r>
              <w:rPr>
                <w:sz w:val="20"/>
                <w:szCs w:val="20"/>
              </w:rPr>
              <w:t>on_time_streak</w:t>
            </w:r>
          </w:p>
        </w:tc>
        <w:tc>
          <w:tcPr>
            <w:tcW w:w="1530" w:type="dxa"/>
          </w:tcPr>
          <w:p w14:paraId="639F65A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Behavioral / historical</w:t>
            </w:r>
          </w:p>
        </w:tc>
        <w:tc>
          <w:tcPr>
            <w:tcW w:w="1170" w:type="dxa"/>
          </w:tcPr>
          <w:p w14:paraId="750CD08C"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Integer</w:t>
            </w:r>
          </w:p>
        </w:tc>
        <w:tc>
          <w:tcPr>
            <w:tcW w:w="1620" w:type="dxa"/>
          </w:tcPr>
          <w:p w14:paraId="07A9933C"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Consecutive on-time payments preceding the current invoice</w:t>
            </w:r>
          </w:p>
        </w:tc>
        <w:tc>
          <w:tcPr>
            <w:tcW w:w="1170" w:type="dxa"/>
          </w:tcPr>
          <w:p w14:paraId="0F820864"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751E9172"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36CF9904" w14:textId="77777777" w:rsidR="00856161" w:rsidRPr="00036AF9" w:rsidRDefault="00750A62" w:rsidP="00036AF9">
            <w:pPr>
              <w:ind w:firstLine="0"/>
              <w:jc w:val="left"/>
              <w:rPr>
                <w:sz w:val="20"/>
                <w:szCs w:val="20"/>
              </w:rPr>
            </w:pPr>
            <w:r>
              <w:rPr>
                <w:sz w:val="20"/>
                <w:szCs w:val="20"/>
              </w:rPr>
              <w:t>plan_type_Plan - A</w:t>
            </w:r>
          </w:p>
        </w:tc>
        <w:tc>
          <w:tcPr>
            <w:tcW w:w="1530" w:type="dxa"/>
          </w:tcPr>
          <w:p w14:paraId="552DF9FB"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Payment plan</w:t>
            </w:r>
          </w:p>
        </w:tc>
        <w:tc>
          <w:tcPr>
            <w:tcW w:w="1170" w:type="dxa"/>
          </w:tcPr>
          <w:p w14:paraId="5FDBEF9E"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Binary (one-hot)</w:t>
            </w:r>
          </w:p>
        </w:tc>
        <w:tc>
          <w:tcPr>
            <w:tcW w:w="1620" w:type="dxa"/>
          </w:tcPr>
          <w:p w14:paraId="13846DA6"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Full payment upfront</w:t>
            </w:r>
          </w:p>
        </w:tc>
        <w:tc>
          <w:tcPr>
            <w:tcW w:w="1170" w:type="dxa"/>
          </w:tcPr>
          <w:p w14:paraId="5A6F2656"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Enrollees</w:t>
            </w:r>
          </w:p>
        </w:tc>
      </w:tr>
      <w:tr w:rsidR="00856161" w14:paraId="4F3D51CB"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30BECB4F" w14:textId="77777777" w:rsidR="00856161" w:rsidRPr="00036AF9" w:rsidRDefault="00750A62" w:rsidP="0086514E">
            <w:pPr>
              <w:ind w:firstLine="0"/>
              <w:jc w:val="left"/>
              <w:rPr>
                <w:sz w:val="20"/>
                <w:szCs w:val="20"/>
              </w:rPr>
            </w:pPr>
            <w:r>
              <w:rPr>
                <w:sz w:val="20"/>
                <w:szCs w:val="20"/>
              </w:rPr>
              <w:lastRenderedPageBreak/>
              <w:t>plan_type_Plan - B</w:t>
            </w:r>
          </w:p>
        </w:tc>
        <w:tc>
          <w:tcPr>
            <w:tcW w:w="1530" w:type="dxa"/>
          </w:tcPr>
          <w:p w14:paraId="228A6A25"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Payment plan</w:t>
            </w:r>
          </w:p>
        </w:tc>
        <w:tc>
          <w:tcPr>
            <w:tcW w:w="1170" w:type="dxa"/>
          </w:tcPr>
          <w:p w14:paraId="3316DC1E"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Binary (one-hot)</w:t>
            </w:r>
          </w:p>
        </w:tc>
        <w:tc>
          <w:tcPr>
            <w:tcW w:w="1620" w:type="dxa"/>
          </w:tcPr>
          <w:p w14:paraId="0F073A1A" w14:textId="21E720F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Installment plan with 3 payment periods</w:t>
            </w:r>
          </w:p>
        </w:tc>
        <w:tc>
          <w:tcPr>
            <w:tcW w:w="1170" w:type="dxa"/>
          </w:tcPr>
          <w:p w14:paraId="234CAAB3"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Enrollees</w:t>
            </w:r>
          </w:p>
        </w:tc>
      </w:tr>
      <w:tr w:rsidR="00856161" w14:paraId="4C165033"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7E77BE7F" w14:textId="77777777" w:rsidR="00856161" w:rsidRPr="00036AF9" w:rsidRDefault="00750A62" w:rsidP="0086514E">
            <w:pPr>
              <w:ind w:firstLine="0"/>
              <w:jc w:val="left"/>
              <w:rPr>
                <w:sz w:val="20"/>
                <w:szCs w:val="20"/>
              </w:rPr>
            </w:pPr>
            <w:r>
              <w:rPr>
                <w:sz w:val="20"/>
                <w:szCs w:val="20"/>
              </w:rPr>
              <w:t>plan_type_Plan - C</w:t>
            </w:r>
          </w:p>
        </w:tc>
        <w:tc>
          <w:tcPr>
            <w:tcW w:w="1530" w:type="dxa"/>
          </w:tcPr>
          <w:p w14:paraId="52D4019A"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Payment plan</w:t>
            </w:r>
          </w:p>
        </w:tc>
        <w:tc>
          <w:tcPr>
            <w:tcW w:w="1170" w:type="dxa"/>
          </w:tcPr>
          <w:p w14:paraId="2A4E4757"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Binary (one-hot)</w:t>
            </w:r>
          </w:p>
        </w:tc>
        <w:tc>
          <w:tcPr>
            <w:tcW w:w="1620" w:type="dxa"/>
          </w:tcPr>
          <w:p w14:paraId="181398A5" w14:textId="671ED263"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Installment plan with 6 payments periods</w:t>
            </w:r>
          </w:p>
        </w:tc>
        <w:tc>
          <w:tcPr>
            <w:tcW w:w="1170" w:type="dxa"/>
          </w:tcPr>
          <w:p w14:paraId="42D3A2B8"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Enrollees</w:t>
            </w:r>
          </w:p>
        </w:tc>
      </w:tr>
      <w:tr w:rsidR="00856161" w14:paraId="6FA472F3"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0F0F88D3" w14:textId="77777777" w:rsidR="00856161" w:rsidRPr="00036AF9" w:rsidRDefault="00750A62" w:rsidP="0086514E">
            <w:pPr>
              <w:ind w:firstLine="0"/>
              <w:jc w:val="left"/>
              <w:rPr>
                <w:sz w:val="20"/>
                <w:szCs w:val="20"/>
              </w:rPr>
            </w:pPr>
            <w:r>
              <w:rPr>
                <w:sz w:val="20"/>
                <w:szCs w:val="20"/>
              </w:rPr>
              <w:t>plan_type_Plan - D</w:t>
            </w:r>
          </w:p>
        </w:tc>
        <w:tc>
          <w:tcPr>
            <w:tcW w:w="1530" w:type="dxa"/>
          </w:tcPr>
          <w:p w14:paraId="6200C763"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Payment plan</w:t>
            </w:r>
          </w:p>
        </w:tc>
        <w:tc>
          <w:tcPr>
            <w:tcW w:w="1170" w:type="dxa"/>
          </w:tcPr>
          <w:p w14:paraId="52EE1EC5"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Binary (one-hot)</w:t>
            </w:r>
          </w:p>
        </w:tc>
        <w:tc>
          <w:tcPr>
            <w:tcW w:w="1620" w:type="dxa"/>
          </w:tcPr>
          <w:p w14:paraId="141F446F" w14:textId="29463D41"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Monthly installment plan</w:t>
            </w:r>
          </w:p>
        </w:tc>
        <w:tc>
          <w:tcPr>
            <w:tcW w:w="1170" w:type="dxa"/>
          </w:tcPr>
          <w:p w14:paraId="0E911A23"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Enrollees</w:t>
            </w:r>
          </w:p>
        </w:tc>
      </w:tr>
      <w:tr w:rsidR="00856161" w14:paraId="57E32A9C"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2DAC400" w14:textId="77777777" w:rsidR="00856161" w:rsidRPr="00036AF9" w:rsidRDefault="00750A62" w:rsidP="0086514E">
            <w:pPr>
              <w:ind w:firstLine="0"/>
              <w:jc w:val="left"/>
              <w:rPr>
                <w:sz w:val="20"/>
                <w:szCs w:val="20"/>
              </w:rPr>
            </w:pPr>
            <w:r>
              <w:rPr>
                <w:sz w:val="20"/>
                <w:szCs w:val="20"/>
              </w:rPr>
              <w:t>plan_type_Plan - E</w:t>
            </w:r>
          </w:p>
        </w:tc>
        <w:tc>
          <w:tcPr>
            <w:tcW w:w="1530" w:type="dxa"/>
          </w:tcPr>
          <w:p w14:paraId="6D9DE0E1"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Payment plan</w:t>
            </w:r>
          </w:p>
        </w:tc>
        <w:tc>
          <w:tcPr>
            <w:tcW w:w="1170" w:type="dxa"/>
          </w:tcPr>
          <w:p w14:paraId="5CC9105F"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Binary (one-hot)</w:t>
            </w:r>
          </w:p>
        </w:tc>
        <w:tc>
          <w:tcPr>
            <w:tcW w:w="1620" w:type="dxa"/>
          </w:tcPr>
          <w:p w14:paraId="2885F770"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Special COVID-era plan (one school year only)</w:t>
            </w:r>
          </w:p>
        </w:tc>
        <w:tc>
          <w:tcPr>
            <w:tcW w:w="1170" w:type="dxa"/>
          </w:tcPr>
          <w:p w14:paraId="36723EE2"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Enrollees</w:t>
            </w:r>
          </w:p>
        </w:tc>
      </w:tr>
      <w:tr w:rsidR="00856161" w14:paraId="12A33CEF"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40E67997" w14:textId="77777777" w:rsidR="00856161" w:rsidRPr="00036AF9" w:rsidRDefault="00750A62" w:rsidP="0086514E">
            <w:pPr>
              <w:ind w:firstLine="0"/>
              <w:jc w:val="left"/>
              <w:rPr>
                <w:sz w:val="20"/>
                <w:szCs w:val="20"/>
              </w:rPr>
            </w:pPr>
            <w:r>
              <w:rPr>
                <w:sz w:val="20"/>
                <w:szCs w:val="20"/>
              </w:rPr>
              <w:t>plan_type_nan</w:t>
            </w:r>
          </w:p>
        </w:tc>
        <w:tc>
          <w:tcPr>
            <w:tcW w:w="1530" w:type="dxa"/>
          </w:tcPr>
          <w:p w14:paraId="64D3644E"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Payment plan</w:t>
            </w:r>
          </w:p>
        </w:tc>
        <w:tc>
          <w:tcPr>
            <w:tcW w:w="1170" w:type="dxa"/>
          </w:tcPr>
          <w:p w14:paraId="1CBBE4F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Binary (one-hot)</w:t>
            </w:r>
          </w:p>
        </w:tc>
        <w:tc>
          <w:tcPr>
            <w:tcW w:w="1620" w:type="dxa"/>
          </w:tcPr>
          <w:p w14:paraId="6F4CCA40"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No plan assigned; student not enrolled</w:t>
            </w:r>
          </w:p>
        </w:tc>
        <w:tc>
          <w:tcPr>
            <w:tcW w:w="1170" w:type="dxa"/>
          </w:tcPr>
          <w:p w14:paraId="6FF7DB41"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Enrollees</w:t>
            </w:r>
          </w:p>
        </w:tc>
      </w:tr>
      <w:tr w:rsidR="00856161" w14:paraId="7BFB7AD0"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B655B18" w14:textId="77777777" w:rsidR="00856161" w:rsidRPr="00036AF9" w:rsidRDefault="00750A62" w:rsidP="0086514E">
            <w:pPr>
              <w:ind w:firstLine="0"/>
              <w:jc w:val="left"/>
              <w:rPr>
                <w:sz w:val="20"/>
                <w:szCs w:val="20"/>
              </w:rPr>
            </w:pPr>
            <w:r>
              <w:rPr>
                <w:sz w:val="20"/>
                <w:szCs w:val="20"/>
              </w:rPr>
              <w:t>plan_type_risk_score</w:t>
            </w:r>
          </w:p>
        </w:tc>
        <w:tc>
          <w:tcPr>
            <w:tcW w:w="1530" w:type="dxa"/>
          </w:tcPr>
          <w:p w14:paraId="1A645906"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Payment plan</w:t>
            </w:r>
          </w:p>
        </w:tc>
        <w:tc>
          <w:tcPr>
            <w:tcW w:w="1170" w:type="dxa"/>
          </w:tcPr>
          <w:p w14:paraId="16B80297"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Ordinal</w:t>
            </w:r>
          </w:p>
        </w:tc>
        <w:tc>
          <w:tcPr>
            <w:tcW w:w="1620" w:type="dxa"/>
          </w:tcPr>
          <w:p w14:paraId="2C48124E"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Plan type encoded by associated payment risk (A=0 … none=5)</w:t>
            </w:r>
          </w:p>
        </w:tc>
        <w:tc>
          <w:tcPr>
            <w:tcW w:w="1170" w:type="dxa"/>
          </w:tcPr>
          <w:p w14:paraId="63F2FDB2"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6F293ABC"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79A38601" w14:textId="77777777" w:rsidR="00856161" w:rsidRPr="00036AF9" w:rsidRDefault="00750A62" w:rsidP="0086514E">
            <w:pPr>
              <w:ind w:firstLine="0"/>
              <w:jc w:val="left"/>
              <w:rPr>
                <w:sz w:val="20"/>
                <w:szCs w:val="20"/>
              </w:rPr>
            </w:pPr>
            <w:r>
              <w:rPr>
                <w:sz w:val="20"/>
                <w:szCs w:val="20"/>
              </w:rPr>
              <w:t>due_month</w:t>
            </w:r>
          </w:p>
        </w:tc>
        <w:tc>
          <w:tcPr>
            <w:tcW w:w="1530" w:type="dxa"/>
          </w:tcPr>
          <w:p w14:paraId="1158CBBA"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Temporal</w:t>
            </w:r>
          </w:p>
        </w:tc>
        <w:tc>
          <w:tcPr>
            <w:tcW w:w="1170" w:type="dxa"/>
          </w:tcPr>
          <w:p w14:paraId="168C5FB0"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Integer (1–12)</w:t>
            </w:r>
          </w:p>
        </w:tc>
        <w:tc>
          <w:tcPr>
            <w:tcW w:w="1620" w:type="dxa"/>
          </w:tcPr>
          <w:p w14:paraId="223F907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Calendar month of the due date</w:t>
            </w:r>
          </w:p>
        </w:tc>
        <w:tc>
          <w:tcPr>
            <w:tcW w:w="1170" w:type="dxa"/>
          </w:tcPr>
          <w:p w14:paraId="7B971C65"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r w:rsidR="00856161" w14:paraId="5291201D"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1BBF3BCE" w14:textId="77777777" w:rsidR="00856161" w:rsidRPr="00036AF9" w:rsidRDefault="00750A62" w:rsidP="0086514E">
            <w:pPr>
              <w:ind w:firstLine="0"/>
              <w:jc w:val="left"/>
              <w:rPr>
                <w:sz w:val="20"/>
                <w:szCs w:val="20"/>
              </w:rPr>
            </w:pPr>
            <w:r>
              <w:rPr>
                <w:sz w:val="20"/>
                <w:szCs w:val="20"/>
              </w:rPr>
              <w:t>due_quarter</w:t>
            </w:r>
          </w:p>
        </w:tc>
        <w:tc>
          <w:tcPr>
            <w:tcW w:w="1530" w:type="dxa"/>
          </w:tcPr>
          <w:p w14:paraId="12660AE8"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Temporal</w:t>
            </w:r>
          </w:p>
        </w:tc>
        <w:tc>
          <w:tcPr>
            <w:tcW w:w="1170" w:type="dxa"/>
          </w:tcPr>
          <w:p w14:paraId="6FBD1B2E"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Integer (1–4)</w:t>
            </w:r>
          </w:p>
        </w:tc>
        <w:tc>
          <w:tcPr>
            <w:tcW w:w="1620" w:type="dxa"/>
          </w:tcPr>
          <w:p w14:paraId="44C896B1"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Fiscal quarter of the due date</w:t>
            </w:r>
          </w:p>
        </w:tc>
        <w:tc>
          <w:tcPr>
            <w:tcW w:w="1170" w:type="dxa"/>
          </w:tcPr>
          <w:p w14:paraId="5E49DC31"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17F4F25C"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2489C9FC" w14:textId="77777777" w:rsidR="00856161" w:rsidRPr="00036AF9" w:rsidRDefault="00750A62" w:rsidP="0086514E">
            <w:pPr>
              <w:ind w:firstLine="0"/>
              <w:jc w:val="left"/>
              <w:rPr>
                <w:sz w:val="20"/>
                <w:szCs w:val="20"/>
              </w:rPr>
            </w:pPr>
            <w:r>
              <w:rPr>
                <w:sz w:val="20"/>
                <w:szCs w:val="20"/>
              </w:rPr>
              <w:t>partial_hazard</w:t>
            </w:r>
          </w:p>
        </w:tc>
        <w:tc>
          <w:tcPr>
            <w:tcW w:w="1530" w:type="dxa"/>
          </w:tcPr>
          <w:p w14:paraId="55168D08"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Survival analysis</w:t>
            </w:r>
          </w:p>
        </w:tc>
        <w:tc>
          <w:tcPr>
            <w:tcW w:w="1170" w:type="dxa"/>
          </w:tcPr>
          <w:p w14:paraId="5D2D467E"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2CF640C4"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Exponentiated linear predictor from the Cox PH model</w:t>
            </w:r>
          </w:p>
        </w:tc>
        <w:tc>
          <w:tcPr>
            <w:tcW w:w="1170" w:type="dxa"/>
          </w:tcPr>
          <w:p w14:paraId="7E1F75BE"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Cox PH model</w:t>
            </w:r>
          </w:p>
        </w:tc>
      </w:tr>
      <w:tr w:rsidR="00856161" w14:paraId="5B7A4D81"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2B028279" w14:textId="77777777" w:rsidR="00856161" w:rsidRPr="00036AF9" w:rsidRDefault="00750A62" w:rsidP="0086514E">
            <w:pPr>
              <w:ind w:firstLine="0"/>
              <w:jc w:val="left"/>
              <w:rPr>
                <w:sz w:val="20"/>
                <w:szCs w:val="20"/>
              </w:rPr>
            </w:pPr>
            <w:r>
              <w:rPr>
                <w:sz w:val="20"/>
                <w:szCs w:val="20"/>
              </w:rPr>
              <w:lastRenderedPageBreak/>
              <w:t>log_partial_hazard</w:t>
            </w:r>
          </w:p>
        </w:tc>
        <w:tc>
          <w:tcPr>
            <w:tcW w:w="1530" w:type="dxa"/>
          </w:tcPr>
          <w:p w14:paraId="1A5427A3"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Survival analysis</w:t>
            </w:r>
          </w:p>
        </w:tc>
        <w:tc>
          <w:tcPr>
            <w:tcW w:w="1170" w:type="dxa"/>
          </w:tcPr>
          <w:p w14:paraId="29815D3A"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62E238B5"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Natural log of the partial hazard</w:t>
            </w:r>
          </w:p>
        </w:tc>
        <w:tc>
          <w:tcPr>
            <w:tcW w:w="1170" w:type="dxa"/>
          </w:tcPr>
          <w:p w14:paraId="1BA67244"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Cox PH model</w:t>
            </w:r>
          </w:p>
        </w:tc>
      </w:tr>
      <w:tr w:rsidR="00856161" w14:paraId="6C75496C"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7DFC2D8B" w14:textId="77777777" w:rsidR="00856161" w:rsidRPr="00036AF9" w:rsidRDefault="00750A62" w:rsidP="0086514E">
            <w:pPr>
              <w:ind w:firstLine="0"/>
              <w:jc w:val="left"/>
              <w:rPr>
                <w:sz w:val="20"/>
                <w:szCs w:val="20"/>
              </w:rPr>
            </w:pPr>
            <w:r>
              <w:rPr>
                <w:sz w:val="20"/>
                <w:szCs w:val="20"/>
              </w:rPr>
              <w:t>expected_survival_time</w:t>
            </w:r>
          </w:p>
        </w:tc>
        <w:tc>
          <w:tcPr>
            <w:tcW w:w="1530" w:type="dxa"/>
          </w:tcPr>
          <w:p w14:paraId="4E6C2BF9"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Survival analysis</w:t>
            </w:r>
          </w:p>
        </w:tc>
        <w:tc>
          <w:tcPr>
            <w:tcW w:w="1170" w:type="dxa"/>
          </w:tcPr>
          <w:p w14:paraId="26DFE0AD"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75BB11EE"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Expected days to full payment under the Cox model</w:t>
            </w:r>
          </w:p>
        </w:tc>
        <w:tc>
          <w:tcPr>
            <w:tcW w:w="1170" w:type="dxa"/>
          </w:tcPr>
          <w:p w14:paraId="24ABC36F"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Cox PH model</w:t>
            </w:r>
          </w:p>
        </w:tc>
      </w:tr>
      <w:tr w:rsidR="00856161" w14:paraId="1FB266FF"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A8E94BD" w14:textId="77777777" w:rsidR="00856161" w:rsidRPr="00036AF9" w:rsidRDefault="00750A62" w:rsidP="0086514E">
            <w:pPr>
              <w:ind w:firstLine="0"/>
              <w:jc w:val="left"/>
              <w:rPr>
                <w:sz w:val="20"/>
                <w:szCs w:val="20"/>
              </w:rPr>
            </w:pPr>
            <w:r>
              <w:rPr>
                <w:sz w:val="20"/>
                <w:szCs w:val="20"/>
              </w:rPr>
              <w:t>survival_probability</w:t>
            </w:r>
          </w:p>
        </w:tc>
        <w:tc>
          <w:tcPr>
            <w:tcW w:w="1530" w:type="dxa"/>
          </w:tcPr>
          <w:p w14:paraId="7AED1510"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Survival analysis</w:t>
            </w:r>
          </w:p>
        </w:tc>
        <w:tc>
          <w:tcPr>
            <w:tcW w:w="1170" w:type="dxa"/>
          </w:tcPr>
          <w:p w14:paraId="744DF10F"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Numeric</w:t>
            </w:r>
          </w:p>
        </w:tc>
        <w:tc>
          <w:tcPr>
            <w:tcW w:w="1620" w:type="dxa"/>
          </w:tcPr>
          <w:p w14:paraId="6D25BC2A"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Probability of remaining unpaid beyond a reference time point</w:t>
            </w:r>
          </w:p>
        </w:tc>
        <w:tc>
          <w:tcPr>
            <w:tcW w:w="1170" w:type="dxa"/>
          </w:tcPr>
          <w:p w14:paraId="5BB090DD"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Cox PH model</w:t>
            </w:r>
          </w:p>
        </w:tc>
      </w:tr>
      <w:tr w:rsidR="00856161" w14:paraId="2CDE32F4"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1A261004" w14:textId="77777777" w:rsidR="00856161" w:rsidRPr="00036AF9" w:rsidRDefault="00750A62" w:rsidP="0086514E">
            <w:pPr>
              <w:ind w:firstLine="0"/>
              <w:jc w:val="left"/>
              <w:rPr>
                <w:sz w:val="20"/>
                <w:szCs w:val="20"/>
              </w:rPr>
            </w:pPr>
            <w:r>
              <w:rPr>
                <w:sz w:val="20"/>
                <w:szCs w:val="20"/>
              </w:rPr>
              <w:t>cumulative_hazard</w:t>
            </w:r>
          </w:p>
        </w:tc>
        <w:tc>
          <w:tcPr>
            <w:tcW w:w="1530" w:type="dxa"/>
          </w:tcPr>
          <w:p w14:paraId="414138F4"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Survival analysis</w:t>
            </w:r>
          </w:p>
        </w:tc>
        <w:tc>
          <w:tcPr>
            <w:tcW w:w="1170" w:type="dxa"/>
          </w:tcPr>
          <w:p w14:paraId="7E32B7C3"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Numeric</w:t>
            </w:r>
          </w:p>
        </w:tc>
        <w:tc>
          <w:tcPr>
            <w:tcW w:w="1620" w:type="dxa"/>
          </w:tcPr>
          <w:p w14:paraId="7AC0ACD9"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Cumulative hazard at the reference time point</w:t>
            </w:r>
          </w:p>
        </w:tc>
        <w:tc>
          <w:tcPr>
            <w:tcW w:w="1170" w:type="dxa"/>
          </w:tcPr>
          <w:p w14:paraId="4CB3E828"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Cox PH model</w:t>
            </w:r>
          </w:p>
        </w:tc>
      </w:tr>
      <w:tr w:rsidR="00856161" w14:paraId="494687D4" w14:textId="77777777" w:rsidTr="009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50" w:type="dxa"/>
          </w:tcPr>
          <w:p w14:paraId="63558E1C" w14:textId="77777777" w:rsidR="00856161" w:rsidRPr="00036AF9" w:rsidRDefault="00750A62" w:rsidP="0086514E">
            <w:pPr>
              <w:ind w:firstLine="0"/>
              <w:jc w:val="left"/>
              <w:rPr>
                <w:sz w:val="20"/>
                <w:szCs w:val="20"/>
              </w:rPr>
            </w:pPr>
            <w:r>
              <w:rPr>
                <w:sz w:val="20"/>
                <w:szCs w:val="20"/>
              </w:rPr>
              <w:t>dtp_bracket</w:t>
            </w:r>
          </w:p>
        </w:tc>
        <w:tc>
          <w:tcPr>
            <w:tcW w:w="1530" w:type="dxa"/>
          </w:tcPr>
          <w:p w14:paraId="6439AF59"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Target variable</w:t>
            </w:r>
          </w:p>
        </w:tc>
        <w:tc>
          <w:tcPr>
            <w:tcW w:w="1170" w:type="dxa"/>
          </w:tcPr>
          <w:p w14:paraId="1408C7BF"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Ordinal (4 classes)</w:t>
            </w:r>
          </w:p>
        </w:tc>
        <w:tc>
          <w:tcPr>
            <w:tcW w:w="1620" w:type="dxa"/>
          </w:tcPr>
          <w:p w14:paraId="2FE398C5"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Payment bracket label: on-time, 1–30, 31–60, or 61+ days late</w:t>
            </w:r>
          </w:p>
        </w:tc>
        <w:tc>
          <w:tcPr>
            <w:tcW w:w="1170" w:type="dxa"/>
          </w:tcPr>
          <w:p w14:paraId="496881C0" w14:textId="77777777" w:rsidR="00856161" w:rsidRPr="00036AF9" w:rsidRDefault="00750A62" w:rsidP="0086514E">
            <w:pPr>
              <w:ind w:firstLine="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Derived</w:t>
            </w:r>
          </w:p>
        </w:tc>
      </w:tr>
      <w:tr w:rsidR="00856161" w14:paraId="22184DF2" w14:textId="77777777" w:rsidTr="009D5052">
        <w:tc>
          <w:tcPr>
            <w:cnfStyle w:val="001000000000" w:firstRow="0" w:lastRow="0" w:firstColumn="1" w:lastColumn="0" w:oddVBand="0" w:evenVBand="0" w:oddHBand="0" w:evenHBand="0" w:firstRowFirstColumn="0" w:firstRowLastColumn="0" w:lastRowFirstColumn="0" w:lastRowLastColumn="0"/>
            <w:tcW w:w="3150" w:type="dxa"/>
          </w:tcPr>
          <w:p w14:paraId="31D5AB21" w14:textId="77777777" w:rsidR="00856161" w:rsidRPr="00036AF9" w:rsidRDefault="00750A62" w:rsidP="0086514E">
            <w:pPr>
              <w:ind w:firstLine="0"/>
              <w:jc w:val="left"/>
              <w:rPr>
                <w:sz w:val="20"/>
                <w:szCs w:val="20"/>
              </w:rPr>
            </w:pPr>
            <w:r>
              <w:rPr>
                <w:sz w:val="20"/>
                <w:szCs w:val="20"/>
              </w:rPr>
              <w:t>censor</w:t>
            </w:r>
          </w:p>
        </w:tc>
        <w:tc>
          <w:tcPr>
            <w:tcW w:w="1530" w:type="dxa"/>
          </w:tcPr>
          <w:p w14:paraId="6D12E608"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Target variable</w:t>
            </w:r>
          </w:p>
        </w:tc>
        <w:tc>
          <w:tcPr>
            <w:tcW w:w="1170" w:type="dxa"/>
          </w:tcPr>
          <w:p w14:paraId="090FA0F8"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Binary</w:t>
            </w:r>
          </w:p>
        </w:tc>
        <w:tc>
          <w:tcPr>
            <w:tcW w:w="1620" w:type="dxa"/>
          </w:tcPr>
          <w:p w14:paraId="379EF87A"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 if the invoice was still unpaid at the observation cutoff</w:t>
            </w:r>
          </w:p>
        </w:tc>
        <w:tc>
          <w:tcPr>
            <w:tcW w:w="1170" w:type="dxa"/>
          </w:tcPr>
          <w:p w14:paraId="68AF2481" w14:textId="77777777" w:rsidR="00856161" w:rsidRPr="00036AF9" w:rsidRDefault="00750A62" w:rsidP="0086514E">
            <w:pPr>
              <w:ind w:firstLine="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Derived</w:t>
            </w:r>
          </w:p>
        </w:tc>
      </w:tr>
    </w:tbl>
    <w:p w14:paraId="40E0336A" w14:textId="77777777" w:rsidR="004B3D0C" w:rsidRDefault="004B3D0C">
      <w:pPr>
        <w:pStyle w:val="ThesisParagraphText"/>
      </w:pPr>
    </w:p>
    <w:p w14:paraId="5BB447B0" w14:textId="77777777" w:rsidR="00C31D96" w:rsidRDefault="00750A62" w:rsidP="004760F2">
      <w:pPr>
        <w:pStyle w:val="ThesisParagraphText"/>
      </w:pPr>
      <w:r>
        <w:lastRenderedPageBreak/>
        <w:t>The raw data files underlying these variables are not publicly available due to the privacy constraints described in Section 3.7.1; access may be requested through institutional channels, subject to the authorization conditions documented in Appendix G.</w:t>
      </w:r>
    </w:p>
    <w:p w14:paraId="5F71F9F6" w14:textId="77777777" w:rsidR="00C31D96" w:rsidRDefault="00C31D96">
      <w:pPr>
        <w:autoSpaceDE/>
        <w:autoSpaceDN/>
        <w:adjustRightInd/>
        <w:spacing w:line="278" w:lineRule="auto"/>
        <w:ind w:firstLine="0"/>
        <w:jc w:val="left"/>
        <w:rPr>
          <w:rFonts w:eastAsia="Calibri"/>
          <w:kern w:val="0"/>
          <w14:ligatures w14:val="none"/>
        </w:rPr>
      </w:pPr>
      <w:r>
        <w:br w:type="page"/>
      </w:r>
    </w:p>
    <w:p w14:paraId="440C0E71" w14:textId="77777777" w:rsidR="009906BF" w:rsidRDefault="00AD0E61" w:rsidP="009906BF">
      <w:pPr>
        <w:pStyle w:val="Heading2"/>
        <w:pageBreakBefore/>
      </w:pPr>
      <w:bookmarkStart w:id="158" w:name="_Toc233585310"/>
      <w:r>
        <w:lastRenderedPageBreak/>
        <w:t>APPENDIX I: Curriculum Vitae of Rafael Joseph T. Beley</w:t>
      </w:r>
      <w:bookmarkEnd w:id="158"/>
    </w:p>
    <w:p w14:paraId="4F671710" w14:textId="7DF16229" w:rsidR="009906BF" w:rsidRPr="009906BF" w:rsidRDefault="009906BF" w:rsidP="004927CF">
      <w:pPr>
        <w:ind w:firstLine="0"/>
        <w:jc w:val="center"/>
      </w:pPr>
      <w:r>
        <w:rPr>
          <w:noProof/>
        </w:rPr>
        <w:drawing>
          <wp:inline distT="0" distB="0" distL="0" distR="0" wp14:anchorId="36CF09BA" wp14:editId="3A5907B9">
            <wp:extent cx="5391150" cy="6697425"/>
            <wp:effectExtent l="19050" t="19050" r="19050" b="27305"/>
            <wp:docPr id="202325917" name="Picture 2" descr="A close-up of a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25917" name="Picture 2" descr="A close-up of a resume&#10;&#10;Description automatically generated"/>
                    <pic:cNvPicPr>
                      <a:picLocks noChangeAspect="1" noChangeArrowheads="1"/>
                    </pic:cNvPicPr>
                  </pic:nvPicPr>
                  <pic:blipFill rotWithShape="1">
                    <a:blip r:embed="rId53">
                      <a:extLst>
                        <a:ext uri="{28A0092B-C50C-407E-A947-70E740481C1C}">
                          <a14:useLocalDpi xmlns:a14="http://schemas.microsoft.com/office/drawing/2010/main" val="0"/>
                        </a:ext>
                      </a:extLst>
                    </a:blip>
                    <a:srcRect l="7812" t="5769" r="7639" b="13066"/>
                    <a:stretch/>
                  </pic:blipFill>
                  <pic:spPr bwMode="auto">
                    <a:xfrm>
                      <a:off x="0" y="0"/>
                      <a:ext cx="5394291" cy="6701327"/>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110C251" w14:textId="559F4303" w:rsidR="00A9009C" w:rsidRPr="00A9009C" w:rsidRDefault="009906BF" w:rsidP="004927CF">
      <w:pPr>
        <w:ind w:firstLine="0"/>
        <w:jc w:val="center"/>
      </w:pPr>
      <w:r>
        <w:rPr>
          <w:noProof/>
        </w:rPr>
        <w:lastRenderedPageBreak/>
        <w:drawing>
          <wp:inline distT="0" distB="0" distL="0" distR="0" wp14:anchorId="3B3AFBEF" wp14:editId="6D6C97E8">
            <wp:extent cx="5486400" cy="7027025"/>
            <wp:effectExtent l="19050" t="19050" r="19050" b="21590"/>
            <wp:docPr id="8492077" name="Picture 1" descr="A close-up of a resu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077" name="Picture 1" descr="A close-up of a resume&#10;&#10;Description automatically generated"/>
                    <pic:cNvPicPr>
                      <a:picLocks noChangeAspect="1" noChangeArrowheads="1"/>
                    </pic:cNvPicPr>
                  </pic:nvPicPr>
                  <pic:blipFill rotWithShape="1">
                    <a:blip r:embed="rId54">
                      <a:extLst>
                        <a:ext uri="{28A0092B-C50C-407E-A947-70E740481C1C}">
                          <a14:useLocalDpi xmlns:a14="http://schemas.microsoft.com/office/drawing/2010/main" val="0"/>
                        </a:ext>
                      </a:extLst>
                    </a:blip>
                    <a:srcRect l="6771" t="6439" r="7292" b="8506"/>
                    <a:stretch/>
                  </pic:blipFill>
                  <pic:spPr bwMode="auto">
                    <a:xfrm>
                      <a:off x="0" y="0"/>
                      <a:ext cx="5486400" cy="7027025"/>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1ACE40FA" w14:textId="58332ECD" w:rsidR="00AD0E61" w:rsidRDefault="00AD0E61" w:rsidP="00AD0E61">
      <w:pPr>
        <w:pStyle w:val="Heading2"/>
        <w:pageBreakBefore/>
      </w:pPr>
      <w:bookmarkStart w:id="159" w:name="_Toc233585311"/>
      <w:r>
        <w:lastRenderedPageBreak/>
        <w:t>APPENDIX J: Curriculum Vitae of Christine Julliane L. Reyes</w:t>
      </w:r>
      <w:bookmarkEnd w:id="159"/>
    </w:p>
    <w:p w14:paraId="399CBA87" w14:textId="77777777" w:rsidR="00F8480A" w:rsidRDefault="00F8480A">
      <w:pPr>
        <w:autoSpaceDE/>
        <w:autoSpaceDN/>
        <w:adjustRightInd/>
        <w:spacing w:line="278" w:lineRule="auto"/>
        <w:ind w:firstLine="0"/>
        <w:jc w:val="left"/>
      </w:pPr>
      <w:r>
        <w:rPr>
          <w:noProof/>
        </w:rPr>
        <w:drawing>
          <wp:inline distT="0" distB="0" distL="0" distR="0" wp14:anchorId="12F8F2AD" wp14:editId="6AA97BB2">
            <wp:extent cx="5486400" cy="7748905"/>
            <wp:effectExtent l="19050" t="19050" r="19050" b="23495"/>
            <wp:docPr id="46262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28917" name=""/>
                    <pic:cNvPicPr/>
                  </pic:nvPicPr>
                  <pic:blipFill>
                    <a:blip r:embed="rId55"/>
                    <a:stretch>
                      <a:fillRect/>
                    </a:stretch>
                  </pic:blipFill>
                  <pic:spPr>
                    <a:xfrm>
                      <a:off x="0" y="0"/>
                      <a:ext cx="5486400" cy="7748905"/>
                    </a:xfrm>
                    <a:prstGeom prst="rect">
                      <a:avLst/>
                    </a:prstGeom>
                    <a:ln>
                      <a:solidFill>
                        <a:schemeClr val="accent1"/>
                      </a:solidFill>
                    </a:ln>
                  </pic:spPr>
                </pic:pic>
              </a:graphicData>
            </a:graphic>
          </wp:inline>
        </w:drawing>
      </w:r>
    </w:p>
    <w:p w14:paraId="0AD3971D" w14:textId="77777777" w:rsidR="00204283" w:rsidRDefault="00472617">
      <w:pPr>
        <w:autoSpaceDE/>
        <w:autoSpaceDN/>
        <w:adjustRightInd/>
        <w:spacing w:line="278" w:lineRule="auto"/>
        <w:ind w:firstLine="0"/>
        <w:jc w:val="left"/>
      </w:pPr>
      <w:r>
        <w:rPr>
          <w:noProof/>
        </w:rPr>
        <w:lastRenderedPageBreak/>
        <w:drawing>
          <wp:inline distT="0" distB="0" distL="0" distR="0" wp14:anchorId="039128B9" wp14:editId="514D5D8E">
            <wp:extent cx="5486400" cy="7807325"/>
            <wp:effectExtent l="19050" t="19050" r="19050" b="22225"/>
            <wp:docPr id="98703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35360" name=""/>
                    <pic:cNvPicPr/>
                  </pic:nvPicPr>
                  <pic:blipFill>
                    <a:blip r:embed="rId56"/>
                    <a:stretch>
                      <a:fillRect/>
                    </a:stretch>
                  </pic:blipFill>
                  <pic:spPr>
                    <a:xfrm>
                      <a:off x="0" y="0"/>
                      <a:ext cx="5486400" cy="7807325"/>
                    </a:xfrm>
                    <a:prstGeom prst="rect">
                      <a:avLst/>
                    </a:prstGeom>
                    <a:ln>
                      <a:solidFill>
                        <a:schemeClr val="accent1"/>
                      </a:solidFill>
                    </a:ln>
                  </pic:spPr>
                </pic:pic>
              </a:graphicData>
            </a:graphic>
          </wp:inline>
        </w:drawing>
      </w:r>
    </w:p>
    <w:p w14:paraId="13292824" w14:textId="37213CDB" w:rsidR="00F20028" w:rsidRPr="0058516A" w:rsidRDefault="00204283" w:rsidP="00380C46">
      <w:r>
        <w:rPr>
          <w:noProof/>
        </w:rPr>
        <w:lastRenderedPageBreak/>
        <w:drawing>
          <wp:inline distT="0" distB="0" distL="0" distR="0" wp14:anchorId="6F8BFAF5" wp14:editId="0495A19D">
            <wp:extent cx="5486400" cy="7747635"/>
            <wp:effectExtent l="19050" t="19050" r="19050" b="24765"/>
            <wp:docPr id="172217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77154" name=""/>
                    <pic:cNvPicPr/>
                  </pic:nvPicPr>
                  <pic:blipFill>
                    <a:blip r:embed="rId57"/>
                    <a:stretch>
                      <a:fillRect/>
                    </a:stretch>
                  </pic:blipFill>
                  <pic:spPr>
                    <a:xfrm>
                      <a:off x="0" y="0"/>
                      <a:ext cx="5486400" cy="7747635"/>
                    </a:xfrm>
                    <a:prstGeom prst="rect">
                      <a:avLst/>
                    </a:prstGeom>
                    <a:ln>
                      <a:solidFill>
                        <a:schemeClr val="accent1"/>
                      </a:solidFill>
                    </a:ln>
                  </pic:spPr>
                </pic:pic>
              </a:graphicData>
            </a:graphic>
          </wp:inline>
        </w:drawing>
        <w:lastRenderedPageBreak/>
        <w:drawing>
          <wp:inline distT="0" distB="0" distL="0" distR="0" wp14:anchorId="66A7F461" wp14:editId="1D572D73">
            <wp:extent cx="5486400" cy="7734935"/>
            <wp:effectExtent l="19050" t="19050" r="19050" b="18415"/>
            <wp:docPr id="1212625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25591" name=""/>
                    <pic:cNvPicPr/>
                  </pic:nvPicPr>
                  <pic:blipFill>
                    <a:blip r:embed="rId58"/>
                    <a:stretch>
                      <a:fillRect/>
                    </a:stretch>
                  </pic:blipFill>
                  <pic:spPr>
                    <a:xfrm>
                      <a:off x="0" y="0"/>
                      <a:ext cx="5486400" cy="7734935"/>
                    </a:xfrm>
                    <a:prstGeom prst="rect">
                      <a:avLst/>
                    </a:prstGeom>
                    <a:ln>
                      <a:solidFill>
                        <a:schemeClr val="accent1"/>
                      </a:solidFill>
                    </a:ln>
                  </pic:spPr>
                </pic:pic>
              </a:graphicData>
            </a:graphic>
          </wp:inline>
        </w:drawing>
        <w:lastRenderedPageBreak/>
        <w:drawing>
          <wp:inline distT="0" distB="0" distL="0" distR="0" wp14:anchorId="0F506243" wp14:editId="32EF5590">
            <wp:extent cx="5486400" cy="7759700"/>
            <wp:effectExtent l="19050" t="19050" r="19050" b="12700"/>
            <wp:docPr id="147079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0455" name=""/>
                    <pic:cNvPicPr/>
                  </pic:nvPicPr>
                  <pic:blipFill>
                    <a:blip r:embed="rId59"/>
                    <a:stretch>
                      <a:fillRect/>
                    </a:stretch>
                  </pic:blipFill>
                  <pic:spPr>
                    <a:xfrm>
                      <a:off x="0" y="0"/>
                      <a:ext cx="5486400" cy="7759700"/>
                    </a:xfrm>
                    <a:prstGeom prst="rect">
                      <a:avLst/>
                    </a:prstGeom>
                    <a:ln>
                      <a:solidFill>
                        <a:schemeClr val="accent1"/>
                      </a:solidFill>
                    </a:ln>
                  </pic:spPr>
                </pic:pic>
              </a:graphicData>
            </a:graphic>
          </wp:inline>
        </w:drawing>
        <w:lastRenderedPageBreak/>
        <w:drawing>
          <wp:inline distT="0" distB="0" distL="0" distR="0" wp14:anchorId="72650D3F" wp14:editId="47B0F15C">
            <wp:extent cx="5486400" cy="7773670"/>
            <wp:effectExtent l="19050" t="19050" r="19050" b="17780"/>
            <wp:docPr id="1366371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371988" name=""/>
                    <pic:cNvPicPr/>
                  </pic:nvPicPr>
                  <pic:blipFill>
                    <a:blip r:embed="rId60"/>
                    <a:stretch>
                      <a:fillRect/>
                    </a:stretch>
                  </pic:blipFill>
                  <pic:spPr>
                    <a:xfrm>
                      <a:off x="0" y="0"/>
                      <a:ext cx="5486400" cy="7773670"/>
                    </a:xfrm>
                    <a:prstGeom prst="rect">
                      <a:avLst/>
                    </a:prstGeom>
                    <a:ln>
                      <a:solidFill>
                        <a:schemeClr val="accent1"/>
                      </a:solidFill>
                    </a:ln>
                  </pic:spPr>
                </pic:pic>
              </a:graphicData>
            </a:graphic>
          </wp:inline>
        </w:drawing>
      </w:r>
      <w:r>
        <w:t xml:space="preserve"> </w:t>
      </w:r>
    </w:p>
    <w:p w14:paraId="69ADDBCD" w14:textId="77777777" w:rsidR="0098105C" w:rsidRPr="00FD0F64" w:rsidRDefault="3848365C" w:rsidP="00BB6FF6">
      <w:pPr>
        <w:pStyle w:val="Heading1"/>
        <w:suppressLineNumbers/>
      </w:pPr>
      <w:bookmarkStart w:id="160" w:name="_Toc233585312"/>
      <w:r>
        <w:lastRenderedPageBreak/>
        <w:t>REFERENCES</w:t>
      </w:r>
      <w:bookmarkEnd w:id="154"/>
      <w:bookmarkEnd w:id="155"/>
      <w:bookmarkEnd w:id="160"/>
    </w:p>
    <w:p w14:paraId="4DD62788" w14:textId="77777777" w:rsidR="00697D1A" w:rsidRPr="00FD0F64" w:rsidRDefault="00697D1A" w:rsidP="00BB6FF6">
      <w:pPr>
        <w:suppressLineNumbers/>
        <w:ind w:hanging="720"/>
      </w:pPr>
      <w:r>
        <w:t>[1] L. Breiman. 2001. Random forests. Machine Learning 45, 1 (2001), 5-32. https://doi.org/10.1023/A:1010933404324</w:t>
      </w:r>
    </w:p>
    <w:p w14:paraId="2BB76100" w14:textId="77777777" w:rsidR="00697D1A" w:rsidRPr="00FD0F64" w:rsidRDefault="00697D1A" w:rsidP="00BB6FF6">
      <w:pPr>
        <w:suppressLineNumbers/>
        <w:ind w:hanging="720"/>
      </w:pPr>
      <w:r>
        <w:t>[2] H. Wasserbacher and M. Spindler. 2022. Machine learning for financial forecasting, planning, and analysis: Recent developments and pitfalls. Digital Finance 4 (2022), 63-88. https://doi.org/10.1007/s42521-021-00046-2</w:t>
      </w:r>
    </w:p>
    <w:p w14:paraId="3511199D" w14:textId="77777777" w:rsidR="00697D1A" w:rsidRPr="00FD0F64" w:rsidRDefault="00697D1A" w:rsidP="00BB6FF6">
      <w:pPr>
        <w:suppressLineNumbers/>
        <w:ind w:hanging="720"/>
      </w:pPr>
      <w:r>
        <w:t>[3] K. Mugorobin, S. Kusrini, S. Rokhmah, and I. Muslibah. 2020. Estimation system for late payment of school tuition fees. International Journal of Computer and Information System 1, 1 (2020).</w:t>
      </w:r>
    </w:p>
    <w:p w14:paraId="6C1062FD" w14:textId="77777777" w:rsidR="00697D1A" w:rsidRPr="00FD0F64" w:rsidRDefault="00697D1A" w:rsidP="00BB6FF6">
      <w:pPr>
        <w:suppressLineNumbers/>
        <w:ind w:hanging="720"/>
      </w:pPr>
      <w:r>
        <w:t>[4] W. Moore and J. H. van Vuuren. 2020. A framework for modelling customer invoice payment predictions. Financial Analytics Journal 12, 4 (2020), 55-70. https://doi.org/10.1016/j.mlwa.2024.100578</w:t>
      </w:r>
    </w:p>
    <w:p w14:paraId="4BB284A3" w14:textId="77777777" w:rsidR="00697D1A" w:rsidRPr="00FD0F64" w:rsidRDefault="00697D1A" w:rsidP="00BB6FF6">
      <w:pPr>
        <w:suppressLineNumbers/>
        <w:ind w:hanging="720"/>
      </w:pPr>
      <w:r>
        <w:t>[5] L. Schoonbee, W. R. Moore, and J. H. van Vuuren. 2021. A machine-learning approach towards solving the invoice payment prediction problem. Journal of Computational Finance 14, 3 (2021), 101-118.</w:t>
      </w:r>
    </w:p>
    <w:p w14:paraId="1A973D74" w14:textId="77777777" w:rsidR="00697D1A" w:rsidRPr="00FD0F64" w:rsidRDefault="00697D1A" w:rsidP="00BB6FF6">
      <w:pPr>
        <w:suppressLineNumbers/>
        <w:ind w:hanging="720"/>
      </w:pPr>
      <w:r>
        <w:t>[6] M. Martikainen. 2023. Predicting late payment of sales invoices with statistical learning methods. Lappeenranta-Lahti University of Technology LUT, School of Engineering Science: Computational Engineering.</w:t>
      </w:r>
    </w:p>
    <w:p w14:paraId="371D559F" w14:textId="77777777" w:rsidR="00697D1A" w:rsidRPr="00FD0F64" w:rsidRDefault="00697D1A" w:rsidP="00BB6FF6">
      <w:pPr>
        <w:suppressLineNumbers/>
        <w:ind w:hanging="720"/>
      </w:pPr>
      <w:r>
        <w:t>[7] M. Cheong. 2022. Customer level predictive modeling for accounts receivable to reduce intervention actions. Journal of Business Analytics 15, 3 (2022), 45-60.</w:t>
      </w:r>
    </w:p>
    <w:p w14:paraId="7B6A7D5D" w14:textId="77777777" w:rsidR="00697D1A" w:rsidRPr="00FD0F64" w:rsidRDefault="00697D1A" w:rsidP="00BB6FF6">
      <w:pPr>
        <w:suppressLineNumbers/>
        <w:ind w:hanging="720"/>
      </w:pPr>
      <w:r>
        <w:lastRenderedPageBreak/>
        <w:t>[8] A. P. Appel, G. L. Malfatti, R. Cunha, B. Lima, and R. de Paula. 2021. Predicting account receivables with machine learning. Journal of Financial Technology 10, 2 (2021), 88-102.</w:t>
      </w:r>
    </w:p>
    <w:p w14:paraId="3F58595D" w14:textId="77777777" w:rsidR="00697D1A" w:rsidRPr="00FD0F64" w:rsidRDefault="00697D1A" w:rsidP="00BB6FF6">
      <w:pPr>
        <w:suppressLineNumbers/>
        <w:ind w:hanging="720"/>
      </w:pPr>
      <w:r>
        <w:t>[9] A. Abbas and A. Hussein. 2024. Data-driven loan default prediction: A machine learning approach. Systems 13, 7 (2024), 581. MDPI. https://doi.org/10.3390/systems13070581</w:t>
      </w:r>
    </w:p>
    <w:p w14:paraId="3B6912F0" w14:textId="77777777" w:rsidR="00697D1A" w:rsidRPr="00FD0F64" w:rsidRDefault="00697D1A" w:rsidP="00BB6FF6">
      <w:pPr>
        <w:suppressLineNumbers/>
        <w:ind w:hanging="720"/>
      </w:pPr>
      <w:r>
        <w:t>[10] A. M. Khedr and R. S. Sheeja. 2024. Enhancing supply chain management with deep learning and machine learning techniques: A review. Journal of Open Innovation: Technology, Market and Complexity (2024). https://doi.org/10.1016/j.joitmc.2024.100379</w:t>
      </w:r>
    </w:p>
    <w:p w14:paraId="490845F9" w14:textId="77777777" w:rsidR="00697D1A" w:rsidRPr="00FD0F64" w:rsidRDefault="00697D1A" w:rsidP="00BB6FF6">
      <w:pPr>
        <w:suppressLineNumbers/>
        <w:ind w:hanging="720"/>
      </w:pPr>
      <w:r>
        <w:t>[11] Republic of the Philippines. 2024. Republic Act No. 11984: An Act Providing for the Free College Entrance Examinations Act. (Also known as No Permit, No Exam Prohibition Act). Official Gazette of the Republic of the Philippines.</w:t>
      </w:r>
    </w:p>
    <w:p w14:paraId="5D71318E" w14:textId="77777777" w:rsidR="00697D1A" w:rsidRPr="00FD0F64" w:rsidRDefault="00697D1A" w:rsidP="00BB6FF6">
      <w:pPr>
        <w:suppressLineNumbers/>
        <w:ind w:hanging="720"/>
      </w:pPr>
      <w:r>
        <w:t>[12] E. Frank and M. Hall. 2001. A simple approach to ordinal classification. In Proceedings of the 12th European Conference on Machine Learning (ECML 2001), Lecture Notes in Computer Science 2167, 145-156. Springer. https://doi.org/10.1007/3-540-44795-4_13</w:t>
      </w:r>
    </w:p>
    <w:p w14:paraId="5A86F518" w14:textId="77777777" w:rsidR="00697D1A" w:rsidRPr="00FD0F64" w:rsidRDefault="00697D1A" w:rsidP="00BB6FF6">
      <w:pPr>
        <w:suppressLineNumbers/>
        <w:ind w:hanging="720"/>
      </w:pPr>
      <w:r>
        <w:t>[13] United Nations. 2015. Transforming our world: The 2030 agenda for sustainable development. United Nations General Assembly.</w:t>
      </w:r>
    </w:p>
    <w:p w14:paraId="067571C3" w14:textId="77777777" w:rsidR="00697D1A" w:rsidRPr="00FD0F64" w:rsidRDefault="00697D1A" w:rsidP="00BB6FF6">
      <w:pPr>
        <w:suppressLineNumbers/>
        <w:ind w:hanging="720"/>
      </w:pPr>
      <w:r>
        <w:t>[14] Y. Peng and G. Tian. 2021. Intelligent optimization model of enterprise financial account receivable management. International Journal of Management Science 18, 1 (2021), 112-128. https://doi.org/10.1155/2024/4961081</w:t>
      </w:r>
    </w:p>
    <w:p w14:paraId="629A09B9" w14:textId="77777777" w:rsidR="00697D1A" w:rsidRPr="00FD0F64" w:rsidRDefault="00697D1A" w:rsidP="00BB6FF6">
      <w:pPr>
        <w:suppressLineNumbers/>
        <w:ind w:hanging="720"/>
      </w:pPr>
      <w:r>
        <w:t>[15] M. Ramkumar and R. Karthick. 2023. Finance forecasting using machine learning: A data-driven approach. International Journal of Data Science and Machine Learning 4, 2 (2023), 540-558.</w:t>
      </w:r>
    </w:p>
    <w:p w14:paraId="4A73EDC6" w14:textId="77777777" w:rsidR="00697D1A" w:rsidRPr="00FD0F64" w:rsidRDefault="00697D1A" w:rsidP="00BB6FF6">
      <w:pPr>
        <w:suppressLineNumbers/>
        <w:ind w:hanging="720"/>
      </w:pPr>
      <w:r>
        <w:lastRenderedPageBreak/>
        <w:t>[16] Respicio &amp; Co. Law. 2025. No permit, no exam policy for unpaid tuition in Philippine schools. Respicio.ph.</w:t>
      </w:r>
    </w:p>
    <w:p w14:paraId="5C75B086" w14:textId="77777777" w:rsidR="00697D1A" w:rsidRPr="00FD0F64" w:rsidRDefault="00697D1A" w:rsidP="00BB6FF6">
      <w:pPr>
        <w:suppressLineNumbers/>
        <w:ind w:hanging="720"/>
      </w:pPr>
      <w:r>
        <w:t>[17] R. Mestry. 2020. The effective and efficient management of school fees. South African Journal of Education 40, 4 (2020).</w:t>
      </w:r>
    </w:p>
    <w:p w14:paraId="2A01FE97" w14:textId="77777777" w:rsidR="00697D1A" w:rsidRPr="00FD0F64" w:rsidRDefault="00697D1A" w:rsidP="00BB6FF6">
      <w:pPr>
        <w:suppressLineNumbers/>
        <w:ind w:hanging="720"/>
      </w:pPr>
      <w:r>
        <w:t>[18] I. Naicker. 2020. Responding to school funding challenges in no-fee and fee-paying schools: Lessons from South African principals. South African Journal of Education 40, 1 (2020).</w:t>
      </w:r>
    </w:p>
    <w:p w14:paraId="2990AEA3" w14:textId="77777777" w:rsidR="00697D1A" w:rsidRPr="00FD0F64" w:rsidRDefault="00697D1A" w:rsidP="00BB6FF6">
      <w:pPr>
        <w:suppressLineNumbers/>
        <w:ind w:hanging="720"/>
      </w:pPr>
      <w:r>
        <w:t>[19] Education Policy and Data Center. 2012. School fees in South Africa (Case study). EPDC.</w:t>
      </w:r>
    </w:p>
    <w:p w14:paraId="2E887D81" w14:textId="77777777" w:rsidR="00697D1A" w:rsidRPr="00FD0F64" w:rsidRDefault="00697D1A" w:rsidP="00BB6FF6">
      <w:pPr>
        <w:suppressLineNumbers/>
        <w:ind w:hanging="720"/>
      </w:pPr>
      <w:r>
        <w:t>[20] MRI Software TPN Credit Bureau. 2024. The legal consequences of unpaid school fees in South Africa. MRI Software TPN.</w:t>
      </w:r>
    </w:p>
    <w:p w14:paraId="454392FB" w14:textId="77777777" w:rsidR="00697D1A" w:rsidRPr="00FD0F64" w:rsidRDefault="00697D1A" w:rsidP="00BB6FF6">
      <w:pPr>
        <w:suppressLineNumbers/>
        <w:ind w:hanging="720"/>
      </w:pPr>
      <w:r>
        <w:t>[21] The Associated Press. 2024. Parents in Africa struggle with unpredictable school fees that force children to drop out. Associated Press.</w:t>
      </w:r>
    </w:p>
    <w:p w14:paraId="4C6A8E36" w14:textId="77777777" w:rsidR="00697D1A" w:rsidRPr="00FD0F64" w:rsidRDefault="00697D1A" w:rsidP="00BB6FF6">
      <w:pPr>
        <w:suppressLineNumbers/>
        <w:ind w:hanging="720"/>
      </w:pPr>
      <w:r>
        <w:t>[22] World Bank. 2024. Urgent education reform key to unlocking faster, more inclusive growth in Africa. World Bank.</w:t>
      </w:r>
    </w:p>
    <w:p w14:paraId="2EDE7E17" w14:textId="77777777" w:rsidR="00697D1A" w:rsidRPr="00FD0F64" w:rsidRDefault="00697D1A" w:rsidP="00BB6FF6">
      <w:pPr>
        <w:suppressLineNumbers/>
        <w:ind w:hanging="720"/>
      </w:pPr>
      <w:r>
        <w:t>[23] N.T.H. Thuy, N.T.V. Ha, N.N. Trung, V.T.T. Binh, N.T. Hang, and V.T. Binh. 2025. Comparing the effectiveness of machine learning and deep learning models in student credit scoring: A case study in Vietnam. Risks 13, 5 (2025), 99. https://doi.org/10.3390/risks13050099</w:t>
      </w:r>
    </w:p>
    <w:p w14:paraId="28981558" w14:textId="77777777" w:rsidR="00697D1A" w:rsidRPr="00FD0F64" w:rsidRDefault="00697D1A" w:rsidP="00BB6FF6">
      <w:pPr>
        <w:suppressLineNumbers/>
        <w:ind w:hanging="720"/>
      </w:pPr>
      <w:r>
        <w:t>[24] W.C. Carvajal, C.M. Baltonado, M.G. Gocela, L.J. Pajes, A.J. Soliman, H. Bankas, C.K.F. Lubon, and M.E. Albano. 2025. Level of financial literacy and debt management: Basis for personal financial management program. Psychology and Education: A Multidisciplinary Journal 41, 2 (2025), 206-215.</w:t>
      </w:r>
    </w:p>
    <w:p w14:paraId="6D779467" w14:textId="77777777" w:rsidR="00697D1A" w:rsidRPr="00FD0F64" w:rsidRDefault="00697D1A" w:rsidP="00BB6FF6">
      <w:pPr>
        <w:suppressLineNumbers/>
        <w:ind w:hanging="720"/>
      </w:pPr>
      <w:r>
        <w:lastRenderedPageBreak/>
        <w:t>[25] M.C.L. Mencias-Tabernilla. 2023. Exploring teachers' expenditure patterns and debt profile. PhilArchive.</w:t>
      </w:r>
    </w:p>
    <w:p w14:paraId="1F851F8B" w14:textId="77777777" w:rsidR="00697D1A" w:rsidRPr="00FD0F64" w:rsidRDefault="00697D1A" w:rsidP="00BB6FF6">
      <w:pPr>
        <w:suppressLineNumbers/>
        <w:ind w:hanging="720"/>
      </w:pPr>
      <w:r>
        <w:t>[26] Presidential Communications Office. 2024. PBBM signs "No Permit, No Exam Prohibition Act" allowing students with unpaid tuition fees to take exam. PCO.</w:t>
      </w:r>
    </w:p>
    <w:p w14:paraId="5117CF2B" w14:textId="77777777" w:rsidR="00697D1A" w:rsidRPr="00FD0F64" w:rsidRDefault="00697D1A" w:rsidP="00BB6FF6">
      <w:pPr>
        <w:suppressLineNumbers/>
        <w:ind w:hanging="720"/>
      </w:pPr>
      <w:r>
        <w:t>[27] S. Lessmann, B. Baesens, H. V. Seow, and L. C. Thomas. 2015. Benchmarking state-of-the-art classification algorithms for credit scoring: An update of research. European Journal of Operational Research 247, 1 (2015), 124-136. https://doi.org/10.1016/j.ejor.2015.05.030</w:t>
      </w:r>
    </w:p>
    <w:p w14:paraId="19737CE4" w14:textId="77777777" w:rsidR="00697D1A" w:rsidRPr="00FD0F64" w:rsidRDefault="00697D1A" w:rsidP="00BB6FF6">
      <w:pPr>
        <w:suppressLineNumbers/>
        <w:ind w:hanging="720"/>
      </w:pPr>
      <w:r>
        <w:t>[28] B. Baesens, R. Setiono, C. Mues, and J. Vanthienen. 2003. Using neural network rule extraction and decision tables for credit-risk evaluation. Management Science 49, 3 (2003), 312-329.</w:t>
      </w:r>
    </w:p>
    <w:p w14:paraId="7E8AE940" w14:textId="77777777" w:rsidR="00697D1A" w:rsidRPr="00FD0F64" w:rsidRDefault="00697D1A" w:rsidP="00BB6FF6">
      <w:pPr>
        <w:suppressLineNumbers/>
        <w:ind w:hanging="720"/>
      </w:pPr>
      <w:r>
        <w:t>[29] K. Xu, Y. Wu, Z. Li, R. Zhang, and Z. Feng. 2024. Investigating financial risk behavior prediction using deep learning and big data. International Journal of Innovative Research in Engineering and Management 11, 3 (2024).</w:t>
      </w:r>
    </w:p>
    <w:p w14:paraId="322345D2" w14:textId="77777777" w:rsidR="00697D1A" w:rsidRPr="00FD0F64" w:rsidRDefault="00697D1A" w:rsidP="00BB6FF6">
      <w:pPr>
        <w:suppressLineNumbers/>
        <w:ind w:hanging="720"/>
      </w:pPr>
      <w:r>
        <w:t>[30] C. F. Tsai, C. W. Huang, and C. W. Chen. 2017. Credit rating by hybrid machine learning techniques. Applied Soft Computing 26 (2017), 170-182.</w:t>
      </w:r>
    </w:p>
    <w:p w14:paraId="0E3A4FA6" w14:textId="77777777" w:rsidR="00697D1A" w:rsidRPr="00FD0F64" w:rsidRDefault="00697D1A" w:rsidP="00BB6FF6">
      <w:pPr>
        <w:suppressLineNumbers/>
        <w:ind w:hanging="720"/>
      </w:pPr>
      <w:r>
        <w:t>[31] X.-S. Wei, Q. Cui, L. Yang, P. Wang, L. Liu, and J. Yang. 2022. RPC: A large-scale and fine-grained retail product checkout dataset. Science China Information Sciences 65, 197101 (2022).</w:t>
      </w:r>
    </w:p>
    <w:p w14:paraId="6E0E5C48" w14:textId="77777777" w:rsidR="00697D1A" w:rsidRPr="00FD0F64" w:rsidRDefault="00697D1A" w:rsidP="00BB6FF6">
      <w:pPr>
        <w:suppressLineNumbers/>
        <w:ind w:hanging="720"/>
      </w:pPr>
      <w:r>
        <w:t>[32] H. Voghouei, M. A. Jamali, and S. B. Pormehr. 2020. The effect of political factors on financial development. IOSR Journal of Economics and Finance 11, 3 (2020), 41-55.</w:t>
      </w:r>
    </w:p>
    <w:p w14:paraId="37F73336" w14:textId="77777777" w:rsidR="00697D1A" w:rsidRPr="00FD0F64" w:rsidRDefault="00697D1A" w:rsidP="00BB6FF6">
      <w:pPr>
        <w:suppressLineNumbers/>
        <w:ind w:hanging="720"/>
      </w:pPr>
      <w:r>
        <w:t>[33] Varthana. 2023. 5 Ways to Improve School Fee Collections. Varthana School Finance.</w:t>
      </w:r>
    </w:p>
    <w:p w14:paraId="21747E9A" w14:textId="77777777" w:rsidR="00697D1A" w:rsidRPr="00FD0F64" w:rsidRDefault="00697D1A" w:rsidP="00BB6FF6">
      <w:pPr>
        <w:suppressLineNumbers/>
        <w:ind w:hanging="720"/>
      </w:pPr>
      <w:r>
        <w:lastRenderedPageBreak/>
        <w:t>[34] Finalsite. 2023. 5 Ways to Increase Your School's Tuition Collection Rates. Finalsite Blog.</w:t>
      </w:r>
    </w:p>
    <w:p w14:paraId="0D29A793" w14:textId="77777777" w:rsidR="00697D1A" w:rsidRPr="00FD0F64" w:rsidRDefault="00697D1A" w:rsidP="00BB6FF6">
      <w:pPr>
        <w:suppressLineNumbers/>
        <w:ind w:hanging="720"/>
      </w:pPr>
      <w:r>
        <w:t>[35] Frontline Collections. 2024. Debt Collection in the Education Sector: Tuition Fee Recovery Strategies. Frontline Collections.</w:t>
      </w:r>
    </w:p>
    <w:p w14:paraId="120E6CC6" w14:textId="77777777" w:rsidR="00697D1A" w:rsidRPr="00FD0F64" w:rsidRDefault="00697D1A" w:rsidP="00BB6FF6">
      <w:pPr>
        <w:suppressLineNumbers/>
        <w:ind w:hanging="720"/>
      </w:pPr>
      <w:r>
        <w:t>[36] J. Olamijuwon and S. J. C. Zouo. 2024. Machine learning in budget forecasting for corporate finance: A conceptual model for improving financial planning. Open Access Research Journal of Multidisciplinary Studies 8, 2 (2024).</w:t>
      </w:r>
    </w:p>
    <w:p w14:paraId="4E6FAE83" w14:textId="77777777" w:rsidR="00697D1A" w:rsidRPr="00FD0F64" w:rsidRDefault="00697D1A" w:rsidP="00BB6FF6">
      <w:pPr>
        <w:suppressLineNumbers/>
        <w:ind w:hanging="720"/>
      </w:pPr>
      <w:r>
        <w:t>[37] D. R. Cox. 1972. Regression models and life-tables. Journal of the Royal Statistical Society. Series B (Methodological) 34, 2 (1972), 187-202.</w:t>
      </w:r>
    </w:p>
    <w:p w14:paraId="2D86B57A" w14:textId="77777777" w:rsidR="00697D1A" w:rsidRPr="00FD0F64" w:rsidRDefault="00697D1A" w:rsidP="00BB6FF6">
      <w:pPr>
        <w:suppressLineNumbers/>
        <w:ind w:hanging="720"/>
      </w:pPr>
      <w:r>
        <w:t>[38] I. Goldstein, A. Ozdenoren, and K. Yuan. 2013. Trading frenzies and their impact on real investment. Journal of Financial Economics 109, 2 (2013), 566-582.</w:t>
      </w:r>
    </w:p>
    <w:p w14:paraId="23ECD3A7" w14:textId="77777777" w:rsidR="00697D1A" w:rsidRPr="00FD0F64" w:rsidRDefault="00697D1A" w:rsidP="00BB6FF6">
      <w:pPr>
        <w:suppressLineNumbers/>
        <w:ind w:hanging="720"/>
      </w:pPr>
      <w:r>
        <w:t>[39] FasterCapital. 2023. Decision Support Systems: Empowering Financial Decisions with AI-Driven Support Systems. FasterCapital.</w:t>
      </w:r>
    </w:p>
    <w:p w14:paraId="4F806856" w14:textId="77777777" w:rsidR="00697D1A" w:rsidRPr="00FD0F64" w:rsidRDefault="00697D1A" w:rsidP="00BB6FF6">
      <w:pPr>
        <w:suppressLineNumbers/>
        <w:ind w:hanging="720"/>
      </w:pPr>
      <w:r>
        <w:t>[40] Caine &amp; Weiner. 2023. Accounts Receivable Management in Education: Key Aspects and Strategies. Caine &amp; Weiner.</w:t>
      </w:r>
    </w:p>
    <w:p w14:paraId="0C2F8DB4" w14:textId="77777777" w:rsidR="00697D1A" w:rsidRPr="00FD0F64" w:rsidRDefault="00697D1A" w:rsidP="00BB6FF6">
      <w:pPr>
        <w:suppressLineNumbers/>
        <w:ind w:hanging="720"/>
      </w:pPr>
      <w:r>
        <w:t>[41] Higher Ed Dive. 2023. 3 Reasons Accounts Receivable Management in Higher Education Suffers -- and How to Fix It. Higher Ed Dive.</w:t>
      </w:r>
    </w:p>
    <w:p w14:paraId="175BD96E" w14:textId="77777777" w:rsidR="00697D1A" w:rsidRPr="00FD0F64" w:rsidRDefault="00697D1A" w:rsidP="00BB6FF6">
      <w:pPr>
        <w:suppressLineNumbers/>
        <w:ind w:hanging="720"/>
      </w:pPr>
      <w:r>
        <w:t>[42] A. Caparros. 2023. Effects of Students Extracurricular Activities to Schools Internal Efficiency: Basis for School Improvement Management Plan. Psychology and Education: A Multidisciplinary Journal 7, 10 (2023), 1-1.</w:t>
      </w:r>
    </w:p>
    <w:p w14:paraId="2FF38BAD" w14:textId="73658C58" w:rsidR="00FB6519" w:rsidRDefault="00697D1A" w:rsidP="00FB6519">
      <w:pPr>
        <w:suppressLineNumbers/>
        <w:ind w:hanging="720"/>
      </w:pPr>
      <w:r>
        <w:lastRenderedPageBreak/>
        <w:t xml:space="preserve">[43] N. V. Chawla, K. W. Bowyer, L. O. Hall, and W. P. Kegelmeyer. 2002. SMOTE: Synthetic minority over-sampling technique. Journal of Artificial Intelligence Research 16 (2002), 321-357. </w:t>
      </w:r>
      <w:hyperlink r:id="rId61" w:history="1">
        <w:r>
          <w:rPr>
            <w:rStyle w:val="Hyperlink"/>
          </w:rPr>
          <w:t>https://doi.org/10.1613/jair.953</w:t>
        </w:r>
      </w:hyperlink>
    </w:p>
    <w:p w14:paraId="7039CC81" w14:textId="5E82DDA8" w:rsidR="00FB6519" w:rsidRDefault="00750A62" w:rsidP="00FB6519">
      <w:pPr>
        <w:suppressLineNumbers/>
        <w:ind w:hanging="720"/>
      </w:pPr>
      <w:r>
        <w:t xml:space="preserve">[44] H. Han, W.-Y. Wang, and B.-H. Mao. 2005. Borderline-SMOTE: A new over-sampling method in imbalanced data sets learning. In Advances in Intelligent Computing (ICIC 2005), Lecture Notes in Computer Science 3644, 878-887. Springer. </w:t>
      </w:r>
      <w:hyperlink r:id="rId62" w:history="1">
        <w:r>
          <w:rPr>
            <w:rStyle w:val="Hyperlink"/>
          </w:rPr>
          <w:t>https://doi.org/10.1007/11538059_91</w:t>
        </w:r>
      </w:hyperlink>
    </w:p>
    <w:p w14:paraId="6C8B392E" w14:textId="55266904" w:rsidR="00FB6519" w:rsidRDefault="00750A62" w:rsidP="00FB6519">
      <w:pPr>
        <w:suppressLineNumbers/>
        <w:ind w:hanging="720"/>
      </w:pPr>
      <w:r>
        <w:t xml:space="preserve">[45] G. E. A. P. A. Batista, R. C. Prati, and M. C. Monard. 2004. A study of the behavior of several methods for balancing machine learning training data. ACM SIGKDD Explorations Newsletter 6, 1 (2004), 20-29. </w:t>
      </w:r>
      <w:hyperlink r:id="rId63" w:history="1">
        <w:r>
          <w:rPr>
            <w:rStyle w:val="Hyperlink"/>
          </w:rPr>
          <w:t>https://doi.org/10.1145/1007730.1007735</w:t>
        </w:r>
      </w:hyperlink>
    </w:p>
    <w:p w14:paraId="16D4B220" w14:textId="7AF9AF94" w:rsidR="00FB6519" w:rsidRDefault="00750A62" w:rsidP="00FB6519">
      <w:pPr>
        <w:suppressLineNumbers/>
        <w:ind w:hanging="720"/>
      </w:pPr>
      <w:r>
        <w:t xml:space="preserve">[46] H. He and E. A. Garcia. 2009. Learning from imbalanced data. IEEE Transactions on Knowledge and Data Engineering 21, 9 (2009), 1263-1284. </w:t>
      </w:r>
      <w:hyperlink r:id="rId64" w:history="1">
        <w:r>
          <w:rPr>
            <w:rStyle w:val="Hyperlink"/>
          </w:rPr>
          <w:t>https://doi.org/10.1109/TKDE.2008.239</w:t>
        </w:r>
      </w:hyperlink>
    </w:p>
    <w:p w14:paraId="22D36910" w14:textId="5A415131" w:rsidR="00856161" w:rsidRDefault="00750A62" w:rsidP="00FB6519">
      <w:pPr>
        <w:suppressLineNumbers/>
        <w:ind w:hanging="720"/>
      </w:pPr>
      <w:r>
        <w:t>[47] Republic of the Philippines. 2012. Republic Act No. 10173: Data Privacy Act of 2012. Official Gazette of the Republic of the Philippines.</w:t>
      </w:r>
    </w:p>
    <w:sectPr w:rsidR="00856161" w:rsidSect="002A08AD">
      <w:endnotePr>
        <w:numFmt w:val="decimal"/>
      </w:endnotePr>
      <w:pgSz w:w="12240" w:h="15840"/>
      <w:pgMar w:top="1440" w:right="1440" w:bottom="1440" w:left="2160" w:header="720" w:footer="720" w:gutter="0"/>
      <w:lnNumType w:countBy="1" w:restart="continuou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E2920C" w14:textId="77777777" w:rsidR="003B561C" w:rsidRDefault="003B561C" w:rsidP="0084570F">
      <w:r>
        <w:separator/>
      </w:r>
    </w:p>
  </w:endnote>
  <w:endnote w:type="continuationSeparator" w:id="0">
    <w:p w14:paraId="2F1FDC8F" w14:textId="77777777" w:rsidR="003B561C" w:rsidRDefault="003B561C" w:rsidP="0084570F">
      <w:r>
        <w:continuationSeparator/>
      </w:r>
    </w:p>
  </w:endnote>
  <w:endnote w:type="continuationNotice" w:id="1">
    <w:p w14:paraId="363F8211" w14:textId="77777777" w:rsidR="003B561C" w:rsidRDefault="003B561C" w:rsidP="008457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ヒラギノ角ゴ Pro W3">
    <w:altName w:val="MS Mincho"/>
    <w:charset w:val="80"/>
    <w:family w:val="auto"/>
    <w:pitch w:val="variable"/>
    <w:sig w:usb0="00000000" w:usb1="00000000" w:usb2="01000407"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18546019"/>
      <w:docPartObj>
        <w:docPartGallery w:val="Page Numbers (Bottom of Page)"/>
        <w:docPartUnique/>
      </w:docPartObj>
    </w:sdtPr>
    <w:sdtEndPr>
      <w:rPr>
        <w:noProof/>
      </w:rPr>
    </w:sdtEndPr>
    <w:sdtContent>
      <w:p w14:paraId="7FAB72A2" w14:textId="77777777" w:rsidR="00976ECF" w:rsidRDefault="00976ECF" w:rsidP="0084570F">
        <w:pPr>
          <w:pStyle w:val="Footer"/>
        </w:pPr>
        <w:r>
          <w:fldChar w:fldCharType="begin"/>
        </w:r>
        <w:r>
          <w:instrText xml:space="preserve"> PAGE   \* MERGEFORMAT </w:instrText>
        </w:r>
        <w:r>
          <w:fldChar w:fldCharType="separate"/>
        </w:r>
        <w:r>
          <w:rPr>
            <w:noProof/>
          </w:rPr>
          <w:t>vi</w:t>
        </w:r>
        <w:r>
          <w:rPr>
            <w:noProof/>
          </w:rPr>
          <w:fldChar w:fldCharType="end"/>
        </w:r>
      </w:p>
    </w:sdtContent>
  </w:sdt>
  <w:p w14:paraId="6F59BDB7" w14:textId="77777777" w:rsidR="00976ECF" w:rsidRDefault="00976ECF" w:rsidP="008457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BDA25C" w14:textId="77777777" w:rsidR="0083039C" w:rsidRDefault="0083039C" w:rsidP="0084570F">
    <w:pPr>
      <w:pStyle w:val="Footer"/>
    </w:pPr>
  </w:p>
  <w:p w14:paraId="570A6415" w14:textId="77777777" w:rsidR="0083039C" w:rsidRDefault="0083039C" w:rsidP="008457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14F78" w14:textId="542361E7" w:rsidR="0083039C" w:rsidRDefault="0083039C" w:rsidP="00424A41">
    <w:pPr>
      <w:pStyle w:val="Footer"/>
    </w:pPr>
  </w:p>
  <w:p w14:paraId="1E327FE5" w14:textId="77777777" w:rsidR="0083039C" w:rsidRDefault="0083039C" w:rsidP="00845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527111" w14:textId="77777777" w:rsidR="003B561C" w:rsidRDefault="003B561C" w:rsidP="0084570F">
      <w:r>
        <w:separator/>
      </w:r>
    </w:p>
  </w:footnote>
  <w:footnote w:type="continuationSeparator" w:id="0">
    <w:p w14:paraId="2ECC5656" w14:textId="77777777" w:rsidR="003B561C" w:rsidRDefault="003B561C" w:rsidP="0084570F">
      <w:r>
        <w:continuationSeparator/>
      </w:r>
    </w:p>
  </w:footnote>
  <w:footnote w:type="continuationNotice" w:id="1">
    <w:p w14:paraId="09CCA1A6" w14:textId="77777777" w:rsidR="003B561C" w:rsidRDefault="003B561C" w:rsidP="008457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93563935"/>
      <w:docPartObj>
        <w:docPartGallery w:val="Page Numbers (Top of Page)"/>
        <w:docPartUnique/>
      </w:docPartObj>
    </w:sdtPr>
    <w:sdtEndPr>
      <w:rPr>
        <w:noProof/>
      </w:rPr>
    </w:sdtEndPr>
    <w:sdtContent>
      <w:p w14:paraId="26E5CE77" w14:textId="77777777" w:rsidR="0083039C" w:rsidRDefault="0083039C" w:rsidP="00A248F2">
        <w:pPr>
          <w:pStyle w:val="Header"/>
          <w:jc w:val="right"/>
        </w:pPr>
        <w:r>
          <w:fldChar w:fldCharType="begin"/>
        </w:r>
        <w:r>
          <w:instrText xml:space="preserve"> PAGE   \* MERGEFORMAT </w:instrText>
        </w:r>
        <w:r>
          <w:fldChar w:fldCharType="separate"/>
        </w:r>
        <w:r>
          <w:rPr>
            <w:noProof/>
          </w:rPr>
          <w:t>4</w:t>
        </w:r>
        <w:r>
          <w:rPr>
            <w:noProof/>
          </w:rPr>
          <w:fldChar w:fldCharType="end"/>
        </w:r>
      </w:p>
    </w:sdtContent>
  </w:sdt>
  <w:p w14:paraId="592E7303" w14:textId="77777777" w:rsidR="0083039C" w:rsidRPr="001A5473" w:rsidRDefault="0083039C" w:rsidP="0084570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7276575"/>
      <w:docPartObj>
        <w:docPartGallery w:val="Page Numbers (Top of Page)"/>
        <w:docPartUnique/>
      </w:docPartObj>
    </w:sdtPr>
    <w:sdtEndPr>
      <w:rPr>
        <w:noProof/>
      </w:rPr>
    </w:sdtEndPr>
    <w:sdtContent>
      <w:p w14:paraId="15FCEC14" w14:textId="70358A11" w:rsidR="00424A41" w:rsidRDefault="00424A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94DC1C7" w14:textId="77777777" w:rsidR="0083039C" w:rsidRDefault="0083039C" w:rsidP="0084570F">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CC2F5F"/>
    <w:multiLevelType w:val="hybridMultilevel"/>
    <w:tmpl w:val="71CAD1D4"/>
    <w:lvl w:ilvl="0" w:tplc="34090015">
      <w:start w:val="1"/>
      <w:numFmt w:val="upp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C52DA0"/>
    <w:multiLevelType w:val="multilevel"/>
    <w:tmpl w:val="0409001F"/>
    <w:styleLink w:val="Style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5446E2D"/>
    <w:multiLevelType w:val="hybridMultilevel"/>
    <w:tmpl w:val="FFFFFFFF"/>
    <w:lvl w:ilvl="0" w:tplc="18E68608">
      <w:start w:val="1"/>
      <w:numFmt w:val="bullet"/>
      <w:lvlText w:val=""/>
      <w:lvlJc w:val="left"/>
      <w:pPr>
        <w:ind w:left="1080" w:hanging="360"/>
      </w:pPr>
      <w:rPr>
        <w:rFonts w:ascii="Symbol" w:hAnsi="Symbol" w:hint="default"/>
      </w:rPr>
    </w:lvl>
    <w:lvl w:ilvl="1" w:tplc="6B24D5E6">
      <w:start w:val="1"/>
      <w:numFmt w:val="bullet"/>
      <w:lvlText w:val="o"/>
      <w:lvlJc w:val="left"/>
      <w:pPr>
        <w:ind w:left="1800" w:hanging="360"/>
      </w:pPr>
      <w:rPr>
        <w:rFonts w:ascii="Courier New" w:hAnsi="Courier New" w:hint="default"/>
      </w:rPr>
    </w:lvl>
    <w:lvl w:ilvl="2" w:tplc="56149F2E">
      <w:start w:val="1"/>
      <w:numFmt w:val="bullet"/>
      <w:lvlText w:val=""/>
      <w:lvlJc w:val="left"/>
      <w:pPr>
        <w:ind w:left="2520" w:hanging="360"/>
      </w:pPr>
      <w:rPr>
        <w:rFonts w:ascii="Wingdings" w:hAnsi="Wingdings" w:hint="default"/>
      </w:rPr>
    </w:lvl>
    <w:lvl w:ilvl="3" w:tplc="26ECB52E">
      <w:start w:val="1"/>
      <w:numFmt w:val="bullet"/>
      <w:lvlText w:val=""/>
      <w:lvlJc w:val="left"/>
      <w:pPr>
        <w:ind w:left="3240" w:hanging="360"/>
      </w:pPr>
      <w:rPr>
        <w:rFonts w:ascii="Symbol" w:hAnsi="Symbol" w:hint="default"/>
      </w:rPr>
    </w:lvl>
    <w:lvl w:ilvl="4" w:tplc="287097BE">
      <w:start w:val="1"/>
      <w:numFmt w:val="bullet"/>
      <w:lvlText w:val="o"/>
      <w:lvlJc w:val="left"/>
      <w:pPr>
        <w:ind w:left="3960" w:hanging="360"/>
      </w:pPr>
      <w:rPr>
        <w:rFonts w:ascii="Courier New" w:hAnsi="Courier New" w:hint="default"/>
      </w:rPr>
    </w:lvl>
    <w:lvl w:ilvl="5" w:tplc="009A734E">
      <w:start w:val="1"/>
      <w:numFmt w:val="bullet"/>
      <w:lvlText w:val=""/>
      <w:lvlJc w:val="left"/>
      <w:pPr>
        <w:ind w:left="4680" w:hanging="360"/>
      </w:pPr>
      <w:rPr>
        <w:rFonts w:ascii="Wingdings" w:hAnsi="Wingdings" w:hint="default"/>
      </w:rPr>
    </w:lvl>
    <w:lvl w:ilvl="6" w:tplc="DAC0965A">
      <w:start w:val="1"/>
      <w:numFmt w:val="bullet"/>
      <w:lvlText w:val=""/>
      <w:lvlJc w:val="left"/>
      <w:pPr>
        <w:ind w:left="5400" w:hanging="360"/>
      </w:pPr>
      <w:rPr>
        <w:rFonts w:ascii="Symbol" w:hAnsi="Symbol" w:hint="default"/>
      </w:rPr>
    </w:lvl>
    <w:lvl w:ilvl="7" w:tplc="776835C8">
      <w:start w:val="1"/>
      <w:numFmt w:val="bullet"/>
      <w:lvlText w:val="o"/>
      <w:lvlJc w:val="left"/>
      <w:pPr>
        <w:ind w:left="6120" w:hanging="360"/>
      </w:pPr>
      <w:rPr>
        <w:rFonts w:ascii="Courier New" w:hAnsi="Courier New" w:hint="default"/>
      </w:rPr>
    </w:lvl>
    <w:lvl w:ilvl="8" w:tplc="BD668F0E">
      <w:start w:val="1"/>
      <w:numFmt w:val="bullet"/>
      <w:lvlText w:val=""/>
      <w:lvlJc w:val="left"/>
      <w:pPr>
        <w:ind w:left="6840" w:hanging="360"/>
      </w:pPr>
      <w:rPr>
        <w:rFonts w:ascii="Wingdings" w:hAnsi="Wingdings" w:hint="default"/>
      </w:rPr>
    </w:lvl>
  </w:abstractNum>
  <w:abstractNum w:abstractNumId="3" w15:restartNumberingAfterBreak="0">
    <w:nsid w:val="05973059"/>
    <w:multiLevelType w:val="multilevel"/>
    <w:tmpl w:val="1D42BF9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C95628"/>
    <w:multiLevelType w:val="multilevel"/>
    <w:tmpl w:val="EA10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C02122"/>
    <w:multiLevelType w:val="hybridMultilevel"/>
    <w:tmpl w:val="796A386C"/>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6" w15:restartNumberingAfterBreak="0">
    <w:nsid w:val="1B814FBC"/>
    <w:multiLevelType w:val="hybridMultilevel"/>
    <w:tmpl w:val="2F52B7A8"/>
    <w:lvl w:ilvl="0" w:tplc="1FD245DE">
      <w:start w:val="1"/>
      <w:numFmt w:val="decimal"/>
      <w:pStyle w:val="ThesisNumberedList"/>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3583F"/>
    <w:multiLevelType w:val="multilevel"/>
    <w:tmpl w:val="F2DEBF4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24F0D7F"/>
    <w:multiLevelType w:val="hybridMultilevel"/>
    <w:tmpl w:val="1B1C8C02"/>
    <w:lvl w:ilvl="0" w:tplc="A0F691D2">
      <w:start w:val="1"/>
      <w:numFmt w:val="bullet"/>
      <w:lvlText w:val=""/>
      <w:lvlJc w:val="left"/>
      <w:pPr>
        <w:ind w:left="1080" w:hanging="360"/>
      </w:pPr>
      <w:rPr>
        <w:rFonts w:ascii="Symbol" w:hAnsi="Symbol" w:hint="default"/>
      </w:rPr>
    </w:lvl>
    <w:lvl w:ilvl="1" w:tplc="99E8F7CA">
      <w:start w:val="1"/>
      <w:numFmt w:val="bullet"/>
      <w:lvlText w:val="o"/>
      <w:lvlJc w:val="left"/>
      <w:pPr>
        <w:ind w:left="1800" w:hanging="360"/>
      </w:pPr>
      <w:rPr>
        <w:rFonts w:ascii="Courier New" w:hAnsi="Courier New" w:hint="default"/>
      </w:rPr>
    </w:lvl>
    <w:lvl w:ilvl="2" w:tplc="A79A7114">
      <w:start w:val="1"/>
      <w:numFmt w:val="bullet"/>
      <w:lvlText w:val=""/>
      <w:lvlJc w:val="left"/>
      <w:pPr>
        <w:ind w:left="2520" w:hanging="360"/>
      </w:pPr>
      <w:rPr>
        <w:rFonts w:ascii="Wingdings" w:hAnsi="Wingdings" w:hint="default"/>
      </w:rPr>
    </w:lvl>
    <w:lvl w:ilvl="3" w:tplc="699AD4F6">
      <w:start w:val="1"/>
      <w:numFmt w:val="bullet"/>
      <w:lvlText w:val=""/>
      <w:lvlJc w:val="left"/>
      <w:pPr>
        <w:ind w:left="3240" w:hanging="360"/>
      </w:pPr>
      <w:rPr>
        <w:rFonts w:ascii="Symbol" w:hAnsi="Symbol" w:hint="default"/>
      </w:rPr>
    </w:lvl>
    <w:lvl w:ilvl="4" w:tplc="8A4AA274">
      <w:start w:val="1"/>
      <w:numFmt w:val="bullet"/>
      <w:lvlText w:val="o"/>
      <w:lvlJc w:val="left"/>
      <w:pPr>
        <w:ind w:left="3960" w:hanging="360"/>
      </w:pPr>
      <w:rPr>
        <w:rFonts w:ascii="Courier New" w:hAnsi="Courier New" w:hint="default"/>
      </w:rPr>
    </w:lvl>
    <w:lvl w:ilvl="5" w:tplc="DBDC26DE">
      <w:start w:val="1"/>
      <w:numFmt w:val="bullet"/>
      <w:lvlText w:val=""/>
      <w:lvlJc w:val="left"/>
      <w:pPr>
        <w:ind w:left="4680" w:hanging="360"/>
      </w:pPr>
      <w:rPr>
        <w:rFonts w:ascii="Wingdings" w:hAnsi="Wingdings" w:hint="default"/>
      </w:rPr>
    </w:lvl>
    <w:lvl w:ilvl="6" w:tplc="9F248EE8">
      <w:start w:val="1"/>
      <w:numFmt w:val="bullet"/>
      <w:lvlText w:val=""/>
      <w:lvlJc w:val="left"/>
      <w:pPr>
        <w:ind w:left="5400" w:hanging="360"/>
      </w:pPr>
      <w:rPr>
        <w:rFonts w:ascii="Symbol" w:hAnsi="Symbol" w:hint="default"/>
      </w:rPr>
    </w:lvl>
    <w:lvl w:ilvl="7" w:tplc="C6E2607C">
      <w:start w:val="1"/>
      <w:numFmt w:val="bullet"/>
      <w:lvlText w:val="o"/>
      <w:lvlJc w:val="left"/>
      <w:pPr>
        <w:ind w:left="6120" w:hanging="360"/>
      </w:pPr>
      <w:rPr>
        <w:rFonts w:ascii="Courier New" w:hAnsi="Courier New" w:hint="default"/>
      </w:rPr>
    </w:lvl>
    <w:lvl w:ilvl="8" w:tplc="F3EAF106">
      <w:start w:val="1"/>
      <w:numFmt w:val="bullet"/>
      <w:lvlText w:val=""/>
      <w:lvlJc w:val="left"/>
      <w:pPr>
        <w:ind w:left="6840" w:hanging="360"/>
      </w:pPr>
      <w:rPr>
        <w:rFonts w:ascii="Wingdings" w:hAnsi="Wingdings" w:hint="default"/>
      </w:rPr>
    </w:lvl>
  </w:abstractNum>
  <w:abstractNum w:abstractNumId="9" w15:restartNumberingAfterBreak="0">
    <w:nsid w:val="267917F2"/>
    <w:multiLevelType w:val="hybridMultilevel"/>
    <w:tmpl w:val="1C3213B8"/>
    <w:lvl w:ilvl="0" w:tplc="A5E611E6">
      <w:numFmt w:val="bullet"/>
      <w:lvlText w:val="-"/>
      <w:lvlJc w:val="left"/>
      <w:pPr>
        <w:ind w:left="540" w:hanging="360"/>
      </w:pPr>
      <w:rPr>
        <w:rFonts w:ascii="Times New Roman" w:eastAsia="Calibr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2CE2EBCF"/>
    <w:multiLevelType w:val="hybridMultilevel"/>
    <w:tmpl w:val="5E00BDEE"/>
    <w:lvl w:ilvl="0" w:tplc="0A5A7F2A">
      <w:start w:val="1"/>
      <w:numFmt w:val="decimal"/>
      <w:lvlText w:val="%1."/>
      <w:lvlJc w:val="left"/>
      <w:pPr>
        <w:ind w:left="990" w:hanging="360"/>
      </w:pPr>
    </w:lvl>
    <w:lvl w:ilvl="1" w:tplc="F1388C08">
      <w:start w:val="1"/>
      <w:numFmt w:val="lowerLetter"/>
      <w:lvlText w:val="%2."/>
      <w:lvlJc w:val="left"/>
      <w:pPr>
        <w:ind w:left="1710" w:hanging="360"/>
      </w:pPr>
    </w:lvl>
    <w:lvl w:ilvl="2" w:tplc="9BF0B35C">
      <w:start w:val="1"/>
      <w:numFmt w:val="lowerRoman"/>
      <w:lvlText w:val="%3."/>
      <w:lvlJc w:val="right"/>
      <w:pPr>
        <w:ind w:left="2430" w:hanging="180"/>
      </w:pPr>
    </w:lvl>
    <w:lvl w:ilvl="3" w:tplc="5140751A">
      <w:start w:val="1"/>
      <w:numFmt w:val="decimal"/>
      <w:lvlText w:val="%4."/>
      <w:lvlJc w:val="left"/>
      <w:pPr>
        <w:ind w:left="3150" w:hanging="360"/>
      </w:pPr>
    </w:lvl>
    <w:lvl w:ilvl="4" w:tplc="CE1A48DE">
      <w:start w:val="1"/>
      <w:numFmt w:val="lowerLetter"/>
      <w:lvlText w:val="%5."/>
      <w:lvlJc w:val="left"/>
      <w:pPr>
        <w:ind w:left="3870" w:hanging="360"/>
      </w:pPr>
    </w:lvl>
    <w:lvl w:ilvl="5" w:tplc="E892CFB8">
      <w:start w:val="1"/>
      <w:numFmt w:val="lowerRoman"/>
      <w:lvlText w:val="%6."/>
      <w:lvlJc w:val="right"/>
      <w:pPr>
        <w:ind w:left="4590" w:hanging="180"/>
      </w:pPr>
    </w:lvl>
    <w:lvl w:ilvl="6" w:tplc="3DEE62AA">
      <w:start w:val="1"/>
      <w:numFmt w:val="decimal"/>
      <w:lvlText w:val="%7."/>
      <w:lvlJc w:val="left"/>
      <w:pPr>
        <w:ind w:left="5310" w:hanging="360"/>
      </w:pPr>
    </w:lvl>
    <w:lvl w:ilvl="7" w:tplc="B192D1B2">
      <w:start w:val="1"/>
      <w:numFmt w:val="lowerLetter"/>
      <w:lvlText w:val="%8."/>
      <w:lvlJc w:val="left"/>
      <w:pPr>
        <w:ind w:left="6030" w:hanging="360"/>
      </w:pPr>
    </w:lvl>
    <w:lvl w:ilvl="8" w:tplc="5AA84D38">
      <w:start w:val="1"/>
      <w:numFmt w:val="lowerRoman"/>
      <w:lvlText w:val="%9."/>
      <w:lvlJc w:val="right"/>
      <w:pPr>
        <w:ind w:left="6750" w:hanging="180"/>
      </w:pPr>
    </w:lvl>
  </w:abstractNum>
  <w:abstractNum w:abstractNumId="11" w15:restartNumberingAfterBreak="0">
    <w:nsid w:val="367447F0"/>
    <w:multiLevelType w:val="multilevel"/>
    <w:tmpl w:val="27D4695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D673F6"/>
    <w:multiLevelType w:val="hybridMultilevel"/>
    <w:tmpl w:val="D0D4D78E"/>
    <w:lvl w:ilvl="0" w:tplc="15D01886">
      <w:start w:val="1"/>
      <w:numFmt w:val="decimal"/>
      <w:lvlText w:val="%1."/>
      <w:lvlJc w:val="left"/>
      <w:pPr>
        <w:ind w:left="720" w:hanging="360"/>
      </w:pPr>
    </w:lvl>
    <w:lvl w:ilvl="1" w:tplc="1C207734">
      <w:start w:val="1"/>
      <w:numFmt w:val="lowerLetter"/>
      <w:lvlText w:val="%2."/>
      <w:lvlJc w:val="left"/>
      <w:pPr>
        <w:ind w:left="1440" w:hanging="360"/>
      </w:pPr>
    </w:lvl>
    <w:lvl w:ilvl="2" w:tplc="72280AAE">
      <w:start w:val="1"/>
      <w:numFmt w:val="lowerRoman"/>
      <w:lvlText w:val="%3."/>
      <w:lvlJc w:val="right"/>
      <w:pPr>
        <w:ind w:left="2160" w:hanging="180"/>
      </w:pPr>
    </w:lvl>
    <w:lvl w:ilvl="3" w:tplc="104484C4">
      <w:start w:val="1"/>
      <w:numFmt w:val="decimal"/>
      <w:lvlText w:val="%4."/>
      <w:lvlJc w:val="left"/>
      <w:pPr>
        <w:ind w:left="2880" w:hanging="360"/>
      </w:pPr>
    </w:lvl>
    <w:lvl w:ilvl="4" w:tplc="EB34BC4C">
      <w:start w:val="1"/>
      <w:numFmt w:val="lowerLetter"/>
      <w:lvlText w:val="%5."/>
      <w:lvlJc w:val="left"/>
      <w:pPr>
        <w:ind w:left="3600" w:hanging="360"/>
      </w:pPr>
    </w:lvl>
    <w:lvl w:ilvl="5" w:tplc="42D8E582">
      <w:start w:val="1"/>
      <w:numFmt w:val="lowerRoman"/>
      <w:lvlText w:val="%6."/>
      <w:lvlJc w:val="right"/>
      <w:pPr>
        <w:ind w:left="4320" w:hanging="180"/>
      </w:pPr>
    </w:lvl>
    <w:lvl w:ilvl="6" w:tplc="6DB66020">
      <w:start w:val="1"/>
      <w:numFmt w:val="decimal"/>
      <w:lvlText w:val="%7."/>
      <w:lvlJc w:val="left"/>
      <w:pPr>
        <w:ind w:left="5040" w:hanging="360"/>
      </w:pPr>
    </w:lvl>
    <w:lvl w:ilvl="7" w:tplc="2A44001A">
      <w:start w:val="1"/>
      <w:numFmt w:val="lowerLetter"/>
      <w:lvlText w:val="%8."/>
      <w:lvlJc w:val="left"/>
      <w:pPr>
        <w:ind w:left="5760" w:hanging="360"/>
      </w:pPr>
    </w:lvl>
    <w:lvl w:ilvl="8" w:tplc="3AD0916A">
      <w:start w:val="1"/>
      <w:numFmt w:val="lowerRoman"/>
      <w:lvlText w:val="%9."/>
      <w:lvlJc w:val="right"/>
      <w:pPr>
        <w:ind w:left="6480" w:hanging="180"/>
      </w:pPr>
    </w:lvl>
  </w:abstractNum>
  <w:abstractNum w:abstractNumId="13" w15:restartNumberingAfterBreak="0">
    <w:nsid w:val="39FE9972"/>
    <w:multiLevelType w:val="hybridMultilevel"/>
    <w:tmpl w:val="FFFFFFFF"/>
    <w:lvl w:ilvl="0" w:tplc="29D64482">
      <w:start w:val="1"/>
      <w:numFmt w:val="bullet"/>
      <w:lvlText w:val=""/>
      <w:lvlJc w:val="left"/>
      <w:pPr>
        <w:ind w:left="720" w:hanging="360"/>
      </w:pPr>
      <w:rPr>
        <w:rFonts w:ascii="Symbol" w:hAnsi="Symbol" w:hint="default"/>
      </w:rPr>
    </w:lvl>
    <w:lvl w:ilvl="1" w:tplc="8B0E05C2">
      <w:start w:val="1"/>
      <w:numFmt w:val="bullet"/>
      <w:lvlText w:val="o"/>
      <w:lvlJc w:val="left"/>
      <w:pPr>
        <w:ind w:left="1440" w:hanging="360"/>
      </w:pPr>
      <w:rPr>
        <w:rFonts w:ascii="Courier New" w:hAnsi="Courier New" w:hint="default"/>
      </w:rPr>
    </w:lvl>
    <w:lvl w:ilvl="2" w:tplc="2592DBA0">
      <w:start w:val="1"/>
      <w:numFmt w:val="bullet"/>
      <w:lvlText w:val=""/>
      <w:lvlJc w:val="left"/>
      <w:pPr>
        <w:ind w:left="2160" w:hanging="360"/>
      </w:pPr>
      <w:rPr>
        <w:rFonts w:ascii="Wingdings" w:hAnsi="Wingdings" w:hint="default"/>
      </w:rPr>
    </w:lvl>
    <w:lvl w:ilvl="3" w:tplc="422E2998">
      <w:start w:val="1"/>
      <w:numFmt w:val="bullet"/>
      <w:lvlText w:val=""/>
      <w:lvlJc w:val="left"/>
      <w:pPr>
        <w:ind w:left="2880" w:hanging="360"/>
      </w:pPr>
      <w:rPr>
        <w:rFonts w:ascii="Symbol" w:hAnsi="Symbol" w:hint="default"/>
      </w:rPr>
    </w:lvl>
    <w:lvl w:ilvl="4" w:tplc="1CCAC62A">
      <w:start w:val="1"/>
      <w:numFmt w:val="bullet"/>
      <w:lvlText w:val="o"/>
      <w:lvlJc w:val="left"/>
      <w:pPr>
        <w:ind w:left="3600" w:hanging="360"/>
      </w:pPr>
      <w:rPr>
        <w:rFonts w:ascii="Courier New" w:hAnsi="Courier New" w:hint="default"/>
      </w:rPr>
    </w:lvl>
    <w:lvl w:ilvl="5" w:tplc="DE7E1480">
      <w:start w:val="1"/>
      <w:numFmt w:val="bullet"/>
      <w:lvlText w:val=""/>
      <w:lvlJc w:val="left"/>
      <w:pPr>
        <w:ind w:left="4320" w:hanging="360"/>
      </w:pPr>
      <w:rPr>
        <w:rFonts w:ascii="Wingdings" w:hAnsi="Wingdings" w:hint="default"/>
      </w:rPr>
    </w:lvl>
    <w:lvl w:ilvl="6" w:tplc="F5C0864A">
      <w:start w:val="1"/>
      <w:numFmt w:val="bullet"/>
      <w:lvlText w:val=""/>
      <w:lvlJc w:val="left"/>
      <w:pPr>
        <w:ind w:left="5040" w:hanging="360"/>
      </w:pPr>
      <w:rPr>
        <w:rFonts w:ascii="Symbol" w:hAnsi="Symbol" w:hint="default"/>
      </w:rPr>
    </w:lvl>
    <w:lvl w:ilvl="7" w:tplc="2682BCA0">
      <w:start w:val="1"/>
      <w:numFmt w:val="bullet"/>
      <w:lvlText w:val="o"/>
      <w:lvlJc w:val="left"/>
      <w:pPr>
        <w:ind w:left="5760" w:hanging="360"/>
      </w:pPr>
      <w:rPr>
        <w:rFonts w:ascii="Courier New" w:hAnsi="Courier New" w:hint="default"/>
      </w:rPr>
    </w:lvl>
    <w:lvl w:ilvl="8" w:tplc="FFB67532">
      <w:start w:val="1"/>
      <w:numFmt w:val="bullet"/>
      <w:lvlText w:val=""/>
      <w:lvlJc w:val="left"/>
      <w:pPr>
        <w:ind w:left="6480" w:hanging="360"/>
      </w:pPr>
      <w:rPr>
        <w:rFonts w:ascii="Wingdings" w:hAnsi="Wingdings" w:hint="default"/>
      </w:rPr>
    </w:lvl>
  </w:abstractNum>
  <w:abstractNum w:abstractNumId="14" w15:restartNumberingAfterBreak="0">
    <w:nsid w:val="4392D35F"/>
    <w:multiLevelType w:val="hybridMultilevel"/>
    <w:tmpl w:val="5A68A0F4"/>
    <w:lvl w:ilvl="0" w:tplc="44DE7BA6">
      <w:start w:val="1"/>
      <w:numFmt w:val="bullet"/>
      <w:lvlText w:val=""/>
      <w:lvlJc w:val="left"/>
      <w:pPr>
        <w:ind w:left="1620" w:hanging="360"/>
      </w:pPr>
      <w:rPr>
        <w:rFonts w:ascii="Symbol" w:hAnsi="Symbol" w:hint="default"/>
      </w:rPr>
    </w:lvl>
    <w:lvl w:ilvl="1" w:tplc="22B85FB0">
      <w:start w:val="1"/>
      <w:numFmt w:val="bullet"/>
      <w:lvlText w:val="o"/>
      <w:lvlJc w:val="left"/>
      <w:pPr>
        <w:ind w:left="2340" w:hanging="360"/>
      </w:pPr>
      <w:rPr>
        <w:rFonts w:ascii="Courier New" w:hAnsi="Courier New" w:hint="default"/>
      </w:rPr>
    </w:lvl>
    <w:lvl w:ilvl="2" w:tplc="58F8833C">
      <w:start w:val="1"/>
      <w:numFmt w:val="bullet"/>
      <w:lvlText w:val=""/>
      <w:lvlJc w:val="left"/>
      <w:pPr>
        <w:ind w:left="3060" w:hanging="360"/>
      </w:pPr>
      <w:rPr>
        <w:rFonts w:ascii="Wingdings" w:hAnsi="Wingdings" w:hint="default"/>
      </w:rPr>
    </w:lvl>
    <w:lvl w:ilvl="3" w:tplc="3A227B7C">
      <w:start w:val="1"/>
      <w:numFmt w:val="bullet"/>
      <w:lvlText w:val=""/>
      <w:lvlJc w:val="left"/>
      <w:pPr>
        <w:ind w:left="3780" w:hanging="360"/>
      </w:pPr>
      <w:rPr>
        <w:rFonts w:ascii="Symbol" w:hAnsi="Symbol" w:hint="default"/>
      </w:rPr>
    </w:lvl>
    <w:lvl w:ilvl="4" w:tplc="ACA82E5E">
      <w:start w:val="1"/>
      <w:numFmt w:val="bullet"/>
      <w:lvlText w:val="o"/>
      <w:lvlJc w:val="left"/>
      <w:pPr>
        <w:ind w:left="4500" w:hanging="360"/>
      </w:pPr>
      <w:rPr>
        <w:rFonts w:ascii="Courier New" w:hAnsi="Courier New" w:hint="default"/>
      </w:rPr>
    </w:lvl>
    <w:lvl w:ilvl="5" w:tplc="209C4128">
      <w:start w:val="1"/>
      <w:numFmt w:val="bullet"/>
      <w:lvlText w:val=""/>
      <w:lvlJc w:val="left"/>
      <w:pPr>
        <w:ind w:left="5220" w:hanging="360"/>
      </w:pPr>
      <w:rPr>
        <w:rFonts w:ascii="Wingdings" w:hAnsi="Wingdings" w:hint="default"/>
      </w:rPr>
    </w:lvl>
    <w:lvl w:ilvl="6" w:tplc="2124E316">
      <w:start w:val="1"/>
      <w:numFmt w:val="bullet"/>
      <w:lvlText w:val=""/>
      <w:lvlJc w:val="left"/>
      <w:pPr>
        <w:ind w:left="5940" w:hanging="360"/>
      </w:pPr>
      <w:rPr>
        <w:rFonts w:ascii="Symbol" w:hAnsi="Symbol" w:hint="default"/>
      </w:rPr>
    </w:lvl>
    <w:lvl w:ilvl="7" w:tplc="4D5C2868">
      <w:start w:val="1"/>
      <w:numFmt w:val="bullet"/>
      <w:lvlText w:val="o"/>
      <w:lvlJc w:val="left"/>
      <w:pPr>
        <w:ind w:left="6660" w:hanging="360"/>
      </w:pPr>
      <w:rPr>
        <w:rFonts w:ascii="Courier New" w:hAnsi="Courier New" w:hint="default"/>
      </w:rPr>
    </w:lvl>
    <w:lvl w:ilvl="8" w:tplc="6CD47E2E">
      <w:start w:val="1"/>
      <w:numFmt w:val="bullet"/>
      <w:lvlText w:val=""/>
      <w:lvlJc w:val="left"/>
      <w:pPr>
        <w:ind w:left="7380" w:hanging="360"/>
      </w:pPr>
      <w:rPr>
        <w:rFonts w:ascii="Wingdings" w:hAnsi="Wingdings" w:hint="default"/>
      </w:rPr>
    </w:lvl>
  </w:abstractNum>
  <w:abstractNum w:abstractNumId="15" w15:restartNumberingAfterBreak="0">
    <w:nsid w:val="48E89B47"/>
    <w:multiLevelType w:val="hybridMultilevel"/>
    <w:tmpl w:val="1C10DC70"/>
    <w:lvl w:ilvl="0" w:tplc="6FC2096E">
      <w:start w:val="1"/>
      <w:numFmt w:val="decimal"/>
      <w:lvlText w:val="%1."/>
      <w:lvlJc w:val="left"/>
      <w:pPr>
        <w:ind w:left="720" w:hanging="360"/>
      </w:pPr>
    </w:lvl>
    <w:lvl w:ilvl="1" w:tplc="1026D118">
      <w:start w:val="1"/>
      <w:numFmt w:val="lowerLetter"/>
      <w:lvlText w:val="%2."/>
      <w:lvlJc w:val="left"/>
      <w:pPr>
        <w:ind w:left="1440" w:hanging="360"/>
      </w:pPr>
    </w:lvl>
    <w:lvl w:ilvl="2" w:tplc="088E8E2C">
      <w:start w:val="1"/>
      <w:numFmt w:val="lowerRoman"/>
      <w:lvlText w:val="%3."/>
      <w:lvlJc w:val="right"/>
      <w:pPr>
        <w:ind w:left="2160" w:hanging="180"/>
      </w:pPr>
    </w:lvl>
    <w:lvl w:ilvl="3" w:tplc="A560D97A">
      <w:start w:val="1"/>
      <w:numFmt w:val="decimal"/>
      <w:lvlText w:val="%4."/>
      <w:lvlJc w:val="left"/>
      <w:pPr>
        <w:ind w:left="2880" w:hanging="360"/>
      </w:pPr>
    </w:lvl>
    <w:lvl w:ilvl="4" w:tplc="B7A6FB40">
      <w:start w:val="1"/>
      <w:numFmt w:val="lowerLetter"/>
      <w:lvlText w:val="%5."/>
      <w:lvlJc w:val="left"/>
      <w:pPr>
        <w:ind w:left="3600" w:hanging="360"/>
      </w:pPr>
    </w:lvl>
    <w:lvl w:ilvl="5" w:tplc="876CCC60">
      <w:start w:val="1"/>
      <w:numFmt w:val="lowerRoman"/>
      <w:lvlText w:val="%6."/>
      <w:lvlJc w:val="right"/>
      <w:pPr>
        <w:ind w:left="4320" w:hanging="180"/>
      </w:pPr>
    </w:lvl>
    <w:lvl w:ilvl="6" w:tplc="12FA60EA">
      <w:start w:val="1"/>
      <w:numFmt w:val="decimal"/>
      <w:lvlText w:val="%7."/>
      <w:lvlJc w:val="left"/>
      <w:pPr>
        <w:ind w:left="5040" w:hanging="360"/>
      </w:pPr>
    </w:lvl>
    <w:lvl w:ilvl="7" w:tplc="7CD6B0A0">
      <w:start w:val="1"/>
      <w:numFmt w:val="lowerLetter"/>
      <w:lvlText w:val="%8."/>
      <w:lvlJc w:val="left"/>
      <w:pPr>
        <w:ind w:left="5760" w:hanging="360"/>
      </w:pPr>
    </w:lvl>
    <w:lvl w:ilvl="8" w:tplc="97704DAE">
      <w:start w:val="1"/>
      <w:numFmt w:val="lowerRoman"/>
      <w:lvlText w:val="%9."/>
      <w:lvlJc w:val="right"/>
      <w:pPr>
        <w:ind w:left="6480" w:hanging="180"/>
      </w:pPr>
    </w:lvl>
  </w:abstractNum>
  <w:abstractNum w:abstractNumId="16" w15:restartNumberingAfterBreak="0">
    <w:nsid w:val="498BCC0D"/>
    <w:multiLevelType w:val="hybridMultilevel"/>
    <w:tmpl w:val="42DC4C0E"/>
    <w:lvl w:ilvl="0" w:tplc="07689538">
      <w:start w:val="1"/>
      <w:numFmt w:val="upperLetter"/>
      <w:pStyle w:val="Heading4"/>
      <w:lvlText w:val="%1."/>
      <w:lvlJc w:val="left"/>
      <w:pPr>
        <w:ind w:left="1440" w:hanging="360"/>
      </w:pPr>
    </w:lvl>
    <w:lvl w:ilvl="1" w:tplc="49D4E22E">
      <w:start w:val="1"/>
      <w:numFmt w:val="lowerLetter"/>
      <w:lvlText w:val="%2."/>
      <w:lvlJc w:val="left"/>
      <w:pPr>
        <w:ind w:left="2160" w:hanging="360"/>
      </w:pPr>
    </w:lvl>
    <w:lvl w:ilvl="2" w:tplc="8E9C7C92">
      <w:start w:val="1"/>
      <w:numFmt w:val="lowerRoman"/>
      <w:lvlText w:val="%3."/>
      <w:lvlJc w:val="right"/>
      <w:pPr>
        <w:ind w:left="2880" w:hanging="180"/>
      </w:pPr>
    </w:lvl>
    <w:lvl w:ilvl="3" w:tplc="8624880E">
      <w:start w:val="1"/>
      <w:numFmt w:val="decimal"/>
      <w:lvlText w:val="%4."/>
      <w:lvlJc w:val="left"/>
      <w:pPr>
        <w:ind w:left="3600" w:hanging="360"/>
      </w:pPr>
    </w:lvl>
    <w:lvl w:ilvl="4" w:tplc="F18C09E2">
      <w:start w:val="1"/>
      <w:numFmt w:val="lowerLetter"/>
      <w:lvlText w:val="%5."/>
      <w:lvlJc w:val="left"/>
      <w:pPr>
        <w:ind w:left="4320" w:hanging="360"/>
      </w:pPr>
    </w:lvl>
    <w:lvl w:ilvl="5" w:tplc="9A041C48">
      <w:start w:val="1"/>
      <w:numFmt w:val="lowerRoman"/>
      <w:lvlText w:val="%6."/>
      <w:lvlJc w:val="right"/>
      <w:pPr>
        <w:ind w:left="5040" w:hanging="180"/>
      </w:pPr>
    </w:lvl>
    <w:lvl w:ilvl="6" w:tplc="4FE8099E">
      <w:start w:val="1"/>
      <w:numFmt w:val="decimal"/>
      <w:lvlText w:val="%7."/>
      <w:lvlJc w:val="left"/>
      <w:pPr>
        <w:ind w:left="5760" w:hanging="360"/>
      </w:pPr>
    </w:lvl>
    <w:lvl w:ilvl="7" w:tplc="4126D7F4">
      <w:start w:val="1"/>
      <w:numFmt w:val="lowerLetter"/>
      <w:lvlText w:val="%8."/>
      <w:lvlJc w:val="left"/>
      <w:pPr>
        <w:ind w:left="6480" w:hanging="360"/>
      </w:pPr>
    </w:lvl>
    <w:lvl w:ilvl="8" w:tplc="533C8946">
      <w:start w:val="1"/>
      <w:numFmt w:val="lowerRoman"/>
      <w:lvlText w:val="%9."/>
      <w:lvlJc w:val="right"/>
      <w:pPr>
        <w:ind w:left="7200" w:hanging="180"/>
      </w:pPr>
    </w:lvl>
  </w:abstractNum>
  <w:abstractNum w:abstractNumId="17" w15:restartNumberingAfterBreak="0">
    <w:nsid w:val="4C1F43EE"/>
    <w:multiLevelType w:val="hybridMultilevel"/>
    <w:tmpl w:val="B6AA4906"/>
    <w:lvl w:ilvl="0" w:tplc="D696E924">
      <w:start w:val="1"/>
      <w:numFmt w:val="bullet"/>
      <w:lvlText w:val=""/>
      <w:lvlJc w:val="left"/>
      <w:pPr>
        <w:ind w:left="1800" w:hanging="360"/>
      </w:pPr>
      <w:rPr>
        <w:rFonts w:ascii="Symbol" w:hAnsi="Symbol" w:hint="default"/>
      </w:rPr>
    </w:lvl>
    <w:lvl w:ilvl="1" w:tplc="B46645D2">
      <w:start w:val="1"/>
      <w:numFmt w:val="bullet"/>
      <w:lvlText w:val="o"/>
      <w:lvlJc w:val="left"/>
      <w:pPr>
        <w:ind w:left="2520" w:hanging="360"/>
      </w:pPr>
      <w:rPr>
        <w:rFonts w:ascii="Courier New" w:hAnsi="Courier New" w:hint="default"/>
      </w:rPr>
    </w:lvl>
    <w:lvl w:ilvl="2" w:tplc="1E502358">
      <w:start w:val="1"/>
      <w:numFmt w:val="bullet"/>
      <w:lvlText w:val=""/>
      <w:lvlJc w:val="left"/>
      <w:pPr>
        <w:ind w:left="3240" w:hanging="360"/>
      </w:pPr>
      <w:rPr>
        <w:rFonts w:ascii="Wingdings" w:hAnsi="Wingdings" w:hint="default"/>
      </w:rPr>
    </w:lvl>
    <w:lvl w:ilvl="3" w:tplc="3CF62650">
      <w:start w:val="1"/>
      <w:numFmt w:val="bullet"/>
      <w:lvlText w:val=""/>
      <w:lvlJc w:val="left"/>
      <w:pPr>
        <w:ind w:left="3960" w:hanging="360"/>
      </w:pPr>
      <w:rPr>
        <w:rFonts w:ascii="Symbol" w:hAnsi="Symbol" w:hint="default"/>
      </w:rPr>
    </w:lvl>
    <w:lvl w:ilvl="4" w:tplc="57F26842">
      <w:start w:val="1"/>
      <w:numFmt w:val="bullet"/>
      <w:lvlText w:val="o"/>
      <w:lvlJc w:val="left"/>
      <w:pPr>
        <w:ind w:left="4680" w:hanging="360"/>
      </w:pPr>
      <w:rPr>
        <w:rFonts w:ascii="Courier New" w:hAnsi="Courier New" w:hint="default"/>
      </w:rPr>
    </w:lvl>
    <w:lvl w:ilvl="5" w:tplc="1C54115A">
      <w:start w:val="1"/>
      <w:numFmt w:val="bullet"/>
      <w:lvlText w:val=""/>
      <w:lvlJc w:val="left"/>
      <w:pPr>
        <w:ind w:left="5400" w:hanging="360"/>
      </w:pPr>
      <w:rPr>
        <w:rFonts w:ascii="Wingdings" w:hAnsi="Wingdings" w:hint="default"/>
      </w:rPr>
    </w:lvl>
    <w:lvl w:ilvl="6" w:tplc="EC18DE0E">
      <w:start w:val="1"/>
      <w:numFmt w:val="bullet"/>
      <w:lvlText w:val=""/>
      <w:lvlJc w:val="left"/>
      <w:pPr>
        <w:ind w:left="6120" w:hanging="360"/>
      </w:pPr>
      <w:rPr>
        <w:rFonts w:ascii="Symbol" w:hAnsi="Symbol" w:hint="default"/>
      </w:rPr>
    </w:lvl>
    <w:lvl w:ilvl="7" w:tplc="3A24C4CC">
      <w:start w:val="1"/>
      <w:numFmt w:val="bullet"/>
      <w:lvlText w:val="o"/>
      <w:lvlJc w:val="left"/>
      <w:pPr>
        <w:ind w:left="6840" w:hanging="360"/>
      </w:pPr>
      <w:rPr>
        <w:rFonts w:ascii="Courier New" w:hAnsi="Courier New" w:hint="default"/>
      </w:rPr>
    </w:lvl>
    <w:lvl w:ilvl="8" w:tplc="44E0920E">
      <w:start w:val="1"/>
      <w:numFmt w:val="bullet"/>
      <w:lvlText w:val=""/>
      <w:lvlJc w:val="left"/>
      <w:pPr>
        <w:ind w:left="7560" w:hanging="360"/>
      </w:pPr>
      <w:rPr>
        <w:rFonts w:ascii="Wingdings" w:hAnsi="Wingdings" w:hint="default"/>
      </w:rPr>
    </w:lvl>
  </w:abstractNum>
  <w:abstractNum w:abstractNumId="18" w15:restartNumberingAfterBreak="0">
    <w:nsid w:val="4FAE591E"/>
    <w:multiLevelType w:val="hybridMultilevel"/>
    <w:tmpl w:val="876EFBB2"/>
    <w:lvl w:ilvl="0" w:tplc="9A66D976">
      <w:start w:val="1"/>
      <w:numFmt w:val="bullet"/>
      <w:lvlText w:val=""/>
      <w:lvlJc w:val="left"/>
      <w:pPr>
        <w:ind w:left="990" w:hanging="360"/>
      </w:pPr>
      <w:rPr>
        <w:rFonts w:ascii="Symbol" w:hAnsi="Symbol" w:hint="default"/>
      </w:rPr>
    </w:lvl>
    <w:lvl w:ilvl="1" w:tplc="338860D8">
      <w:start w:val="1"/>
      <w:numFmt w:val="bullet"/>
      <w:lvlText w:val="o"/>
      <w:lvlJc w:val="left"/>
      <w:pPr>
        <w:ind w:left="1710" w:hanging="360"/>
      </w:pPr>
      <w:rPr>
        <w:rFonts w:ascii="Courier New" w:hAnsi="Courier New" w:hint="default"/>
      </w:rPr>
    </w:lvl>
    <w:lvl w:ilvl="2" w:tplc="C1EE462A">
      <w:start w:val="1"/>
      <w:numFmt w:val="bullet"/>
      <w:lvlText w:val=""/>
      <w:lvlJc w:val="left"/>
      <w:pPr>
        <w:ind w:left="2430" w:hanging="360"/>
      </w:pPr>
      <w:rPr>
        <w:rFonts w:ascii="Wingdings" w:hAnsi="Wingdings" w:hint="default"/>
      </w:rPr>
    </w:lvl>
    <w:lvl w:ilvl="3" w:tplc="064CFB48">
      <w:start w:val="1"/>
      <w:numFmt w:val="bullet"/>
      <w:lvlText w:val=""/>
      <w:lvlJc w:val="left"/>
      <w:pPr>
        <w:ind w:left="3150" w:hanging="360"/>
      </w:pPr>
      <w:rPr>
        <w:rFonts w:ascii="Symbol" w:hAnsi="Symbol" w:hint="default"/>
      </w:rPr>
    </w:lvl>
    <w:lvl w:ilvl="4" w:tplc="B9C2D9CA">
      <w:start w:val="1"/>
      <w:numFmt w:val="bullet"/>
      <w:lvlText w:val="o"/>
      <w:lvlJc w:val="left"/>
      <w:pPr>
        <w:ind w:left="3870" w:hanging="360"/>
      </w:pPr>
      <w:rPr>
        <w:rFonts w:ascii="Courier New" w:hAnsi="Courier New" w:hint="default"/>
      </w:rPr>
    </w:lvl>
    <w:lvl w:ilvl="5" w:tplc="DB3A01B8">
      <w:start w:val="1"/>
      <w:numFmt w:val="bullet"/>
      <w:lvlText w:val=""/>
      <w:lvlJc w:val="left"/>
      <w:pPr>
        <w:ind w:left="4590" w:hanging="360"/>
      </w:pPr>
      <w:rPr>
        <w:rFonts w:ascii="Wingdings" w:hAnsi="Wingdings" w:hint="default"/>
      </w:rPr>
    </w:lvl>
    <w:lvl w:ilvl="6" w:tplc="4476F4E4">
      <w:start w:val="1"/>
      <w:numFmt w:val="bullet"/>
      <w:lvlText w:val=""/>
      <w:lvlJc w:val="left"/>
      <w:pPr>
        <w:ind w:left="5310" w:hanging="360"/>
      </w:pPr>
      <w:rPr>
        <w:rFonts w:ascii="Symbol" w:hAnsi="Symbol" w:hint="default"/>
      </w:rPr>
    </w:lvl>
    <w:lvl w:ilvl="7" w:tplc="6938E32C">
      <w:start w:val="1"/>
      <w:numFmt w:val="bullet"/>
      <w:lvlText w:val="o"/>
      <w:lvlJc w:val="left"/>
      <w:pPr>
        <w:ind w:left="6030" w:hanging="360"/>
      </w:pPr>
      <w:rPr>
        <w:rFonts w:ascii="Courier New" w:hAnsi="Courier New" w:hint="default"/>
      </w:rPr>
    </w:lvl>
    <w:lvl w:ilvl="8" w:tplc="CCE26FFC">
      <w:start w:val="1"/>
      <w:numFmt w:val="bullet"/>
      <w:lvlText w:val=""/>
      <w:lvlJc w:val="left"/>
      <w:pPr>
        <w:ind w:left="6750" w:hanging="360"/>
      </w:pPr>
      <w:rPr>
        <w:rFonts w:ascii="Wingdings" w:hAnsi="Wingdings" w:hint="default"/>
      </w:rPr>
    </w:lvl>
  </w:abstractNum>
  <w:abstractNum w:abstractNumId="19" w15:restartNumberingAfterBreak="0">
    <w:nsid w:val="60B82DD7"/>
    <w:multiLevelType w:val="hybridMultilevel"/>
    <w:tmpl w:val="BE7C1DD8"/>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0" w15:restartNumberingAfterBreak="0">
    <w:nsid w:val="631A3913"/>
    <w:multiLevelType w:val="hybridMultilevel"/>
    <w:tmpl w:val="A04C0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2B63BF"/>
    <w:multiLevelType w:val="multilevel"/>
    <w:tmpl w:val="9B66346C"/>
    <w:lvl w:ilvl="0">
      <w:start w:val="1"/>
      <w:numFmt w:val="decimal"/>
      <w:lvlText w:val="%1."/>
      <w:lvlJc w:val="left"/>
      <w:pPr>
        <w:ind w:left="360" w:hanging="360"/>
      </w:pPr>
      <w:rPr>
        <w:rFonts w:hint="default"/>
      </w:rPr>
    </w:lvl>
    <w:lvl w:ilvl="1">
      <w:start w:val="2"/>
      <w:numFmt w:val="decimal"/>
      <w:lvlText w:val="%1.%2."/>
      <w:lvlJc w:val="left"/>
      <w:pPr>
        <w:ind w:left="648" w:hanging="648"/>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8D25037"/>
    <w:multiLevelType w:val="hybridMultilevel"/>
    <w:tmpl w:val="49A0FA7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37604258">
    <w:abstractNumId w:val="17"/>
  </w:num>
  <w:num w:numId="2" w16cid:durableId="1435398282">
    <w:abstractNumId w:val="8"/>
  </w:num>
  <w:num w:numId="3" w16cid:durableId="1180466590">
    <w:abstractNumId w:val="16"/>
  </w:num>
  <w:num w:numId="4" w16cid:durableId="130946129">
    <w:abstractNumId w:val="12"/>
  </w:num>
  <w:num w:numId="5" w16cid:durableId="789318384">
    <w:abstractNumId w:val="15"/>
  </w:num>
  <w:num w:numId="6" w16cid:durableId="1815484588">
    <w:abstractNumId w:val="10"/>
  </w:num>
  <w:num w:numId="7" w16cid:durableId="424807324">
    <w:abstractNumId w:val="18"/>
  </w:num>
  <w:num w:numId="8" w16cid:durableId="707680162">
    <w:abstractNumId w:val="14"/>
  </w:num>
  <w:num w:numId="9" w16cid:durableId="1360156585">
    <w:abstractNumId w:val="2"/>
  </w:num>
  <w:num w:numId="10" w16cid:durableId="451824205">
    <w:abstractNumId w:val="13"/>
  </w:num>
  <w:num w:numId="11" w16cid:durableId="472872909">
    <w:abstractNumId w:val="6"/>
  </w:num>
  <w:num w:numId="12" w16cid:durableId="693189555">
    <w:abstractNumId w:val="21"/>
  </w:num>
  <w:num w:numId="13" w16cid:durableId="817188629">
    <w:abstractNumId w:val="1"/>
  </w:num>
  <w:num w:numId="14" w16cid:durableId="431170629">
    <w:abstractNumId w:val="4"/>
  </w:num>
  <w:num w:numId="15" w16cid:durableId="899752519">
    <w:abstractNumId w:val="3"/>
  </w:num>
  <w:num w:numId="16" w16cid:durableId="879518298">
    <w:abstractNumId w:val="19"/>
  </w:num>
  <w:num w:numId="17" w16cid:durableId="2070610413">
    <w:abstractNumId w:val="5"/>
  </w:num>
  <w:num w:numId="18" w16cid:durableId="592981317">
    <w:abstractNumId w:val="22"/>
  </w:num>
  <w:num w:numId="19" w16cid:durableId="1449540789">
    <w:abstractNumId w:val="0"/>
  </w:num>
  <w:num w:numId="20" w16cid:durableId="929777452">
    <w:abstractNumId w:val="11"/>
  </w:num>
  <w:num w:numId="21" w16cid:durableId="1914703030">
    <w:abstractNumId w:val="20"/>
  </w:num>
  <w:num w:numId="22" w16cid:durableId="686950221">
    <w:abstractNumId w:val="9"/>
  </w:num>
  <w:num w:numId="23" w16cid:durableId="733696019">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492"/>
    <w:rsid w:val="00000107"/>
    <w:rsid w:val="00000C96"/>
    <w:rsid w:val="000019B2"/>
    <w:rsid w:val="00001C47"/>
    <w:rsid w:val="000030C2"/>
    <w:rsid w:val="0000329E"/>
    <w:rsid w:val="000033FE"/>
    <w:rsid w:val="00003686"/>
    <w:rsid w:val="000038C9"/>
    <w:rsid w:val="00003B8E"/>
    <w:rsid w:val="000043EA"/>
    <w:rsid w:val="00004424"/>
    <w:rsid w:val="000047C7"/>
    <w:rsid w:val="00005FB1"/>
    <w:rsid w:val="00006B4D"/>
    <w:rsid w:val="000070DA"/>
    <w:rsid w:val="00010187"/>
    <w:rsid w:val="000105E8"/>
    <w:rsid w:val="000106AA"/>
    <w:rsid w:val="0001090E"/>
    <w:rsid w:val="00010950"/>
    <w:rsid w:val="00010DC7"/>
    <w:rsid w:val="00010EEE"/>
    <w:rsid w:val="000110A3"/>
    <w:rsid w:val="000122D0"/>
    <w:rsid w:val="0001243E"/>
    <w:rsid w:val="00012CE6"/>
    <w:rsid w:val="000133B2"/>
    <w:rsid w:val="000142BE"/>
    <w:rsid w:val="00014316"/>
    <w:rsid w:val="000160CB"/>
    <w:rsid w:val="000171DC"/>
    <w:rsid w:val="00017225"/>
    <w:rsid w:val="000175E2"/>
    <w:rsid w:val="000176C1"/>
    <w:rsid w:val="0002001B"/>
    <w:rsid w:val="00020989"/>
    <w:rsid w:val="00020ADD"/>
    <w:rsid w:val="00020CAB"/>
    <w:rsid w:val="0002147D"/>
    <w:rsid w:val="000214EA"/>
    <w:rsid w:val="00021AC0"/>
    <w:rsid w:val="00021F76"/>
    <w:rsid w:val="000220F2"/>
    <w:rsid w:val="00022F04"/>
    <w:rsid w:val="0002328C"/>
    <w:rsid w:val="00023A17"/>
    <w:rsid w:val="00024CEA"/>
    <w:rsid w:val="00026124"/>
    <w:rsid w:val="0002619D"/>
    <w:rsid w:val="00026419"/>
    <w:rsid w:val="000269AB"/>
    <w:rsid w:val="00026CC1"/>
    <w:rsid w:val="0003007D"/>
    <w:rsid w:val="000301F0"/>
    <w:rsid w:val="00030564"/>
    <w:rsid w:val="0003085E"/>
    <w:rsid w:val="000317D3"/>
    <w:rsid w:val="00032532"/>
    <w:rsid w:val="000325AB"/>
    <w:rsid w:val="00033382"/>
    <w:rsid w:val="00033435"/>
    <w:rsid w:val="00034110"/>
    <w:rsid w:val="00034786"/>
    <w:rsid w:val="00035FF5"/>
    <w:rsid w:val="00036AF9"/>
    <w:rsid w:val="00037876"/>
    <w:rsid w:val="00037D9B"/>
    <w:rsid w:val="00040730"/>
    <w:rsid w:val="00040DEA"/>
    <w:rsid w:val="00040FAF"/>
    <w:rsid w:val="000411E1"/>
    <w:rsid w:val="000411FB"/>
    <w:rsid w:val="0004165D"/>
    <w:rsid w:val="00041DCE"/>
    <w:rsid w:val="00042340"/>
    <w:rsid w:val="00042367"/>
    <w:rsid w:val="0004266B"/>
    <w:rsid w:val="00042B44"/>
    <w:rsid w:val="00042BA0"/>
    <w:rsid w:val="00042C36"/>
    <w:rsid w:val="000435AA"/>
    <w:rsid w:val="00043C8A"/>
    <w:rsid w:val="00043E5F"/>
    <w:rsid w:val="0004407C"/>
    <w:rsid w:val="00044656"/>
    <w:rsid w:val="00045D7D"/>
    <w:rsid w:val="00046484"/>
    <w:rsid w:val="00046779"/>
    <w:rsid w:val="000468C1"/>
    <w:rsid w:val="00046AE5"/>
    <w:rsid w:val="00046B5A"/>
    <w:rsid w:val="00047034"/>
    <w:rsid w:val="000475AE"/>
    <w:rsid w:val="00047818"/>
    <w:rsid w:val="00047928"/>
    <w:rsid w:val="00050FA5"/>
    <w:rsid w:val="0005195E"/>
    <w:rsid w:val="00051C53"/>
    <w:rsid w:val="000520B0"/>
    <w:rsid w:val="00052429"/>
    <w:rsid w:val="000528D9"/>
    <w:rsid w:val="000529DB"/>
    <w:rsid w:val="00053280"/>
    <w:rsid w:val="00054E16"/>
    <w:rsid w:val="00055332"/>
    <w:rsid w:val="00055337"/>
    <w:rsid w:val="0005547D"/>
    <w:rsid w:val="00055DA6"/>
    <w:rsid w:val="0005631F"/>
    <w:rsid w:val="000579F8"/>
    <w:rsid w:val="00061004"/>
    <w:rsid w:val="0006141B"/>
    <w:rsid w:val="00063585"/>
    <w:rsid w:val="00063631"/>
    <w:rsid w:val="000643E3"/>
    <w:rsid w:val="00064A62"/>
    <w:rsid w:val="00064A64"/>
    <w:rsid w:val="00064E1E"/>
    <w:rsid w:val="000650DB"/>
    <w:rsid w:val="000654DC"/>
    <w:rsid w:val="0006556F"/>
    <w:rsid w:val="0006585D"/>
    <w:rsid w:val="0006608E"/>
    <w:rsid w:val="00066B83"/>
    <w:rsid w:val="000672DE"/>
    <w:rsid w:val="0006738C"/>
    <w:rsid w:val="000679A3"/>
    <w:rsid w:val="00067C48"/>
    <w:rsid w:val="000700E3"/>
    <w:rsid w:val="0007058A"/>
    <w:rsid w:val="000715DD"/>
    <w:rsid w:val="00071ADD"/>
    <w:rsid w:val="00071D95"/>
    <w:rsid w:val="00071ED1"/>
    <w:rsid w:val="000720F4"/>
    <w:rsid w:val="000725E8"/>
    <w:rsid w:val="000726C3"/>
    <w:rsid w:val="000727EF"/>
    <w:rsid w:val="00073074"/>
    <w:rsid w:val="0007351E"/>
    <w:rsid w:val="00073732"/>
    <w:rsid w:val="00073F02"/>
    <w:rsid w:val="000742A5"/>
    <w:rsid w:val="000748A7"/>
    <w:rsid w:val="00074BC8"/>
    <w:rsid w:val="00074EBA"/>
    <w:rsid w:val="00074EE0"/>
    <w:rsid w:val="00075DF2"/>
    <w:rsid w:val="00076613"/>
    <w:rsid w:val="00076F9C"/>
    <w:rsid w:val="00077344"/>
    <w:rsid w:val="000775F7"/>
    <w:rsid w:val="000775FB"/>
    <w:rsid w:val="00077725"/>
    <w:rsid w:val="00077FDC"/>
    <w:rsid w:val="0008003B"/>
    <w:rsid w:val="00080109"/>
    <w:rsid w:val="000808DA"/>
    <w:rsid w:val="0008095E"/>
    <w:rsid w:val="00081007"/>
    <w:rsid w:val="000810DA"/>
    <w:rsid w:val="0008122C"/>
    <w:rsid w:val="000812BA"/>
    <w:rsid w:val="000819F6"/>
    <w:rsid w:val="00081EB7"/>
    <w:rsid w:val="00082200"/>
    <w:rsid w:val="0008267D"/>
    <w:rsid w:val="000828D5"/>
    <w:rsid w:val="00082D31"/>
    <w:rsid w:val="00083117"/>
    <w:rsid w:val="0008357D"/>
    <w:rsid w:val="0008389D"/>
    <w:rsid w:val="0008395D"/>
    <w:rsid w:val="00083A4A"/>
    <w:rsid w:val="00083DA4"/>
    <w:rsid w:val="0008446D"/>
    <w:rsid w:val="000845DE"/>
    <w:rsid w:val="00085F86"/>
    <w:rsid w:val="00086199"/>
    <w:rsid w:val="00086201"/>
    <w:rsid w:val="00086807"/>
    <w:rsid w:val="00087156"/>
    <w:rsid w:val="000879E2"/>
    <w:rsid w:val="000903EE"/>
    <w:rsid w:val="00090580"/>
    <w:rsid w:val="000907D0"/>
    <w:rsid w:val="0009083A"/>
    <w:rsid w:val="00091225"/>
    <w:rsid w:val="00091B94"/>
    <w:rsid w:val="00092FB0"/>
    <w:rsid w:val="00092FB4"/>
    <w:rsid w:val="00092FE4"/>
    <w:rsid w:val="00093480"/>
    <w:rsid w:val="00093B61"/>
    <w:rsid w:val="00094382"/>
    <w:rsid w:val="0009466D"/>
    <w:rsid w:val="0009476B"/>
    <w:rsid w:val="00094C0F"/>
    <w:rsid w:val="00094EE5"/>
    <w:rsid w:val="000951BE"/>
    <w:rsid w:val="0009575C"/>
    <w:rsid w:val="0009735E"/>
    <w:rsid w:val="00097877"/>
    <w:rsid w:val="0009797D"/>
    <w:rsid w:val="00097CE7"/>
    <w:rsid w:val="00097D65"/>
    <w:rsid w:val="000A088F"/>
    <w:rsid w:val="000A1063"/>
    <w:rsid w:val="000A1F6C"/>
    <w:rsid w:val="000A1F8B"/>
    <w:rsid w:val="000A28F8"/>
    <w:rsid w:val="000A2911"/>
    <w:rsid w:val="000A2C2A"/>
    <w:rsid w:val="000A300E"/>
    <w:rsid w:val="000A4155"/>
    <w:rsid w:val="000A4B49"/>
    <w:rsid w:val="000A5D2B"/>
    <w:rsid w:val="000A635E"/>
    <w:rsid w:val="000A6492"/>
    <w:rsid w:val="000A7A83"/>
    <w:rsid w:val="000A7C09"/>
    <w:rsid w:val="000A7CED"/>
    <w:rsid w:val="000A7D05"/>
    <w:rsid w:val="000A7E24"/>
    <w:rsid w:val="000B06B6"/>
    <w:rsid w:val="000B0C4A"/>
    <w:rsid w:val="000B1AC4"/>
    <w:rsid w:val="000B1AEE"/>
    <w:rsid w:val="000B2180"/>
    <w:rsid w:val="000B25AA"/>
    <w:rsid w:val="000B27F9"/>
    <w:rsid w:val="000B300E"/>
    <w:rsid w:val="000B385D"/>
    <w:rsid w:val="000B39F7"/>
    <w:rsid w:val="000B3A11"/>
    <w:rsid w:val="000B4084"/>
    <w:rsid w:val="000B4A78"/>
    <w:rsid w:val="000B6095"/>
    <w:rsid w:val="000B60AE"/>
    <w:rsid w:val="000B60BC"/>
    <w:rsid w:val="000B69D7"/>
    <w:rsid w:val="000B6D92"/>
    <w:rsid w:val="000B6F0F"/>
    <w:rsid w:val="000B765E"/>
    <w:rsid w:val="000B76D1"/>
    <w:rsid w:val="000B7EBA"/>
    <w:rsid w:val="000C081C"/>
    <w:rsid w:val="000C11B2"/>
    <w:rsid w:val="000C2189"/>
    <w:rsid w:val="000C2F34"/>
    <w:rsid w:val="000C3068"/>
    <w:rsid w:val="000C3520"/>
    <w:rsid w:val="000C5D1A"/>
    <w:rsid w:val="000C622B"/>
    <w:rsid w:val="000C631E"/>
    <w:rsid w:val="000C63C6"/>
    <w:rsid w:val="000C6C03"/>
    <w:rsid w:val="000C7AE3"/>
    <w:rsid w:val="000C7B7A"/>
    <w:rsid w:val="000D0706"/>
    <w:rsid w:val="000D0D5C"/>
    <w:rsid w:val="000D0E0C"/>
    <w:rsid w:val="000D0ED5"/>
    <w:rsid w:val="000D1782"/>
    <w:rsid w:val="000D1BCD"/>
    <w:rsid w:val="000D1CC6"/>
    <w:rsid w:val="000D1F63"/>
    <w:rsid w:val="000D1FB7"/>
    <w:rsid w:val="000D283F"/>
    <w:rsid w:val="000D2A78"/>
    <w:rsid w:val="000D322A"/>
    <w:rsid w:val="000D3D5E"/>
    <w:rsid w:val="000D439F"/>
    <w:rsid w:val="000D4C1D"/>
    <w:rsid w:val="000D539C"/>
    <w:rsid w:val="000D5483"/>
    <w:rsid w:val="000D6291"/>
    <w:rsid w:val="000D6C11"/>
    <w:rsid w:val="000D7BA4"/>
    <w:rsid w:val="000D7FB6"/>
    <w:rsid w:val="000E0654"/>
    <w:rsid w:val="000E0AFF"/>
    <w:rsid w:val="000E0E4E"/>
    <w:rsid w:val="000E112E"/>
    <w:rsid w:val="000E1D00"/>
    <w:rsid w:val="000E418B"/>
    <w:rsid w:val="000E46BE"/>
    <w:rsid w:val="000E4AD7"/>
    <w:rsid w:val="000E50AC"/>
    <w:rsid w:val="000E563A"/>
    <w:rsid w:val="000E633B"/>
    <w:rsid w:val="000E6603"/>
    <w:rsid w:val="000E6653"/>
    <w:rsid w:val="000E6BF3"/>
    <w:rsid w:val="000E6D28"/>
    <w:rsid w:val="000E6F29"/>
    <w:rsid w:val="000E71D0"/>
    <w:rsid w:val="000E797B"/>
    <w:rsid w:val="000E7A7C"/>
    <w:rsid w:val="000F0CDF"/>
    <w:rsid w:val="000F0D9A"/>
    <w:rsid w:val="000F0EED"/>
    <w:rsid w:val="000F1457"/>
    <w:rsid w:val="000F159B"/>
    <w:rsid w:val="000F1F90"/>
    <w:rsid w:val="000F29D7"/>
    <w:rsid w:val="000F2A58"/>
    <w:rsid w:val="000F2B1A"/>
    <w:rsid w:val="000F2B55"/>
    <w:rsid w:val="000F2C31"/>
    <w:rsid w:val="000F3DB5"/>
    <w:rsid w:val="000F3E9D"/>
    <w:rsid w:val="000F411F"/>
    <w:rsid w:val="000F490A"/>
    <w:rsid w:val="000F4B66"/>
    <w:rsid w:val="000F4C71"/>
    <w:rsid w:val="000F4CA7"/>
    <w:rsid w:val="000F4F10"/>
    <w:rsid w:val="000F5B9A"/>
    <w:rsid w:val="000F707F"/>
    <w:rsid w:val="000F79D8"/>
    <w:rsid w:val="000F7AF8"/>
    <w:rsid w:val="000F7FC0"/>
    <w:rsid w:val="001001FA"/>
    <w:rsid w:val="0010073F"/>
    <w:rsid w:val="001022A7"/>
    <w:rsid w:val="001023CD"/>
    <w:rsid w:val="001023E2"/>
    <w:rsid w:val="001026C4"/>
    <w:rsid w:val="00103B2F"/>
    <w:rsid w:val="00103E63"/>
    <w:rsid w:val="00103E96"/>
    <w:rsid w:val="001042AF"/>
    <w:rsid w:val="001048F6"/>
    <w:rsid w:val="00104A70"/>
    <w:rsid w:val="00104C9A"/>
    <w:rsid w:val="00105149"/>
    <w:rsid w:val="00105403"/>
    <w:rsid w:val="00105828"/>
    <w:rsid w:val="00105CCF"/>
    <w:rsid w:val="0010611A"/>
    <w:rsid w:val="001061BB"/>
    <w:rsid w:val="00106EB8"/>
    <w:rsid w:val="00110256"/>
    <w:rsid w:val="001105A4"/>
    <w:rsid w:val="001140D6"/>
    <w:rsid w:val="001141D5"/>
    <w:rsid w:val="00114661"/>
    <w:rsid w:val="001151B6"/>
    <w:rsid w:val="0011536D"/>
    <w:rsid w:val="00115669"/>
    <w:rsid w:val="00115B70"/>
    <w:rsid w:val="0011616E"/>
    <w:rsid w:val="0011626D"/>
    <w:rsid w:val="001163B8"/>
    <w:rsid w:val="00116447"/>
    <w:rsid w:val="00116533"/>
    <w:rsid w:val="00116CDB"/>
    <w:rsid w:val="0011778A"/>
    <w:rsid w:val="00117BD3"/>
    <w:rsid w:val="00117FA6"/>
    <w:rsid w:val="001200EC"/>
    <w:rsid w:val="001210C0"/>
    <w:rsid w:val="0012162E"/>
    <w:rsid w:val="00121DA1"/>
    <w:rsid w:val="001223B4"/>
    <w:rsid w:val="00122531"/>
    <w:rsid w:val="00122611"/>
    <w:rsid w:val="00122E2D"/>
    <w:rsid w:val="001246C2"/>
    <w:rsid w:val="001249CB"/>
    <w:rsid w:val="00124D71"/>
    <w:rsid w:val="00125B8E"/>
    <w:rsid w:val="00125CBF"/>
    <w:rsid w:val="00125EBA"/>
    <w:rsid w:val="00126799"/>
    <w:rsid w:val="00126B6C"/>
    <w:rsid w:val="00127447"/>
    <w:rsid w:val="00127B9B"/>
    <w:rsid w:val="001304DC"/>
    <w:rsid w:val="0013098A"/>
    <w:rsid w:val="0013140F"/>
    <w:rsid w:val="00131B7B"/>
    <w:rsid w:val="001321A9"/>
    <w:rsid w:val="00132DF2"/>
    <w:rsid w:val="00132F97"/>
    <w:rsid w:val="00133B77"/>
    <w:rsid w:val="001346A5"/>
    <w:rsid w:val="00134A19"/>
    <w:rsid w:val="00134B27"/>
    <w:rsid w:val="0013559F"/>
    <w:rsid w:val="00135E18"/>
    <w:rsid w:val="00136983"/>
    <w:rsid w:val="001377FB"/>
    <w:rsid w:val="00140304"/>
    <w:rsid w:val="00140334"/>
    <w:rsid w:val="00140A61"/>
    <w:rsid w:val="00140F92"/>
    <w:rsid w:val="0014102D"/>
    <w:rsid w:val="001413DF"/>
    <w:rsid w:val="00141504"/>
    <w:rsid w:val="00142205"/>
    <w:rsid w:val="00142450"/>
    <w:rsid w:val="001425B7"/>
    <w:rsid w:val="0014389A"/>
    <w:rsid w:val="001452DB"/>
    <w:rsid w:val="001453D5"/>
    <w:rsid w:val="00145980"/>
    <w:rsid w:val="001460FC"/>
    <w:rsid w:val="001468D4"/>
    <w:rsid w:val="00147A68"/>
    <w:rsid w:val="001503FC"/>
    <w:rsid w:val="00150AF6"/>
    <w:rsid w:val="00150C71"/>
    <w:rsid w:val="00150CD0"/>
    <w:rsid w:val="00151408"/>
    <w:rsid w:val="00151A8A"/>
    <w:rsid w:val="00151ED8"/>
    <w:rsid w:val="001529D1"/>
    <w:rsid w:val="00152E9E"/>
    <w:rsid w:val="00152F38"/>
    <w:rsid w:val="00153004"/>
    <w:rsid w:val="00153085"/>
    <w:rsid w:val="00153EB0"/>
    <w:rsid w:val="001541EE"/>
    <w:rsid w:val="001546A3"/>
    <w:rsid w:val="0015523D"/>
    <w:rsid w:val="001553ED"/>
    <w:rsid w:val="00155557"/>
    <w:rsid w:val="00155FB8"/>
    <w:rsid w:val="00156C67"/>
    <w:rsid w:val="00156D25"/>
    <w:rsid w:val="001576E5"/>
    <w:rsid w:val="00157C5D"/>
    <w:rsid w:val="001603FF"/>
    <w:rsid w:val="00160AE0"/>
    <w:rsid w:val="00160FA9"/>
    <w:rsid w:val="00161BAE"/>
    <w:rsid w:val="00161F43"/>
    <w:rsid w:val="00162206"/>
    <w:rsid w:val="00162B40"/>
    <w:rsid w:val="001632A7"/>
    <w:rsid w:val="00163DD7"/>
    <w:rsid w:val="00163E72"/>
    <w:rsid w:val="00163EA8"/>
    <w:rsid w:val="00164437"/>
    <w:rsid w:val="0016480A"/>
    <w:rsid w:val="001648DF"/>
    <w:rsid w:val="001648FA"/>
    <w:rsid w:val="00164F24"/>
    <w:rsid w:val="0016508A"/>
    <w:rsid w:val="001655C1"/>
    <w:rsid w:val="0016574C"/>
    <w:rsid w:val="00165C2D"/>
    <w:rsid w:val="00165E3D"/>
    <w:rsid w:val="001668BA"/>
    <w:rsid w:val="001670DC"/>
    <w:rsid w:val="00167554"/>
    <w:rsid w:val="00167606"/>
    <w:rsid w:val="0016761F"/>
    <w:rsid w:val="00170965"/>
    <w:rsid w:val="00170CA0"/>
    <w:rsid w:val="00171348"/>
    <w:rsid w:val="00171B0E"/>
    <w:rsid w:val="00172716"/>
    <w:rsid w:val="001734A2"/>
    <w:rsid w:val="001744C2"/>
    <w:rsid w:val="00174518"/>
    <w:rsid w:val="001745A6"/>
    <w:rsid w:val="001746D3"/>
    <w:rsid w:val="001751E6"/>
    <w:rsid w:val="00176355"/>
    <w:rsid w:val="001765E3"/>
    <w:rsid w:val="00176A7E"/>
    <w:rsid w:val="00176D01"/>
    <w:rsid w:val="00180268"/>
    <w:rsid w:val="001806D8"/>
    <w:rsid w:val="00180AE6"/>
    <w:rsid w:val="001819EB"/>
    <w:rsid w:val="00181C7F"/>
    <w:rsid w:val="00182055"/>
    <w:rsid w:val="001823B6"/>
    <w:rsid w:val="001830B9"/>
    <w:rsid w:val="0018320E"/>
    <w:rsid w:val="001835C9"/>
    <w:rsid w:val="00183C4F"/>
    <w:rsid w:val="0018458A"/>
    <w:rsid w:val="00184AA7"/>
    <w:rsid w:val="001853D5"/>
    <w:rsid w:val="00185712"/>
    <w:rsid w:val="0018613D"/>
    <w:rsid w:val="00186D5C"/>
    <w:rsid w:val="0018721A"/>
    <w:rsid w:val="001874E1"/>
    <w:rsid w:val="00190216"/>
    <w:rsid w:val="00191811"/>
    <w:rsid w:val="00191AB6"/>
    <w:rsid w:val="00191B68"/>
    <w:rsid w:val="00192442"/>
    <w:rsid w:val="0019271B"/>
    <w:rsid w:val="00192B17"/>
    <w:rsid w:val="00194A02"/>
    <w:rsid w:val="00195347"/>
    <w:rsid w:val="00195F6D"/>
    <w:rsid w:val="001960A3"/>
    <w:rsid w:val="001968D7"/>
    <w:rsid w:val="001968F7"/>
    <w:rsid w:val="00196D4E"/>
    <w:rsid w:val="001977F3"/>
    <w:rsid w:val="001A0674"/>
    <w:rsid w:val="001A0B91"/>
    <w:rsid w:val="001A101A"/>
    <w:rsid w:val="001A1C1F"/>
    <w:rsid w:val="001A282A"/>
    <w:rsid w:val="001A33CD"/>
    <w:rsid w:val="001A3C3D"/>
    <w:rsid w:val="001A3C6A"/>
    <w:rsid w:val="001A45AA"/>
    <w:rsid w:val="001A46BC"/>
    <w:rsid w:val="001A4808"/>
    <w:rsid w:val="001A4A76"/>
    <w:rsid w:val="001A4B1F"/>
    <w:rsid w:val="001A5D8C"/>
    <w:rsid w:val="001A5F18"/>
    <w:rsid w:val="001A6738"/>
    <w:rsid w:val="001A7C81"/>
    <w:rsid w:val="001B0023"/>
    <w:rsid w:val="001B00C8"/>
    <w:rsid w:val="001B052F"/>
    <w:rsid w:val="001B0A15"/>
    <w:rsid w:val="001B1309"/>
    <w:rsid w:val="001B1964"/>
    <w:rsid w:val="001B1AC4"/>
    <w:rsid w:val="001B3C0C"/>
    <w:rsid w:val="001B4205"/>
    <w:rsid w:val="001B46FE"/>
    <w:rsid w:val="001B4AE1"/>
    <w:rsid w:val="001B4EFF"/>
    <w:rsid w:val="001B6204"/>
    <w:rsid w:val="001B69AF"/>
    <w:rsid w:val="001B6F41"/>
    <w:rsid w:val="001C02B7"/>
    <w:rsid w:val="001C0410"/>
    <w:rsid w:val="001C0A0A"/>
    <w:rsid w:val="001C100D"/>
    <w:rsid w:val="001C1124"/>
    <w:rsid w:val="001C1A0B"/>
    <w:rsid w:val="001C2188"/>
    <w:rsid w:val="001C307F"/>
    <w:rsid w:val="001C36A8"/>
    <w:rsid w:val="001C3BB5"/>
    <w:rsid w:val="001C3C62"/>
    <w:rsid w:val="001C4FB7"/>
    <w:rsid w:val="001C51A0"/>
    <w:rsid w:val="001C70EC"/>
    <w:rsid w:val="001C717E"/>
    <w:rsid w:val="001C7803"/>
    <w:rsid w:val="001C781E"/>
    <w:rsid w:val="001C7F1E"/>
    <w:rsid w:val="001D0020"/>
    <w:rsid w:val="001D05D4"/>
    <w:rsid w:val="001D0685"/>
    <w:rsid w:val="001D1391"/>
    <w:rsid w:val="001D1686"/>
    <w:rsid w:val="001D229E"/>
    <w:rsid w:val="001D3099"/>
    <w:rsid w:val="001D42AA"/>
    <w:rsid w:val="001D42B4"/>
    <w:rsid w:val="001D4439"/>
    <w:rsid w:val="001D51C0"/>
    <w:rsid w:val="001D5AAD"/>
    <w:rsid w:val="001D60D1"/>
    <w:rsid w:val="001D6A00"/>
    <w:rsid w:val="001E0223"/>
    <w:rsid w:val="001E121E"/>
    <w:rsid w:val="001E13D9"/>
    <w:rsid w:val="001E15D9"/>
    <w:rsid w:val="001E18C4"/>
    <w:rsid w:val="001E1960"/>
    <w:rsid w:val="001E1F19"/>
    <w:rsid w:val="001E228A"/>
    <w:rsid w:val="001E23D7"/>
    <w:rsid w:val="001E3C4C"/>
    <w:rsid w:val="001E3EB2"/>
    <w:rsid w:val="001E45B3"/>
    <w:rsid w:val="001E4B5F"/>
    <w:rsid w:val="001E4DAA"/>
    <w:rsid w:val="001E5F40"/>
    <w:rsid w:val="001E78C5"/>
    <w:rsid w:val="001F081C"/>
    <w:rsid w:val="001F0A13"/>
    <w:rsid w:val="001F1830"/>
    <w:rsid w:val="001F194A"/>
    <w:rsid w:val="001F1C9B"/>
    <w:rsid w:val="001F297F"/>
    <w:rsid w:val="001F3134"/>
    <w:rsid w:val="001F33D8"/>
    <w:rsid w:val="001F39CC"/>
    <w:rsid w:val="001F3EC5"/>
    <w:rsid w:val="001F4816"/>
    <w:rsid w:val="001F5133"/>
    <w:rsid w:val="001F5BA7"/>
    <w:rsid w:val="001F5D9F"/>
    <w:rsid w:val="001F67B8"/>
    <w:rsid w:val="001F7023"/>
    <w:rsid w:val="001F7C5A"/>
    <w:rsid w:val="002006C4"/>
    <w:rsid w:val="00201620"/>
    <w:rsid w:val="00202703"/>
    <w:rsid w:val="002035BE"/>
    <w:rsid w:val="002036B6"/>
    <w:rsid w:val="00203793"/>
    <w:rsid w:val="002039F7"/>
    <w:rsid w:val="00204283"/>
    <w:rsid w:val="002043AA"/>
    <w:rsid w:val="00204B3D"/>
    <w:rsid w:val="00205E67"/>
    <w:rsid w:val="00205F07"/>
    <w:rsid w:val="002067D1"/>
    <w:rsid w:val="00207037"/>
    <w:rsid w:val="00207162"/>
    <w:rsid w:val="002075CE"/>
    <w:rsid w:val="002104D4"/>
    <w:rsid w:val="00210934"/>
    <w:rsid w:val="00210D67"/>
    <w:rsid w:val="00212D4C"/>
    <w:rsid w:val="002136F7"/>
    <w:rsid w:val="002137D7"/>
    <w:rsid w:val="0021429C"/>
    <w:rsid w:val="00214C57"/>
    <w:rsid w:val="00214F35"/>
    <w:rsid w:val="0021512B"/>
    <w:rsid w:val="002152D5"/>
    <w:rsid w:val="002158DA"/>
    <w:rsid w:val="00215957"/>
    <w:rsid w:val="00215BCF"/>
    <w:rsid w:val="00215DDF"/>
    <w:rsid w:val="00215EF1"/>
    <w:rsid w:val="0021631E"/>
    <w:rsid w:val="002163BE"/>
    <w:rsid w:val="0021675A"/>
    <w:rsid w:val="0021681B"/>
    <w:rsid w:val="002169AA"/>
    <w:rsid w:val="00217F31"/>
    <w:rsid w:val="0022080D"/>
    <w:rsid w:val="00221632"/>
    <w:rsid w:val="00222812"/>
    <w:rsid w:val="00223C4C"/>
    <w:rsid w:val="0022446A"/>
    <w:rsid w:val="0022449D"/>
    <w:rsid w:val="00224B30"/>
    <w:rsid w:val="00224FED"/>
    <w:rsid w:val="002251AE"/>
    <w:rsid w:val="0022531B"/>
    <w:rsid w:val="002255FC"/>
    <w:rsid w:val="00225928"/>
    <w:rsid w:val="002263D2"/>
    <w:rsid w:val="002267AC"/>
    <w:rsid w:val="002267E9"/>
    <w:rsid w:val="00230070"/>
    <w:rsid w:val="0023034D"/>
    <w:rsid w:val="002307CD"/>
    <w:rsid w:val="00230B9E"/>
    <w:rsid w:val="00230E46"/>
    <w:rsid w:val="00231292"/>
    <w:rsid w:val="00231505"/>
    <w:rsid w:val="00231820"/>
    <w:rsid w:val="002318D4"/>
    <w:rsid w:val="00232155"/>
    <w:rsid w:val="002322A7"/>
    <w:rsid w:val="0023379E"/>
    <w:rsid w:val="002339CB"/>
    <w:rsid w:val="0023443B"/>
    <w:rsid w:val="0023547B"/>
    <w:rsid w:val="00236112"/>
    <w:rsid w:val="00236893"/>
    <w:rsid w:val="0023715C"/>
    <w:rsid w:val="00240D50"/>
    <w:rsid w:val="002411E6"/>
    <w:rsid w:val="00241584"/>
    <w:rsid w:val="00241632"/>
    <w:rsid w:val="00241801"/>
    <w:rsid w:val="002418BE"/>
    <w:rsid w:val="002418F5"/>
    <w:rsid w:val="00241975"/>
    <w:rsid w:val="00241ABA"/>
    <w:rsid w:val="00242FE8"/>
    <w:rsid w:val="0024379C"/>
    <w:rsid w:val="002441DC"/>
    <w:rsid w:val="002443A4"/>
    <w:rsid w:val="00244AF9"/>
    <w:rsid w:val="00244D91"/>
    <w:rsid w:val="00245221"/>
    <w:rsid w:val="002456A5"/>
    <w:rsid w:val="002457AE"/>
    <w:rsid w:val="00245D3E"/>
    <w:rsid w:val="002460ED"/>
    <w:rsid w:val="002466A1"/>
    <w:rsid w:val="00247F44"/>
    <w:rsid w:val="00250641"/>
    <w:rsid w:val="00250979"/>
    <w:rsid w:val="00250F71"/>
    <w:rsid w:val="0025139B"/>
    <w:rsid w:val="00251B90"/>
    <w:rsid w:val="00252D5E"/>
    <w:rsid w:val="00252EDC"/>
    <w:rsid w:val="0025306D"/>
    <w:rsid w:val="00253841"/>
    <w:rsid w:val="00253DAE"/>
    <w:rsid w:val="00254016"/>
    <w:rsid w:val="002544FB"/>
    <w:rsid w:val="0025464F"/>
    <w:rsid w:val="00255844"/>
    <w:rsid w:val="00255FEF"/>
    <w:rsid w:val="00256B4C"/>
    <w:rsid w:val="00257458"/>
    <w:rsid w:val="00257DD8"/>
    <w:rsid w:val="002612B9"/>
    <w:rsid w:val="00261363"/>
    <w:rsid w:val="0026160D"/>
    <w:rsid w:val="002619B9"/>
    <w:rsid w:val="00262194"/>
    <w:rsid w:val="0026228C"/>
    <w:rsid w:val="002626AF"/>
    <w:rsid w:val="0026391C"/>
    <w:rsid w:val="00263EEE"/>
    <w:rsid w:val="0026417E"/>
    <w:rsid w:val="00264AFE"/>
    <w:rsid w:val="00264DB1"/>
    <w:rsid w:val="0026575F"/>
    <w:rsid w:val="002657CD"/>
    <w:rsid w:val="00265F1F"/>
    <w:rsid w:val="002661E7"/>
    <w:rsid w:val="0026686E"/>
    <w:rsid w:val="002672DD"/>
    <w:rsid w:val="002702F4"/>
    <w:rsid w:val="0027032B"/>
    <w:rsid w:val="00270ABE"/>
    <w:rsid w:val="00270EC1"/>
    <w:rsid w:val="0027148F"/>
    <w:rsid w:val="00272158"/>
    <w:rsid w:val="00272345"/>
    <w:rsid w:val="00272A13"/>
    <w:rsid w:val="00272C2B"/>
    <w:rsid w:val="00272F8E"/>
    <w:rsid w:val="00272F96"/>
    <w:rsid w:val="0027319A"/>
    <w:rsid w:val="002731C9"/>
    <w:rsid w:val="002743FB"/>
    <w:rsid w:val="0027448F"/>
    <w:rsid w:val="002744A1"/>
    <w:rsid w:val="0027470E"/>
    <w:rsid w:val="00274989"/>
    <w:rsid w:val="00275B1B"/>
    <w:rsid w:val="00276346"/>
    <w:rsid w:val="00277151"/>
    <w:rsid w:val="00277301"/>
    <w:rsid w:val="00277662"/>
    <w:rsid w:val="002802C9"/>
    <w:rsid w:val="00280591"/>
    <w:rsid w:val="00280B41"/>
    <w:rsid w:val="002812C7"/>
    <w:rsid w:val="00281B16"/>
    <w:rsid w:val="00281E10"/>
    <w:rsid w:val="0028210A"/>
    <w:rsid w:val="00283436"/>
    <w:rsid w:val="00283EFC"/>
    <w:rsid w:val="002845AA"/>
    <w:rsid w:val="00284755"/>
    <w:rsid w:val="002848BF"/>
    <w:rsid w:val="00285EEA"/>
    <w:rsid w:val="00285F98"/>
    <w:rsid w:val="0028619D"/>
    <w:rsid w:val="0028759D"/>
    <w:rsid w:val="00287661"/>
    <w:rsid w:val="00287AE7"/>
    <w:rsid w:val="00287BEE"/>
    <w:rsid w:val="00287DA4"/>
    <w:rsid w:val="002901CE"/>
    <w:rsid w:val="00291062"/>
    <w:rsid w:val="00291A6D"/>
    <w:rsid w:val="00291A71"/>
    <w:rsid w:val="00293376"/>
    <w:rsid w:val="00293908"/>
    <w:rsid w:val="00295012"/>
    <w:rsid w:val="00295032"/>
    <w:rsid w:val="002950A4"/>
    <w:rsid w:val="002951B9"/>
    <w:rsid w:val="00295582"/>
    <w:rsid w:val="00295CFF"/>
    <w:rsid w:val="002962BC"/>
    <w:rsid w:val="0029640F"/>
    <w:rsid w:val="002969DE"/>
    <w:rsid w:val="0029707F"/>
    <w:rsid w:val="00297E7A"/>
    <w:rsid w:val="002A0021"/>
    <w:rsid w:val="002A08AD"/>
    <w:rsid w:val="002A0AB9"/>
    <w:rsid w:val="002A0AE0"/>
    <w:rsid w:val="002A0FF5"/>
    <w:rsid w:val="002A1E5D"/>
    <w:rsid w:val="002A217E"/>
    <w:rsid w:val="002A22EB"/>
    <w:rsid w:val="002A265C"/>
    <w:rsid w:val="002A3041"/>
    <w:rsid w:val="002A38C3"/>
    <w:rsid w:val="002A3F13"/>
    <w:rsid w:val="002A57FA"/>
    <w:rsid w:val="002A5CDD"/>
    <w:rsid w:val="002A620E"/>
    <w:rsid w:val="002A6AB3"/>
    <w:rsid w:val="002A72DA"/>
    <w:rsid w:val="002A75F0"/>
    <w:rsid w:val="002A779A"/>
    <w:rsid w:val="002B055B"/>
    <w:rsid w:val="002B06E0"/>
    <w:rsid w:val="002B10E6"/>
    <w:rsid w:val="002B1666"/>
    <w:rsid w:val="002B1C29"/>
    <w:rsid w:val="002B1D52"/>
    <w:rsid w:val="002B1D77"/>
    <w:rsid w:val="002B22C3"/>
    <w:rsid w:val="002B2641"/>
    <w:rsid w:val="002B2A9B"/>
    <w:rsid w:val="002B3F18"/>
    <w:rsid w:val="002B3F40"/>
    <w:rsid w:val="002B4AB5"/>
    <w:rsid w:val="002B4D86"/>
    <w:rsid w:val="002B66E5"/>
    <w:rsid w:val="002B6BB4"/>
    <w:rsid w:val="002B6D2A"/>
    <w:rsid w:val="002B724B"/>
    <w:rsid w:val="002B73E2"/>
    <w:rsid w:val="002C23A7"/>
    <w:rsid w:val="002C36C5"/>
    <w:rsid w:val="002C391D"/>
    <w:rsid w:val="002C39DE"/>
    <w:rsid w:val="002C3DB6"/>
    <w:rsid w:val="002C4D39"/>
    <w:rsid w:val="002C5478"/>
    <w:rsid w:val="002C68A4"/>
    <w:rsid w:val="002C6941"/>
    <w:rsid w:val="002C6C8C"/>
    <w:rsid w:val="002C6E0F"/>
    <w:rsid w:val="002C7CC0"/>
    <w:rsid w:val="002D00C7"/>
    <w:rsid w:val="002D067C"/>
    <w:rsid w:val="002D099F"/>
    <w:rsid w:val="002D111F"/>
    <w:rsid w:val="002D132A"/>
    <w:rsid w:val="002D20A3"/>
    <w:rsid w:val="002D2118"/>
    <w:rsid w:val="002D2277"/>
    <w:rsid w:val="002D242E"/>
    <w:rsid w:val="002D3A1C"/>
    <w:rsid w:val="002D4893"/>
    <w:rsid w:val="002D54E2"/>
    <w:rsid w:val="002D5A6B"/>
    <w:rsid w:val="002D5EE9"/>
    <w:rsid w:val="002D6123"/>
    <w:rsid w:val="002D6593"/>
    <w:rsid w:val="002D65A6"/>
    <w:rsid w:val="002D68A7"/>
    <w:rsid w:val="002D6902"/>
    <w:rsid w:val="002D697F"/>
    <w:rsid w:val="002D6DEB"/>
    <w:rsid w:val="002D7A66"/>
    <w:rsid w:val="002D7A67"/>
    <w:rsid w:val="002D7B3D"/>
    <w:rsid w:val="002D7CD7"/>
    <w:rsid w:val="002E00F9"/>
    <w:rsid w:val="002E2720"/>
    <w:rsid w:val="002E27BE"/>
    <w:rsid w:val="002E2C38"/>
    <w:rsid w:val="002E40E0"/>
    <w:rsid w:val="002E74FA"/>
    <w:rsid w:val="002E76BE"/>
    <w:rsid w:val="002E7CE3"/>
    <w:rsid w:val="002F0008"/>
    <w:rsid w:val="002F03E5"/>
    <w:rsid w:val="002F0772"/>
    <w:rsid w:val="002F0981"/>
    <w:rsid w:val="002F0A2D"/>
    <w:rsid w:val="002F1EEF"/>
    <w:rsid w:val="002F228C"/>
    <w:rsid w:val="002F3488"/>
    <w:rsid w:val="002F35DB"/>
    <w:rsid w:val="002F498B"/>
    <w:rsid w:val="002F4AAC"/>
    <w:rsid w:val="002F5451"/>
    <w:rsid w:val="002F65D0"/>
    <w:rsid w:val="002F67A0"/>
    <w:rsid w:val="002F7595"/>
    <w:rsid w:val="002F79FB"/>
    <w:rsid w:val="00300A12"/>
    <w:rsid w:val="003010DD"/>
    <w:rsid w:val="0030134A"/>
    <w:rsid w:val="00301826"/>
    <w:rsid w:val="00301952"/>
    <w:rsid w:val="00301A5B"/>
    <w:rsid w:val="00301F83"/>
    <w:rsid w:val="00303050"/>
    <w:rsid w:val="003031A3"/>
    <w:rsid w:val="00303507"/>
    <w:rsid w:val="0030358F"/>
    <w:rsid w:val="003038FD"/>
    <w:rsid w:val="003040D8"/>
    <w:rsid w:val="00304AC0"/>
    <w:rsid w:val="00304CAF"/>
    <w:rsid w:val="00305045"/>
    <w:rsid w:val="00305140"/>
    <w:rsid w:val="00305853"/>
    <w:rsid w:val="00305B11"/>
    <w:rsid w:val="00305CA1"/>
    <w:rsid w:val="0030607A"/>
    <w:rsid w:val="00306347"/>
    <w:rsid w:val="003065EE"/>
    <w:rsid w:val="003075AE"/>
    <w:rsid w:val="00307A75"/>
    <w:rsid w:val="00307CD6"/>
    <w:rsid w:val="003112F1"/>
    <w:rsid w:val="003117A1"/>
    <w:rsid w:val="00311AA5"/>
    <w:rsid w:val="003130CB"/>
    <w:rsid w:val="003148FA"/>
    <w:rsid w:val="0031498A"/>
    <w:rsid w:val="00314B03"/>
    <w:rsid w:val="00315585"/>
    <w:rsid w:val="00315758"/>
    <w:rsid w:val="00315F98"/>
    <w:rsid w:val="003163BB"/>
    <w:rsid w:val="00316561"/>
    <w:rsid w:val="0031671A"/>
    <w:rsid w:val="00317683"/>
    <w:rsid w:val="00317836"/>
    <w:rsid w:val="0032039F"/>
    <w:rsid w:val="00320704"/>
    <w:rsid w:val="00320846"/>
    <w:rsid w:val="00320BA6"/>
    <w:rsid w:val="00321BC6"/>
    <w:rsid w:val="003225E0"/>
    <w:rsid w:val="0032352C"/>
    <w:rsid w:val="00323623"/>
    <w:rsid w:val="00324891"/>
    <w:rsid w:val="00324E85"/>
    <w:rsid w:val="00324F60"/>
    <w:rsid w:val="0032571C"/>
    <w:rsid w:val="00325A2C"/>
    <w:rsid w:val="00325DAF"/>
    <w:rsid w:val="00325E88"/>
    <w:rsid w:val="003265B7"/>
    <w:rsid w:val="00327129"/>
    <w:rsid w:val="003276B7"/>
    <w:rsid w:val="00327740"/>
    <w:rsid w:val="00327C92"/>
    <w:rsid w:val="00331294"/>
    <w:rsid w:val="00331761"/>
    <w:rsid w:val="003317B9"/>
    <w:rsid w:val="0033181D"/>
    <w:rsid w:val="00331D1F"/>
    <w:rsid w:val="00332002"/>
    <w:rsid w:val="0033279D"/>
    <w:rsid w:val="00332AC4"/>
    <w:rsid w:val="00332AD3"/>
    <w:rsid w:val="00332B31"/>
    <w:rsid w:val="00332FA4"/>
    <w:rsid w:val="00333D2B"/>
    <w:rsid w:val="00333DE8"/>
    <w:rsid w:val="0033450A"/>
    <w:rsid w:val="003354AA"/>
    <w:rsid w:val="00335834"/>
    <w:rsid w:val="0033669E"/>
    <w:rsid w:val="003366D1"/>
    <w:rsid w:val="00336820"/>
    <w:rsid w:val="00336D4B"/>
    <w:rsid w:val="00337077"/>
    <w:rsid w:val="003374DA"/>
    <w:rsid w:val="00337FCF"/>
    <w:rsid w:val="003404B2"/>
    <w:rsid w:val="00341788"/>
    <w:rsid w:val="00341B89"/>
    <w:rsid w:val="00342894"/>
    <w:rsid w:val="003431EF"/>
    <w:rsid w:val="00343AE2"/>
    <w:rsid w:val="00343BEB"/>
    <w:rsid w:val="00344020"/>
    <w:rsid w:val="00344435"/>
    <w:rsid w:val="0034453A"/>
    <w:rsid w:val="0034457B"/>
    <w:rsid w:val="00345476"/>
    <w:rsid w:val="00345B77"/>
    <w:rsid w:val="00345F2D"/>
    <w:rsid w:val="003465E5"/>
    <w:rsid w:val="00346F7D"/>
    <w:rsid w:val="003471D8"/>
    <w:rsid w:val="00350022"/>
    <w:rsid w:val="003506D5"/>
    <w:rsid w:val="00350C10"/>
    <w:rsid w:val="00351016"/>
    <w:rsid w:val="003530B9"/>
    <w:rsid w:val="003537E8"/>
    <w:rsid w:val="00353AF8"/>
    <w:rsid w:val="00354361"/>
    <w:rsid w:val="00354600"/>
    <w:rsid w:val="003547CC"/>
    <w:rsid w:val="00354C8E"/>
    <w:rsid w:val="00354CE1"/>
    <w:rsid w:val="003557C6"/>
    <w:rsid w:val="00355E84"/>
    <w:rsid w:val="00356955"/>
    <w:rsid w:val="0035732A"/>
    <w:rsid w:val="00357897"/>
    <w:rsid w:val="00357FF1"/>
    <w:rsid w:val="00362249"/>
    <w:rsid w:val="00362698"/>
    <w:rsid w:val="00362AEE"/>
    <w:rsid w:val="003642AD"/>
    <w:rsid w:val="00364812"/>
    <w:rsid w:val="003649A4"/>
    <w:rsid w:val="00365584"/>
    <w:rsid w:val="00365836"/>
    <w:rsid w:val="003665F6"/>
    <w:rsid w:val="00366805"/>
    <w:rsid w:val="003670F9"/>
    <w:rsid w:val="003673A1"/>
    <w:rsid w:val="00367551"/>
    <w:rsid w:val="003675F2"/>
    <w:rsid w:val="00370069"/>
    <w:rsid w:val="00370890"/>
    <w:rsid w:val="00371749"/>
    <w:rsid w:val="00371D7E"/>
    <w:rsid w:val="003729C5"/>
    <w:rsid w:val="00372E03"/>
    <w:rsid w:val="00373A23"/>
    <w:rsid w:val="00373A83"/>
    <w:rsid w:val="00373EE5"/>
    <w:rsid w:val="0037436A"/>
    <w:rsid w:val="00374AB7"/>
    <w:rsid w:val="00374D22"/>
    <w:rsid w:val="003757E2"/>
    <w:rsid w:val="0037586D"/>
    <w:rsid w:val="003759C6"/>
    <w:rsid w:val="00375FFD"/>
    <w:rsid w:val="00376347"/>
    <w:rsid w:val="0037726D"/>
    <w:rsid w:val="00377999"/>
    <w:rsid w:val="003806DB"/>
    <w:rsid w:val="00380C46"/>
    <w:rsid w:val="00380D13"/>
    <w:rsid w:val="00380F3D"/>
    <w:rsid w:val="00381E9D"/>
    <w:rsid w:val="00382509"/>
    <w:rsid w:val="0038288A"/>
    <w:rsid w:val="00382A90"/>
    <w:rsid w:val="003832B0"/>
    <w:rsid w:val="003832F1"/>
    <w:rsid w:val="003835E4"/>
    <w:rsid w:val="003837FC"/>
    <w:rsid w:val="00383C4F"/>
    <w:rsid w:val="0038438F"/>
    <w:rsid w:val="00384A05"/>
    <w:rsid w:val="0038519C"/>
    <w:rsid w:val="003858B1"/>
    <w:rsid w:val="00385C04"/>
    <w:rsid w:val="00386328"/>
    <w:rsid w:val="003867FA"/>
    <w:rsid w:val="00390150"/>
    <w:rsid w:val="0039047E"/>
    <w:rsid w:val="00390831"/>
    <w:rsid w:val="003908FC"/>
    <w:rsid w:val="00391943"/>
    <w:rsid w:val="003919FB"/>
    <w:rsid w:val="0039204D"/>
    <w:rsid w:val="0039207E"/>
    <w:rsid w:val="00392703"/>
    <w:rsid w:val="00392AEC"/>
    <w:rsid w:val="00392EFA"/>
    <w:rsid w:val="003933C8"/>
    <w:rsid w:val="00394AAE"/>
    <w:rsid w:val="00394CDB"/>
    <w:rsid w:val="00394FF5"/>
    <w:rsid w:val="003952A8"/>
    <w:rsid w:val="00395E0D"/>
    <w:rsid w:val="0039669A"/>
    <w:rsid w:val="00397807"/>
    <w:rsid w:val="0039789F"/>
    <w:rsid w:val="003A03FD"/>
    <w:rsid w:val="003A0B6F"/>
    <w:rsid w:val="003A2806"/>
    <w:rsid w:val="003A291C"/>
    <w:rsid w:val="003A2EAA"/>
    <w:rsid w:val="003A3BD7"/>
    <w:rsid w:val="003A3BFF"/>
    <w:rsid w:val="003A40F3"/>
    <w:rsid w:val="003A4A01"/>
    <w:rsid w:val="003A57C9"/>
    <w:rsid w:val="003A5845"/>
    <w:rsid w:val="003A599E"/>
    <w:rsid w:val="003A5FE1"/>
    <w:rsid w:val="003A636F"/>
    <w:rsid w:val="003A6582"/>
    <w:rsid w:val="003A6806"/>
    <w:rsid w:val="003A6C73"/>
    <w:rsid w:val="003B0390"/>
    <w:rsid w:val="003B0A55"/>
    <w:rsid w:val="003B108B"/>
    <w:rsid w:val="003B1B94"/>
    <w:rsid w:val="003B1CB4"/>
    <w:rsid w:val="003B1E5B"/>
    <w:rsid w:val="003B2172"/>
    <w:rsid w:val="003B24E7"/>
    <w:rsid w:val="003B3359"/>
    <w:rsid w:val="003B33E0"/>
    <w:rsid w:val="003B3BF0"/>
    <w:rsid w:val="003B540D"/>
    <w:rsid w:val="003B561C"/>
    <w:rsid w:val="003B5805"/>
    <w:rsid w:val="003B5B79"/>
    <w:rsid w:val="003B5D78"/>
    <w:rsid w:val="003B625D"/>
    <w:rsid w:val="003B6EA7"/>
    <w:rsid w:val="003B7516"/>
    <w:rsid w:val="003B7584"/>
    <w:rsid w:val="003B763C"/>
    <w:rsid w:val="003B77EB"/>
    <w:rsid w:val="003B78E8"/>
    <w:rsid w:val="003C05D1"/>
    <w:rsid w:val="003C0A6D"/>
    <w:rsid w:val="003C0AEA"/>
    <w:rsid w:val="003C1470"/>
    <w:rsid w:val="003C230B"/>
    <w:rsid w:val="003C2D92"/>
    <w:rsid w:val="003C3138"/>
    <w:rsid w:val="003C33EA"/>
    <w:rsid w:val="003C3490"/>
    <w:rsid w:val="003C366D"/>
    <w:rsid w:val="003C3D2F"/>
    <w:rsid w:val="003C49E7"/>
    <w:rsid w:val="003C4A73"/>
    <w:rsid w:val="003C5498"/>
    <w:rsid w:val="003C58C1"/>
    <w:rsid w:val="003C62EA"/>
    <w:rsid w:val="003C651A"/>
    <w:rsid w:val="003C679A"/>
    <w:rsid w:val="003C6FD8"/>
    <w:rsid w:val="003C710E"/>
    <w:rsid w:val="003C7C03"/>
    <w:rsid w:val="003D0B5B"/>
    <w:rsid w:val="003D16FE"/>
    <w:rsid w:val="003D2091"/>
    <w:rsid w:val="003D23A9"/>
    <w:rsid w:val="003D2582"/>
    <w:rsid w:val="003D27B4"/>
    <w:rsid w:val="003D2DB7"/>
    <w:rsid w:val="003D2F97"/>
    <w:rsid w:val="003D3201"/>
    <w:rsid w:val="003D3A8E"/>
    <w:rsid w:val="003D4935"/>
    <w:rsid w:val="003D4CC4"/>
    <w:rsid w:val="003D58FC"/>
    <w:rsid w:val="003D58FD"/>
    <w:rsid w:val="003D67C5"/>
    <w:rsid w:val="003D6D03"/>
    <w:rsid w:val="003D6D30"/>
    <w:rsid w:val="003D74A7"/>
    <w:rsid w:val="003D755E"/>
    <w:rsid w:val="003D7696"/>
    <w:rsid w:val="003E0437"/>
    <w:rsid w:val="003E0484"/>
    <w:rsid w:val="003E07CE"/>
    <w:rsid w:val="003E12FD"/>
    <w:rsid w:val="003E16CB"/>
    <w:rsid w:val="003E21A1"/>
    <w:rsid w:val="003E2403"/>
    <w:rsid w:val="003E2D67"/>
    <w:rsid w:val="003E361B"/>
    <w:rsid w:val="003E4364"/>
    <w:rsid w:val="003E5371"/>
    <w:rsid w:val="003E6113"/>
    <w:rsid w:val="003E61EC"/>
    <w:rsid w:val="003E6EB0"/>
    <w:rsid w:val="003E6FD6"/>
    <w:rsid w:val="003E7060"/>
    <w:rsid w:val="003F023D"/>
    <w:rsid w:val="003F0677"/>
    <w:rsid w:val="003F0A82"/>
    <w:rsid w:val="003F0D69"/>
    <w:rsid w:val="003F0E45"/>
    <w:rsid w:val="003F22A0"/>
    <w:rsid w:val="003F33DF"/>
    <w:rsid w:val="003F433F"/>
    <w:rsid w:val="003F43D7"/>
    <w:rsid w:val="003F43E5"/>
    <w:rsid w:val="003F4447"/>
    <w:rsid w:val="003F44DB"/>
    <w:rsid w:val="003F44EA"/>
    <w:rsid w:val="003F480E"/>
    <w:rsid w:val="003F48D8"/>
    <w:rsid w:val="003F4E7F"/>
    <w:rsid w:val="003F6E9A"/>
    <w:rsid w:val="003F70E1"/>
    <w:rsid w:val="003F75AF"/>
    <w:rsid w:val="003F765D"/>
    <w:rsid w:val="003F79A7"/>
    <w:rsid w:val="003F7A1A"/>
    <w:rsid w:val="003F7E01"/>
    <w:rsid w:val="004008C7"/>
    <w:rsid w:val="00401093"/>
    <w:rsid w:val="004014ED"/>
    <w:rsid w:val="004016A2"/>
    <w:rsid w:val="00401EBC"/>
    <w:rsid w:val="00401F49"/>
    <w:rsid w:val="00401F5E"/>
    <w:rsid w:val="00401F9D"/>
    <w:rsid w:val="00402093"/>
    <w:rsid w:val="004026DA"/>
    <w:rsid w:val="004039A8"/>
    <w:rsid w:val="00404084"/>
    <w:rsid w:val="004044DA"/>
    <w:rsid w:val="00404675"/>
    <w:rsid w:val="004047C4"/>
    <w:rsid w:val="00404A93"/>
    <w:rsid w:val="00405574"/>
    <w:rsid w:val="00405B2A"/>
    <w:rsid w:val="00406626"/>
    <w:rsid w:val="0040694B"/>
    <w:rsid w:val="00406BFD"/>
    <w:rsid w:val="00406C9A"/>
    <w:rsid w:val="00406D31"/>
    <w:rsid w:val="004073D1"/>
    <w:rsid w:val="00410554"/>
    <w:rsid w:val="004112DB"/>
    <w:rsid w:val="004114BA"/>
    <w:rsid w:val="004117A8"/>
    <w:rsid w:val="004133B0"/>
    <w:rsid w:val="004146A5"/>
    <w:rsid w:val="00414E1F"/>
    <w:rsid w:val="004155C4"/>
    <w:rsid w:val="004157D1"/>
    <w:rsid w:val="0041595D"/>
    <w:rsid w:val="00415AF9"/>
    <w:rsid w:val="00415BE7"/>
    <w:rsid w:val="00415D6A"/>
    <w:rsid w:val="00415FA8"/>
    <w:rsid w:val="004164CB"/>
    <w:rsid w:val="00417DD7"/>
    <w:rsid w:val="0042025A"/>
    <w:rsid w:val="004205C3"/>
    <w:rsid w:val="004205DC"/>
    <w:rsid w:val="00420DDC"/>
    <w:rsid w:val="00421818"/>
    <w:rsid w:val="004223BA"/>
    <w:rsid w:val="004229BD"/>
    <w:rsid w:val="00422D1C"/>
    <w:rsid w:val="004230C6"/>
    <w:rsid w:val="004230F7"/>
    <w:rsid w:val="004232D2"/>
    <w:rsid w:val="0042409A"/>
    <w:rsid w:val="004244F0"/>
    <w:rsid w:val="00424579"/>
    <w:rsid w:val="00424A41"/>
    <w:rsid w:val="00424B95"/>
    <w:rsid w:val="00425323"/>
    <w:rsid w:val="004255FE"/>
    <w:rsid w:val="00425826"/>
    <w:rsid w:val="00425EC4"/>
    <w:rsid w:val="00427E92"/>
    <w:rsid w:val="00430110"/>
    <w:rsid w:val="0043063C"/>
    <w:rsid w:val="00431CC6"/>
    <w:rsid w:val="0043249F"/>
    <w:rsid w:val="00432A3F"/>
    <w:rsid w:val="00432AA9"/>
    <w:rsid w:val="00433113"/>
    <w:rsid w:val="00433740"/>
    <w:rsid w:val="004338B7"/>
    <w:rsid w:val="00433B2D"/>
    <w:rsid w:val="00433EFC"/>
    <w:rsid w:val="00433F06"/>
    <w:rsid w:val="004345A2"/>
    <w:rsid w:val="00434752"/>
    <w:rsid w:val="00434CD5"/>
    <w:rsid w:val="00435E7B"/>
    <w:rsid w:val="00435FDF"/>
    <w:rsid w:val="00436DC8"/>
    <w:rsid w:val="0043784D"/>
    <w:rsid w:val="00437D43"/>
    <w:rsid w:val="00437DF0"/>
    <w:rsid w:val="00441397"/>
    <w:rsid w:val="00442026"/>
    <w:rsid w:val="00442F8C"/>
    <w:rsid w:val="004431F0"/>
    <w:rsid w:val="0044327C"/>
    <w:rsid w:val="00443884"/>
    <w:rsid w:val="00443D9A"/>
    <w:rsid w:val="00443EAF"/>
    <w:rsid w:val="00444829"/>
    <w:rsid w:val="0044500A"/>
    <w:rsid w:val="004454FE"/>
    <w:rsid w:val="0044557A"/>
    <w:rsid w:val="00446B11"/>
    <w:rsid w:val="00446F47"/>
    <w:rsid w:val="004473E2"/>
    <w:rsid w:val="00447A97"/>
    <w:rsid w:val="00447CCD"/>
    <w:rsid w:val="004508EC"/>
    <w:rsid w:val="00450C50"/>
    <w:rsid w:val="004514DF"/>
    <w:rsid w:val="00451902"/>
    <w:rsid w:val="00451AC0"/>
    <w:rsid w:val="00451B50"/>
    <w:rsid w:val="00452B84"/>
    <w:rsid w:val="00452EC5"/>
    <w:rsid w:val="00453212"/>
    <w:rsid w:val="004538F8"/>
    <w:rsid w:val="0045464F"/>
    <w:rsid w:val="00454700"/>
    <w:rsid w:val="00454A8B"/>
    <w:rsid w:val="00454AA6"/>
    <w:rsid w:val="00455CE4"/>
    <w:rsid w:val="00456089"/>
    <w:rsid w:val="00456404"/>
    <w:rsid w:val="0045687F"/>
    <w:rsid w:val="00460034"/>
    <w:rsid w:val="00460B52"/>
    <w:rsid w:val="0046156B"/>
    <w:rsid w:val="00461594"/>
    <w:rsid w:val="004622A2"/>
    <w:rsid w:val="00462BD1"/>
    <w:rsid w:val="00462CC1"/>
    <w:rsid w:val="00462CC7"/>
    <w:rsid w:val="0046373F"/>
    <w:rsid w:val="00463854"/>
    <w:rsid w:val="0046470A"/>
    <w:rsid w:val="00464A02"/>
    <w:rsid w:val="004662F6"/>
    <w:rsid w:val="00466592"/>
    <w:rsid w:val="00466E20"/>
    <w:rsid w:val="004672C9"/>
    <w:rsid w:val="00467557"/>
    <w:rsid w:val="00467A2C"/>
    <w:rsid w:val="00467A89"/>
    <w:rsid w:val="00467DC8"/>
    <w:rsid w:val="00467EFB"/>
    <w:rsid w:val="0047072D"/>
    <w:rsid w:val="00471544"/>
    <w:rsid w:val="00471B25"/>
    <w:rsid w:val="0047260B"/>
    <w:rsid w:val="00472617"/>
    <w:rsid w:val="004728DE"/>
    <w:rsid w:val="00472B1F"/>
    <w:rsid w:val="0047332D"/>
    <w:rsid w:val="004735DB"/>
    <w:rsid w:val="00473DA8"/>
    <w:rsid w:val="004753E5"/>
    <w:rsid w:val="004756DC"/>
    <w:rsid w:val="004760F2"/>
    <w:rsid w:val="0047758A"/>
    <w:rsid w:val="00477850"/>
    <w:rsid w:val="00477A31"/>
    <w:rsid w:val="00477BD5"/>
    <w:rsid w:val="00477CA9"/>
    <w:rsid w:val="004806F2"/>
    <w:rsid w:val="00480B3C"/>
    <w:rsid w:val="00480BA2"/>
    <w:rsid w:val="00481D1C"/>
    <w:rsid w:val="00482240"/>
    <w:rsid w:val="0048263B"/>
    <w:rsid w:val="00483B36"/>
    <w:rsid w:val="0048429C"/>
    <w:rsid w:val="00484E87"/>
    <w:rsid w:val="00485074"/>
    <w:rsid w:val="00486CC0"/>
    <w:rsid w:val="00486F18"/>
    <w:rsid w:val="00487025"/>
    <w:rsid w:val="0048722C"/>
    <w:rsid w:val="00487AD2"/>
    <w:rsid w:val="00487B7E"/>
    <w:rsid w:val="004901E4"/>
    <w:rsid w:val="0049027B"/>
    <w:rsid w:val="00490640"/>
    <w:rsid w:val="00490CB6"/>
    <w:rsid w:val="00490E79"/>
    <w:rsid w:val="00490ED6"/>
    <w:rsid w:val="004927CF"/>
    <w:rsid w:val="004927F2"/>
    <w:rsid w:val="00492A8A"/>
    <w:rsid w:val="00492FC3"/>
    <w:rsid w:val="00493231"/>
    <w:rsid w:val="004936C5"/>
    <w:rsid w:val="00493A50"/>
    <w:rsid w:val="00493C95"/>
    <w:rsid w:val="00493DAF"/>
    <w:rsid w:val="00494231"/>
    <w:rsid w:val="00494845"/>
    <w:rsid w:val="00495115"/>
    <w:rsid w:val="00496117"/>
    <w:rsid w:val="004962C3"/>
    <w:rsid w:val="0049666E"/>
    <w:rsid w:val="004967C5"/>
    <w:rsid w:val="004968FD"/>
    <w:rsid w:val="004970A3"/>
    <w:rsid w:val="0049765C"/>
    <w:rsid w:val="004A058C"/>
    <w:rsid w:val="004A0BA6"/>
    <w:rsid w:val="004A153E"/>
    <w:rsid w:val="004A2432"/>
    <w:rsid w:val="004A4FC8"/>
    <w:rsid w:val="004A500B"/>
    <w:rsid w:val="004A5505"/>
    <w:rsid w:val="004A5C8F"/>
    <w:rsid w:val="004A6411"/>
    <w:rsid w:val="004A6816"/>
    <w:rsid w:val="004A6B47"/>
    <w:rsid w:val="004A6EDB"/>
    <w:rsid w:val="004A7470"/>
    <w:rsid w:val="004A78AD"/>
    <w:rsid w:val="004A7991"/>
    <w:rsid w:val="004A7A77"/>
    <w:rsid w:val="004A7F80"/>
    <w:rsid w:val="004B0058"/>
    <w:rsid w:val="004B01F3"/>
    <w:rsid w:val="004B0614"/>
    <w:rsid w:val="004B1073"/>
    <w:rsid w:val="004B11FE"/>
    <w:rsid w:val="004B16AB"/>
    <w:rsid w:val="004B174D"/>
    <w:rsid w:val="004B17A3"/>
    <w:rsid w:val="004B18D7"/>
    <w:rsid w:val="004B2154"/>
    <w:rsid w:val="004B29AE"/>
    <w:rsid w:val="004B310D"/>
    <w:rsid w:val="004B3321"/>
    <w:rsid w:val="004B3768"/>
    <w:rsid w:val="004B3D0C"/>
    <w:rsid w:val="004B3F5F"/>
    <w:rsid w:val="004B457E"/>
    <w:rsid w:val="004B4E44"/>
    <w:rsid w:val="004B63A9"/>
    <w:rsid w:val="004B6D2C"/>
    <w:rsid w:val="004B6E7E"/>
    <w:rsid w:val="004B6E7F"/>
    <w:rsid w:val="004B6ED6"/>
    <w:rsid w:val="004B7633"/>
    <w:rsid w:val="004B7A3A"/>
    <w:rsid w:val="004B7C48"/>
    <w:rsid w:val="004B7D04"/>
    <w:rsid w:val="004C0BBE"/>
    <w:rsid w:val="004C0C38"/>
    <w:rsid w:val="004C137E"/>
    <w:rsid w:val="004C1780"/>
    <w:rsid w:val="004C1D7B"/>
    <w:rsid w:val="004C28F8"/>
    <w:rsid w:val="004C2D6B"/>
    <w:rsid w:val="004C30D5"/>
    <w:rsid w:val="004C33DB"/>
    <w:rsid w:val="004C39FB"/>
    <w:rsid w:val="004C3D05"/>
    <w:rsid w:val="004C426A"/>
    <w:rsid w:val="004C4A55"/>
    <w:rsid w:val="004C4F06"/>
    <w:rsid w:val="004C510F"/>
    <w:rsid w:val="004C53D6"/>
    <w:rsid w:val="004C55DF"/>
    <w:rsid w:val="004C62D8"/>
    <w:rsid w:val="004C6781"/>
    <w:rsid w:val="004C69ED"/>
    <w:rsid w:val="004C6F6F"/>
    <w:rsid w:val="004C735B"/>
    <w:rsid w:val="004C78C9"/>
    <w:rsid w:val="004C7A43"/>
    <w:rsid w:val="004C7A9A"/>
    <w:rsid w:val="004D0028"/>
    <w:rsid w:val="004D06A3"/>
    <w:rsid w:val="004D0733"/>
    <w:rsid w:val="004D08C6"/>
    <w:rsid w:val="004D0A0D"/>
    <w:rsid w:val="004D18D7"/>
    <w:rsid w:val="004D18FF"/>
    <w:rsid w:val="004D22B0"/>
    <w:rsid w:val="004D235C"/>
    <w:rsid w:val="004D2BC5"/>
    <w:rsid w:val="004D2DCD"/>
    <w:rsid w:val="004D2F09"/>
    <w:rsid w:val="004D3700"/>
    <w:rsid w:val="004D3B61"/>
    <w:rsid w:val="004D40E2"/>
    <w:rsid w:val="004D43F7"/>
    <w:rsid w:val="004D46AE"/>
    <w:rsid w:val="004D6EFC"/>
    <w:rsid w:val="004D7BAA"/>
    <w:rsid w:val="004E005F"/>
    <w:rsid w:val="004E0828"/>
    <w:rsid w:val="004E0CCD"/>
    <w:rsid w:val="004E0D29"/>
    <w:rsid w:val="004E0F87"/>
    <w:rsid w:val="004E1D24"/>
    <w:rsid w:val="004E264B"/>
    <w:rsid w:val="004E285C"/>
    <w:rsid w:val="004E2929"/>
    <w:rsid w:val="004E30CA"/>
    <w:rsid w:val="004E3796"/>
    <w:rsid w:val="004E428C"/>
    <w:rsid w:val="004E47A4"/>
    <w:rsid w:val="004E4E5C"/>
    <w:rsid w:val="004E502F"/>
    <w:rsid w:val="004E5146"/>
    <w:rsid w:val="004E5235"/>
    <w:rsid w:val="004E5A62"/>
    <w:rsid w:val="004E5F5B"/>
    <w:rsid w:val="004E5FA0"/>
    <w:rsid w:val="004E6331"/>
    <w:rsid w:val="004E6AF5"/>
    <w:rsid w:val="004E7607"/>
    <w:rsid w:val="004F084F"/>
    <w:rsid w:val="004F1654"/>
    <w:rsid w:val="004F1E56"/>
    <w:rsid w:val="004F23EC"/>
    <w:rsid w:val="004F29BC"/>
    <w:rsid w:val="004F2DD6"/>
    <w:rsid w:val="004F2F25"/>
    <w:rsid w:val="004F331A"/>
    <w:rsid w:val="004F352D"/>
    <w:rsid w:val="004F39DB"/>
    <w:rsid w:val="004F3B56"/>
    <w:rsid w:val="004F3BB3"/>
    <w:rsid w:val="004F45B2"/>
    <w:rsid w:val="004F4E4F"/>
    <w:rsid w:val="004F4F09"/>
    <w:rsid w:val="004F57B2"/>
    <w:rsid w:val="004F64D5"/>
    <w:rsid w:val="004F7040"/>
    <w:rsid w:val="004F71BA"/>
    <w:rsid w:val="004F72FE"/>
    <w:rsid w:val="004F7342"/>
    <w:rsid w:val="005001A2"/>
    <w:rsid w:val="00501253"/>
    <w:rsid w:val="00501685"/>
    <w:rsid w:val="00501B67"/>
    <w:rsid w:val="00502374"/>
    <w:rsid w:val="0050295D"/>
    <w:rsid w:val="00502D3F"/>
    <w:rsid w:val="00502FD2"/>
    <w:rsid w:val="00503B56"/>
    <w:rsid w:val="00504E11"/>
    <w:rsid w:val="0050595C"/>
    <w:rsid w:val="00505C46"/>
    <w:rsid w:val="00505E4D"/>
    <w:rsid w:val="0050676B"/>
    <w:rsid w:val="0050676D"/>
    <w:rsid w:val="00506F46"/>
    <w:rsid w:val="005074EF"/>
    <w:rsid w:val="00507CA0"/>
    <w:rsid w:val="00507FFC"/>
    <w:rsid w:val="005118B4"/>
    <w:rsid w:val="0051209E"/>
    <w:rsid w:val="00512B91"/>
    <w:rsid w:val="00512BF5"/>
    <w:rsid w:val="005130BC"/>
    <w:rsid w:val="0051355D"/>
    <w:rsid w:val="00514304"/>
    <w:rsid w:val="005145A8"/>
    <w:rsid w:val="00514C91"/>
    <w:rsid w:val="005150DD"/>
    <w:rsid w:val="005152F3"/>
    <w:rsid w:val="00515FF0"/>
    <w:rsid w:val="00516105"/>
    <w:rsid w:val="00517431"/>
    <w:rsid w:val="00517471"/>
    <w:rsid w:val="0052005C"/>
    <w:rsid w:val="00520118"/>
    <w:rsid w:val="00520D95"/>
    <w:rsid w:val="005217AB"/>
    <w:rsid w:val="005218F8"/>
    <w:rsid w:val="00521AE1"/>
    <w:rsid w:val="005240C4"/>
    <w:rsid w:val="005241D4"/>
    <w:rsid w:val="00524767"/>
    <w:rsid w:val="0052580D"/>
    <w:rsid w:val="00525DAF"/>
    <w:rsid w:val="00526199"/>
    <w:rsid w:val="005273E0"/>
    <w:rsid w:val="00527425"/>
    <w:rsid w:val="005277D8"/>
    <w:rsid w:val="00530B77"/>
    <w:rsid w:val="00530C49"/>
    <w:rsid w:val="00530D39"/>
    <w:rsid w:val="0053111F"/>
    <w:rsid w:val="005314A6"/>
    <w:rsid w:val="00531A07"/>
    <w:rsid w:val="00531CA4"/>
    <w:rsid w:val="00531DEE"/>
    <w:rsid w:val="00532108"/>
    <w:rsid w:val="00532A6A"/>
    <w:rsid w:val="00533AE6"/>
    <w:rsid w:val="0053447C"/>
    <w:rsid w:val="00534C08"/>
    <w:rsid w:val="00534EC1"/>
    <w:rsid w:val="00535736"/>
    <w:rsid w:val="0053650C"/>
    <w:rsid w:val="00536566"/>
    <w:rsid w:val="00536F54"/>
    <w:rsid w:val="005372A9"/>
    <w:rsid w:val="0053765B"/>
    <w:rsid w:val="00537AC1"/>
    <w:rsid w:val="00542205"/>
    <w:rsid w:val="00542FB6"/>
    <w:rsid w:val="00543F3D"/>
    <w:rsid w:val="0054464D"/>
    <w:rsid w:val="00544DB7"/>
    <w:rsid w:val="00545D2D"/>
    <w:rsid w:val="00546906"/>
    <w:rsid w:val="00546C9F"/>
    <w:rsid w:val="00550971"/>
    <w:rsid w:val="00550B9C"/>
    <w:rsid w:val="00550E91"/>
    <w:rsid w:val="00551D48"/>
    <w:rsid w:val="00552271"/>
    <w:rsid w:val="0055307F"/>
    <w:rsid w:val="0055367D"/>
    <w:rsid w:val="0055384D"/>
    <w:rsid w:val="0055385A"/>
    <w:rsid w:val="00553ADC"/>
    <w:rsid w:val="0055421A"/>
    <w:rsid w:val="00555231"/>
    <w:rsid w:val="0055577D"/>
    <w:rsid w:val="00555956"/>
    <w:rsid w:val="00555BDC"/>
    <w:rsid w:val="00555D5F"/>
    <w:rsid w:val="0055661E"/>
    <w:rsid w:val="005567FF"/>
    <w:rsid w:val="00556A1E"/>
    <w:rsid w:val="00557086"/>
    <w:rsid w:val="005575BD"/>
    <w:rsid w:val="00557E2C"/>
    <w:rsid w:val="00557F6B"/>
    <w:rsid w:val="005603C7"/>
    <w:rsid w:val="00560D4B"/>
    <w:rsid w:val="0056213E"/>
    <w:rsid w:val="00562972"/>
    <w:rsid w:val="00562C2E"/>
    <w:rsid w:val="0056348A"/>
    <w:rsid w:val="0056348E"/>
    <w:rsid w:val="00563C7B"/>
    <w:rsid w:val="005641A0"/>
    <w:rsid w:val="005645B6"/>
    <w:rsid w:val="00564893"/>
    <w:rsid w:val="005648C3"/>
    <w:rsid w:val="00564A2A"/>
    <w:rsid w:val="005652BB"/>
    <w:rsid w:val="005654DC"/>
    <w:rsid w:val="00565729"/>
    <w:rsid w:val="00566356"/>
    <w:rsid w:val="0056664E"/>
    <w:rsid w:val="005668CC"/>
    <w:rsid w:val="00566C50"/>
    <w:rsid w:val="0056764A"/>
    <w:rsid w:val="00567A68"/>
    <w:rsid w:val="00567E13"/>
    <w:rsid w:val="0057019F"/>
    <w:rsid w:val="00570C2A"/>
    <w:rsid w:val="00571BBC"/>
    <w:rsid w:val="00572096"/>
    <w:rsid w:val="005723AA"/>
    <w:rsid w:val="0057288E"/>
    <w:rsid w:val="00572D95"/>
    <w:rsid w:val="005733FF"/>
    <w:rsid w:val="0057399F"/>
    <w:rsid w:val="00573B2C"/>
    <w:rsid w:val="00573D09"/>
    <w:rsid w:val="005744B3"/>
    <w:rsid w:val="00574ED8"/>
    <w:rsid w:val="00576D28"/>
    <w:rsid w:val="00576F57"/>
    <w:rsid w:val="005773F3"/>
    <w:rsid w:val="005809F8"/>
    <w:rsid w:val="00581124"/>
    <w:rsid w:val="00581916"/>
    <w:rsid w:val="00581F91"/>
    <w:rsid w:val="00582F6D"/>
    <w:rsid w:val="00583E22"/>
    <w:rsid w:val="00583EBB"/>
    <w:rsid w:val="00583F6D"/>
    <w:rsid w:val="005847E6"/>
    <w:rsid w:val="0058489E"/>
    <w:rsid w:val="0058516A"/>
    <w:rsid w:val="00585464"/>
    <w:rsid w:val="005855F9"/>
    <w:rsid w:val="00585951"/>
    <w:rsid w:val="005859C5"/>
    <w:rsid w:val="005864F7"/>
    <w:rsid w:val="005867D3"/>
    <w:rsid w:val="00586880"/>
    <w:rsid w:val="00586DA0"/>
    <w:rsid w:val="005874E6"/>
    <w:rsid w:val="00587E76"/>
    <w:rsid w:val="00587FA7"/>
    <w:rsid w:val="005903AB"/>
    <w:rsid w:val="00590ADE"/>
    <w:rsid w:val="00590B7F"/>
    <w:rsid w:val="00590CB7"/>
    <w:rsid w:val="00590CD5"/>
    <w:rsid w:val="00592922"/>
    <w:rsid w:val="00593F37"/>
    <w:rsid w:val="00595421"/>
    <w:rsid w:val="0059546C"/>
    <w:rsid w:val="0059551B"/>
    <w:rsid w:val="00595DD4"/>
    <w:rsid w:val="0059655F"/>
    <w:rsid w:val="00596582"/>
    <w:rsid w:val="005967CB"/>
    <w:rsid w:val="00597275"/>
    <w:rsid w:val="005977B4"/>
    <w:rsid w:val="0059798E"/>
    <w:rsid w:val="00597AA6"/>
    <w:rsid w:val="005A0643"/>
    <w:rsid w:val="005A066C"/>
    <w:rsid w:val="005A0B11"/>
    <w:rsid w:val="005A1184"/>
    <w:rsid w:val="005A122C"/>
    <w:rsid w:val="005A1682"/>
    <w:rsid w:val="005A2976"/>
    <w:rsid w:val="005A2BC3"/>
    <w:rsid w:val="005A3AC8"/>
    <w:rsid w:val="005A455F"/>
    <w:rsid w:val="005A4E9A"/>
    <w:rsid w:val="005A518C"/>
    <w:rsid w:val="005A51F2"/>
    <w:rsid w:val="005A5257"/>
    <w:rsid w:val="005A555D"/>
    <w:rsid w:val="005A580E"/>
    <w:rsid w:val="005A6211"/>
    <w:rsid w:val="005A6782"/>
    <w:rsid w:val="005A68F2"/>
    <w:rsid w:val="005A724A"/>
    <w:rsid w:val="005A7453"/>
    <w:rsid w:val="005B12B9"/>
    <w:rsid w:val="005B158A"/>
    <w:rsid w:val="005B1748"/>
    <w:rsid w:val="005B33A8"/>
    <w:rsid w:val="005B44F2"/>
    <w:rsid w:val="005B46CF"/>
    <w:rsid w:val="005B4BD6"/>
    <w:rsid w:val="005B4CDE"/>
    <w:rsid w:val="005B4E74"/>
    <w:rsid w:val="005B4FA0"/>
    <w:rsid w:val="005B50AB"/>
    <w:rsid w:val="005B50D1"/>
    <w:rsid w:val="005B525F"/>
    <w:rsid w:val="005B6C89"/>
    <w:rsid w:val="005B711F"/>
    <w:rsid w:val="005B7277"/>
    <w:rsid w:val="005B755C"/>
    <w:rsid w:val="005B7717"/>
    <w:rsid w:val="005B7993"/>
    <w:rsid w:val="005B7D1E"/>
    <w:rsid w:val="005C17DD"/>
    <w:rsid w:val="005C1986"/>
    <w:rsid w:val="005C1A0D"/>
    <w:rsid w:val="005C1D78"/>
    <w:rsid w:val="005C1E40"/>
    <w:rsid w:val="005C2681"/>
    <w:rsid w:val="005C2833"/>
    <w:rsid w:val="005C2B99"/>
    <w:rsid w:val="005C344D"/>
    <w:rsid w:val="005C44E2"/>
    <w:rsid w:val="005C478C"/>
    <w:rsid w:val="005C4D6B"/>
    <w:rsid w:val="005C52AD"/>
    <w:rsid w:val="005C54DC"/>
    <w:rsid w:val="005C5693"/>
    <w:rsid w:val="005C58B1"/>
    <w:rsid w:val="005C5B3D"/>
    <w:rsid w:val="005C6C0A"/>
    <w:rsid w:val="005C6E10"/>
    <w:rsid w:val="005C7164"/>
    <w:rsid w:val="005C77AD"/>
    <w:rsid w:val="005C7BE4"/>
    <w:rsid w:val="005C7FEB"/>
    <w:rsid w:val="005D0149"/>
    <w:rsid w:val="005D12C8"/>
    <w:rsid w:val="005D1E47"/>
    <w:rsid w:val="005D2DDA"/>
    <w:rsid w:val="005D33AA"/>
    <w:rsid w:val="005D3A28"/>
    <w:rsid w:val="005D400B"/>
    <w:rsid w:val="005D43CF"/>
    <w:rsid w:val="005D4484"/>
    <w:rsid w:val="005D46A3"/>
    <w:rsid w:val="005D55AD"/>
    <w:rsid w:val="005D5B76"/>
    <w:rsid w:val="005D5E37"/>
    <w:rsid w:val="005D6EE6"/>
    <w:rsid w:val="005D6F17"/>
    <w:rsid w:val="005E02AF"/>
    <w:rsid w:val="005E1A9A"/>
    <w:rsid w:val="005E1F41"/>
    <w:rsid w:val="005E24C3"/>
    <w:rsid w:val="005E25EC"/>
    <w:rsid w:val="005E41A2"/>
    <w:rsid w:val="005E5601"/>
    <w:rsid w:val="005E5D1D"/>
    <w:rsid w:val="005E5DC5"/>
    <w:rsid w:val="005E6214"/>
    <w:rsid w:val="005E6272"/>
    <w:rsid w:val="005E6598"/>
    <w:rsid w:val="005E7634"/>
    <w:rsid w:val="005E776F"/>
    <w:rsid w:val="005E7CDA"/>
    <w:rsid w:val="005E7E73"/>
    <w:rsid w:val="005F1664"/>
    <w:rsid w:val="005F16EB"/>
    <w:rsid w:val="005F1B1F"/>
    <w:rsid w:val="005F23C8"/>
    <w:rsid w:val="005F3287"/>
    <w:rsid w:val="005F343C"/>
    <w:rsid w:val="005F37CE"/>
    <w:rsid w:val="005F38AA"/>
    <w:rsid w:val="005F44DD"/>
    <w:rsid w:val="005F491D"/>
    <w:rsid w:val="005F4A7C"/>
    <w:rsid w:val="005F4D62"/>
    <w:rsid w:val="005F5019"/>
    <w:rsid w:val="005F531A"/>
    <w:rsid w:val="005F531C"/>
    <w:rsid w:val="005F5B9C"/>
    <w:rsid w:val="005F69C5"/>
    <w:rsid w:val="005F7626"/>
    <w:rsid w:val="0060008C"/>
    <w:rsid w:val="00600168"/>
    <w:rsid w:val="00600C45"/>
    <w:rsid w:val="00601499"/>
    <w:rsid w:val="006018E7"/>
    <w:rsid w:val="0060194D"/>
    <w:rsid w:val="00601988"/>
    <w:rsid w:val="00601A20"/>
    <w:rsid w:val="00601A71"/>
    <w:rsid w:val="00602F7B"/>
    <w:rsid w:val="006035B9"/>
    <w:rsid w:val="00603E13"/>
    <w:rsid w:val="00603ED1"/>
    <w:rsid w:val="006041FA"/>
    <w:rsid w:val="0060446A"/>
    <w:rsid w:val="0060473B"/>
    <w:rsid w:val="006048B9"/>
    <w:rsid w:val="00606425"/>
    <w:rsid w:val="00606772"/>
    <w:rsid w:val="00606898"/>
    <w:rsid w:val="00607E81"/>
    <w:rsid w:val="00610D0B"/>
    <w:rsid w:val="006112F1"/>
    <w:rsid w:val="006113DB"/>
    <w:rsid w:val="00611BC8"/>
    <w:rsid w:val="00611E37"/>
    <w:rsid w:val="00612371"/>
    <w:rsid w:val="00612FBA"/>
    <w:rsid w:val="00613067"/>
    <w:rsid w:val="0061317C"/>
    <w:rsid w:val="00613656"/>
    <w:rsid w:val="00613A6B"/>
    <w:rsid w:val="00613EC1"/>
    <w:rsid w:val="00614F28"/>
    <w:rsid w:val="0061583D"/>
    <w:rsid w:val="00615DC6"/>
    <w:rsid w:val="00616640"/>
    <w:rsid w:val="0061683D"/>
    <w:rsid w:val="00617785"/>
    <w:rsid w:val="00617B61"/>
    <w:rsid w:val="00617BC5"/>
    <w:rsid w:val="00620817"/>
    <w:rsid w:val="00622102"/>
    <w:rsid w:val="00622360"/>
    <w:rsid w:val="00622F7E"/>
    <w:rsid w:val="006234EF"/>
    <w:rsid w:val="00623738"/>
    <w:rsid w:val="00623A28"/>
    <w:rsid w:val="00623B98"/>
    <w:rsid w:val="00624168"/>
    <w:rsid w:val="00624A63"/>
    <w:rsid w:val="0062568B"/>
    <w:rsid w:val="006256C6"/>
    <w:rsid w:val="00625BB1"/>
    <w:rsid w:val="00625FBD"/>
    <w:rsid w:val="006267A5"/>
    <w:rsid w:val="006268EF"/>
    <w:rsid w:val="00627213"/>
    <w:rsid w:val="00627364"/>
    <w:rsid w:val="00630949"/>
    <w:rsid w:val="0063166D"/>
    <w:rsid w:val="0063166E"/>
    <w:rsid w:val="0063286F"/>
    <w:rsid w:val="00632E62"/>
    <w:rsid w:val="006342F8"/>
    <w:rsid w:val="00634691"/>
    <w:rsid w:val="00634C44"/>
    <w:rsid w:val="00635ADE"/>
    <w:rsid w:val="00635EAC"/>
    <w:rsid w:val="00637EA9"/>
    <w:rsid w:val="0064002B"/>
    <w:rsid w:val="006401EF"/>
    <w:rsid w:val="00640777"/>
    <w:rsid w:val="006414B3"/>
    <w:rsid w:val="00641A7F"/>
    <w:rsid w:val="00641FAC"/>
    <w:rsid w:val="006437CF"/>
    <w:rsid w:val="00643A3A"/>
    <w:rsid w:val="00643A65"/>
    <w:rsid w:val="00644089"/>
    <w:rsid w:val="00644DF5"/>
    <w:rsid w:val="00644EDA"/>
    <w:rsid w:val="0064529E"/>
    <w:rsid w:val="006454EC"/>
    <w:rsid w:val="00645736"/>
    <w:rsid w:val="006459DE"/>
    <w:rsid w:val="00646329"/>
    <w:rsid w:val="006471E6"/>
    <w:rsid w:val="006509E5"/>
    <w:rsid w:val="00651111"/>
    <w:rsid w:val="00651370"/>
    <w:rsid w:val="00651424"/>
    <w:rsid w:val="00651486"/>
    <w:rsid w:val="00651833"/>
    <w:rsid w:val="00652F74"/>
    <w:rsid w:val="00653554"/>
    <w:rsid w:val="0065398F"/>
    <w:rsid w:val="00653FD7"/>
    <w:rsid w:val="00656219"/>
    <w:rsid w:val="006568A3"/>
    <w:rsid w:val="00656D46"/>
    <w:rsid w:val="00656D85"/>
    <w:rsid w:val="00656F1A"/>
    <w:rsid w:val="00657137"/>
    <w:rsid w:val="00657F45"/>
    <w:rsid w:val="00657F7B"/>
    <w:rsid w:val="00660538"/>
    <w:rsid w:val="00660645"/>
    <w:rsid w:val="006608EF"/>
    <w:rsid w:val="00660B83"/>
    <w:rsid w:val="00660BAE"/>
    <w:rsid w:val="00661007"/>
    <w:rsid w:val="00661CF3"/>
    <w:rsid w:val="00661F70"/>
    <w:rsid w:val="006620B9"/>
    <w:rsid w:val="00662AB1"/>
    <w:rsid w:val="00663BC7"/>
    <w:rsid w:val="006643E8"/>
    <w:rsid w:val="00664705"/>
    <w:rsid w:val="00664F01"/>
    <w:rsid w:val="00665523"/>
    <w:rsid w:val="006658EA"/>
    <w:rsid w:val="006665DA"/>
    <w:rsid w:val="00667179"/>
    <w:rsid w:val="00667648"/>
    <w:rsid w:val="0067033C"/>
    <w:rsid w:val="00671522"/>
    <w:rsid w:val="00672CE2"/>
    <w:rsid w:val="0067325E"/>
    <w:rsid w:val="00673794"/>
    <w:rsid w:val="0067455F"/>
    <w:rsid w:val="00674621"/>
    <w:rsid w:val="006746E5"/>
    <w:rsid w:val="006748E9"/>
    <w:rsid w:val="00675FBB"/>
    <w:rsid w:val="00676325"/>
    <w:rsid w:val="006767A7"/>
    <w:rsid w:val="00676FD9"/>
    <w:rsid w:val="00677017"/>
    <w:rsid w:val="006772DE"/>
    <w:rsid w:val="006773EC"/>
    <w:rsid w:val="006775B2"/>
    <w:rsid w:val="006812FE"/>
    <w:rsid w:val="0068163B"/>
    <w:rsid w:val="00682639"/>
    <w:rsid w:val="00682FCF"/>
    <w:rsid w:val="0068381E"/>
    <w:rsid w:val="00683CEA"/>
    <w:rsid w:val="006841BB"/>
    <w:rsid w:val="006850F5"/>
    <w:rsid w:val="00685582"/>
    <w:rsid w:val="006860F7"/>
    <w:rsid w:val="006868E2"/>
    <w:rsid w:val="00687897"/>
    <w:rsid w:val="006878CD"/>
    <w:rsid w:val="00687A07"/>
    <w:rsid w:val="0069008B"/>
    <w:rsid w:val="0069078B"/>
    <w:rsid w:val="006911F0"/>
    <w:rsid w:val="00691448"/>
    <w:rsid w:val="00691F55"/>
    <w:rsid w:val="0069227A"/>
    <w:rsid w:val="006928D0"/>
    <w:rsid w:val="00693054"/>
    <w:rsid w:val="00693670"/>
    <w:rsid w:val="00693ECC"/>
    <w:rsid w:val="00694631"/>
    <w:rsid w:val="00694921"/>
    <w:rsid w:val="006956E9"/>
    <w:rsid w:val="00695964"/>
    <w:rsid w:val="00695CB5"/>
    <w:rsid w:val="00696703"/>
    <w:rsid w:val="00697C27"/>
    <w:rsid w:val="00697D1A"/>
    <w:rsid w:val="00697F83"/>
    <w:rsid w:val="006A003A"/>
    <w:rsid w:val="006A05D0"/>
    <w:rsid w:val="006A0846"/>
    <w:rsid w:val="006A127C"/>
    <w:rsid w:val="006A15D8"/>
    <w:rsid w:val="006A1A1E"/>
    <w:rsid w:val="006A1D07"/>
    <w:rsid w:val="006A2111"/>
    <w:rsid w:val="006A23FC"/>
    <w:rsid w:val="006A25F9"/>
    <w:rsid w:val="006A3466"/>
    <w:rsid w:val="006A3949"/>
    <w:rsid w:val="006A3BEF"/>
    <w:rsid w:val="006A4345"/>
    <w:rsid w:val="006A487E"/>
    <w:rsid w:val="006A4AA8"/>
    <w:rsid w:val="006A4C7C"/>
    <w:rsid w:val="006A502A"/>
    <w:rsid w:val="006A50EF"/>
    <w:rsid w:val="006A5B01"/>
    <w:rsid w:val="006A6278"/>
    <w:rsid w:val="006A7F35"/>
    <w:rsid w:val="006B005F"/>
    <w:rsid w:val="006B0DEE"/>
    <w:rsid w:val="006B0FCA"/>
    <w:rsid w:val="006B1017"/>
    <w:rsid w:val="006B1125"/>
    <w:rsid w:val="006B144B"/>
    <w:rsid w:val="006B213B"/>
    <w:rsid w:val="006B2319"/>
    <w:rsid w:val="006B24AB"/>
    <w:rsid w:val="006B3002"/>
    <w:rsid w:val="006B31D0"/>
    <w:rsid w:val="006B329F"/>
    <w:rsid w:val="006B3364"/>
    <w:rsid w:val="006B4251"/>
    <w:rsid w:val="006B4F4D"/>
    <w:rsid w:val="006B5D62"/>
    <w:rsid w:val="006B6600"/>
    <w:rsid w:val="006B6DBA"/>
    <w:rsid w:val="006B6FBA"/>
    <w:rsid w:val="006B727D"/>
    <w:rsid w:val="006B72B1"/>
    <w:rsid w:val="006C05C9"/>
    <w:rsid w:val="006C0BC1"/>
    <w:rsid w:val="006C17EC"/>
    <w:rsid w:val="006C1B87"/>
    <w:rsid w:val="006C1ED9"/>
    <w:rsid w:val="006C3219"/>
    <w:rsid w:val="006C3BD3"/>
    <w:rsid w:val="006C3C15"/>
    <w:rsid w:val="006C4000"/>
    <w:rsid w:val="006C4184"/>
    <w:rsid w:val="006C49E8"/>
    <w:rsid w:val="006C513E"/>
    <w:rsid w:val="006C52CF"/>
    <w:rsid w:val="006C5450"/>
    <w:rsid w:val="006C5FE5"/>
    <w:rsid w:val="006C6661"/>
    <w:rsid w:val="006C6D7F"/>
    <w:rsid w:val="006C712B"/>
    <w:rsid w:val="006C7BA9"/>
    <w:rsid w:val="006C7E00"/>
    <w:rsid w:val="006C7FD2"/>
    <w:rsid w:val="006D0136"/>
    <w:rsid w:val="006D04A6"/>
    <w:rsid w:val="006D0A82"/>
    <w:rsid w:val="006D116F"/>
    <w:rsid w:val="006D12D8"/>
    <w:rsid w:val="006D1466"/>
    <w:rsid w:val="006D1827"/>
    <w:rsid w:val="006D2266"/>
    <w:rsid w:val="006D2800"/>
    <w:rsid w:val="006D29B3"/>
    <w:rsid w:val="006D2B29"/>
    <w:rsid w:val="006D37B6"/>
    <w:rsid w:val="006D3EFC"/>
    <w:rsid w:val="006D43C0"/>
    <w:rsid w:val="006D460E"/>
    <w:rsid w:val="006D4898"/>
    <w:rsid w:val="006D48F5"/>
    <w:rsid w:val="006D4A5D"/>
    <w:rsid w:val="006D4A5E"/>
    <w:rsid w:val="006D503C"/>
    <w:rsid w:val="006D52A6"/>
    <w:rsid w:val="006D53AB"/>
    <w:rsid w:val="006D5646"/>
    <w:rsid w:val="006D58DF"/>
    <w:rsid w:val="006D5991"/>
    <w:rsid w:val="006D59ED"/>
    <w:rsid w:val="006D5D60"/>
    <w:rsid w:val="006D6237"/>
    <w:rsid w:val="006D6C7A"/>
    <w:rsid w:val="006D722B"/>
    <w:rsid w:val="006D7368"/>
    <w:rsid w:val="006D7A3E"/>
    <w:rsid w:val="006E04A4"/>
    <w:rsid w:val="006E08F3"/>
    <w:rsid w:val="006E159D"/>
    <w:rsid w:val="006E1BED"/>
    <w:rsid w:val="006E2228"/>
    <w:rsid w:val="006E2AB3"/>
    <w:rsid w:val="006E320F"/>
    <w:rsid w:val="006E366F"/>
    <w:rsid w:val="006E37BD"/>
    <w:rsid w:val="006E42B5"/>
    <w:rsid w:val="006E441D"/>
    <w:rsid w:val="006E4711"/>
    <w:rsid w:val="006E4AE3"/>
    <w:rsid w:val="006E5292"/>
    <w:rsid w:val="006E604E"/>
    <w:rsid w:val="006E6779"/>
    <w:rsid w:val="006F0AB5"/>
    <w:rsid w:val="006F1229"/>
    <w:rsid w:val="006F17AD"/>
    <w:rsid w:val="006F1858"/>
    <w:rsid w:val="006F1B24"/>
    <w:rsid w:val="006F1BCD"/>
    <w:rsid w:val="006F1D9B"/>
    <w:rsid w:val="006F2531"/>
    <w:rsid w:val="006F2983"/>
    <w:rsid w:val="006F2B34"/>
    <w:rsid w:val="006F2FFC"/>
    <w:rsid w:val="006F313F"/>
    <w:rsid w:val="006F3182"/>
    <w:rsid w:val="006F407E"/>
    <w:rsid w:val="006F4A15"/>
    <w:rsid w:val="006F58AD"/>
    <w:rsid w:val="006F5908"/>
    <w:rsid w:val="006F5B27"/>
    <w:rsid w:val="006F5CB1"/>
    <w:rsid w:val="006F61C0"/>
    <w:rsid w:val="006F6720"/>
    <w:rsid w:val="006F7D32"/>
    <w:rsid w:val="006F7FF2"/>
    <w:rsid w:val="00700189"/>
    <w:rsid w:val="00700A37"/>
    <w:rsid w:val="007011A5"/>
    <w:rsid w:val="00701754"/>
    <w:rsid w:val="00703D8E"/>
    <w:rsid w:val="00704229"/>
    <w:rsid w:val="00704DDD"/>
    <w:rsid w:val="00704FB5"/>
    <w:rsid w:val="007057FA"/>
    <w:rsid w:val="007061BA"/>
    <w:rsid w:val="00706ADB"/>
    <w:rsid w:val="00706C1F"/>
    <w:rsid w:val="00707144"/>
    <w:rsid w:val="00707C08"/>
    <w:rsid w:val="00710AF5"/>
    <w:rsid w:val="00710E8B"/>
    <w:rsid w:val="00710ED5"/>
    <w:rsid w:val="007118B5"/>
    <w:rsid w:val="0071225A"/>
    <w:rsid w:val="00712C8D"/>
    <w:rsid w:val="00712CAD"/>
    <w:rsid w:val="00713B8D"/>
    <w:rsid w:val="00713CB9"/>
    <w:rsid w:val="0071402F"/>
    <w:rsid w:val="007146AB"/>
    <w:rsid w:val="007146F4"/>
    <w:rsid w:val="0071474C"/>
    <w:rsid w:val="00714A14"/>
    <w:rsid w:val="00714D58"/>
    <w:rsid w:val="00714EC9"/>
    <w:rsid w:val="0071573D"/>
    <w:rsid w:val="00715A71"/>
    <w:rsid w:val="0071612E"/>
    <w:rsid w:val="00717286"/>
    <w:rsid w:val="007173D7"/>
    <w:rsid w:val="00717D32"/>
    <w:rsid w:val="0072027E"/>
    <w:rsid w:val="007202E2"/>
    <w:rsid w:val="007206FA"/>
    <w:rsid w:val="00720FA1"/>
    <w:rsid w:val="0072190E"/>
    <w:rsid w:val="007219B1"/>
    <w:rsid w:val="007220E9"/>
    <w:rsid w:val="007221CC"/>
    <w:rsid w:val="007225AD"/>
    <w:rsid w:val="0072367A"/>
    <w:rsid w:val="00723B03"/>
    <w:rsid w:val="0072434D"/>
    <w:rsid w:val="00724422"/>
    <w:rsid w:val="007245F0"/>
    <w:rsid w:val="00724CA8"/>
    <w:rsid w:val="007257FD"/>
    <w:rsid w:val="007259E0"/>
    <w:rsid w:val="00727DCC"/>
    <w:rsid w:val="00730584"/>
    <w:rsid w:val="007307C5"/>
    <w:rsid w:val="00730AA5"/>
    <w:rsid w:val="00731557"/>
    <w:rsid w:val="007315B4"/>
    <w:rsid w:val="007317BC"/>
    <w:rsid w:val="00731B07"/>
    <w:rsid w:val="0073209D"/>
    <w:rsid w:val="00732C5E"/>
    <w:rsid w:val="00733395"/>
    <w:rsid w:val="007336C5"/>
    <w:rsid w:val="00733F08"/>
    <w:rsid w:val="00734105"/>
    <w:rsid w:val="007342C2"/>
    <w:rsid w:val="007348FB"/>
    <w:rsid w:val="00734BE3"/>
    <w:rsid w:val="00734BFE"/>
    <w:rsid w:val="00734D65"/>
    <w:rsid w:val="00735395"/>
    <w:rsid w:val="0073554A"/>
    <w:rsid w:val="007355F6"/>
    <w:rsid w:val="0073670F"/>
    <w:rsid w:val="0073672C"/>
    <w:rsid w:val="007373EE"/>
    <w:rsid w:val="00737E6A"/>
    <w:rsid w:val="0074013C"/>
    <w:rsid w:val="00740946"/>
    <w:rsid w:val="00741577"/>
    <w:rsid w:val="0074199B"/>
    <w:rsid w:val="00741A8F"/>
    <w:rsid w:val="00741C27"/>
    <w:rsid w:val="00741E08"/>
    <w:rsid w:val="0074237E"/>
    <w:rsid w:val="007428F5"/>
    <w:rsid w:val="007430E1"/>
    <w:rsid w:val="00744038"/>
    <w:rsid w:val="007443FA"/>
    <w:rsid w:val="00744817"/>
    <w:rsid w:val="00744917"/>
    <w:rsid w:val="007449D1"/>
    <w:rsid w:val="007466E5"/>
    <w:rsid w:val="00747452"/>
    <w:rsid w:val="007474C3"/>
    <w:rsid w:val="00747C4F"/>
    <w:rsid w:val="00747FC9"/>
    <w:rsid w:val="00750A62"/>
    <w:rsid w:val="00750F1F"/>
    <w:rsid w:val="0075104A"/>
    <w:rsid w:val="00751329"/>
    <w:rsid w:val="0075165A"/>
    <w:rsid w:val="00751898"/>
    <w:rsid w:val="00752562"/>
    <w:rsid w:val="00752944"/>
    <w:rsid w:val="00752956"/>
    <w:rsid w:val="00752FC5"/>
    <w:rsid w:val="00753D86"/>
    <w:rsid w:val="00754025"/>
    <w:rsid w:val="00754D14"/>
    <w:rsid w:val="00755562"/>
    <w:rsid w:val="00755A57"/>
    <w:rsid w:val="00755B10"/>
    <w:rsid w:val="00756BAE"/>
    <w:rsid w:val="0075742F"/>
    <w:rsid w:val="00757732"/>
    <w:rsid w:val="00757799"/>
    <w:rsid w:val="00757A2D"/>
    <w:rsid w:val="00757AB1"/>
    <w:rsid w:val="00760AE9"/>
    <w:rsid w:val="00760E87"/>
    <w:rsid w:val="00760F15"/>
    <w:rsid w:val="007616EB"/>
    <w:rsid w:val="00761A8E"/>
    <w:rsid w:val="00761C8B"/>
    <w:rsid w:val="00762730"/>
    <w:rsid w:val="00762B14"/>
    <w:rsid w:val="00763832"/>
    <w:rsid w:val="00763EF2"/>
    <w:rsid w:val="00764578"/>
    <w:rsid w:val="00764DE0"/>
    <w:rsid w:val="0076522C"/>
    <w:rsid w:val="007655BB"/>
    <w:rsid w:val="00766749"/>
    <w:rsid w:val="0076676B"/>
    <w:rsid w:val="0076728B"/>
    <w:rsid w:val="00767469"/>
    <w:rsid w:val="00767A92"/>
    <w:rsid w:val="00767AF4"/>
    <w:rsid w:val="00770224"/>
    <w:rsid w:val="00770B09"/>
    <w:rsid w:val="007724D8"/>
    <w:rsid w:val="00772815"/>
    <w:rsid w:val="00772945"/>
    <w:rsid w:val="0077314D"/>
    <w:rsid w:val="007731F6"/>
    <w:rsid w:val="007736CC"/>
    <w:rsid w:val="00773924"/>
    <w:rsid w:val="007741FE"/>
    <w:rsid w:val="0077557D"/>
    <w:rsid w:val="00775F1C"/>
    <w:rsid w:val="00776178"/>
    <w:rsid w:val="0077632D"/>
    <w:rsid w:val="007764ED"/>
    <w:rsid w:val="00777A05"/>
    <w:rsid w:val="0078049B"/>
    <w:rsid w:val="00781752"/>
    <w:rsid w:val="00782150"/>
    <w:rsid w:val="007832EB"/>
    <w:rsid w:val="00783970"/>
    <w:rsid w:val="00783B47"/>
    <w:rsid w:val="00783B6E"/>
    <w:rsid w:val="00784534"/>
    <w:rsid w:val="00784FFD"/>
    <w:rsid w:val="007863EA"/>
    <w:rsid w:val="007867B4"/>
    <w:rsid w:val="00786E6C"/>
    <w:rsid w:val="007879E4"/>
    <w:rsid w:val="00787D0D"/>
    <w:rsid w:val="00787DD5"/>
    <w:rsid w:val="00790194"/>
    <w:rsid w:val="007915DA"/>
    <w:rsid w:val="007918AE"/>
    <w:rsid w:val="00791DE5"/>
    <w:rsid w:val="007925A5"/>
    <w:rsid w:val="007925AF"/>
    <w:rsid w:val="007927A7"/>
    <w:rsid w:val="00792F87"/>
    <w:rsid w:val="007930E5"/>
    <w:rsid w:val="00793156"/>
    <w:rsid w:val="007934FE"/>
    <w:rsid w:val="00793D2F"/>
    <w:rsid w:val="00793E69"/>
    <w:rsid w:val="007948CC"/>
    <w:rsid w:val="00794BC4"/>
    <w:rsid w:val="00795603"/>
    <w:rsid w:val="00795FC6"/>
    <w:rsid w:val="00796BF6"/>
    <w:rsid w:val="00796C13"/>
    <w:rsid w:val="007A0126"/>
    <w:rsid w:val="007A19BE"/>
    <w:rsid w:val="007A217D"/>
    <w:rsid w:val="007A31AC"/>
    <w:rsid w:val="007A31D1"/>
    <w:rsid w:val="007A3600"/>
    <w:rsid w:val="007A376B"/>
    <w:rsid w:val="007A3BB7"/>
    <w:rsid w:val="007A556C"/>
    <w:rsid w:val="007A55CD"/>
    <w:rsid w:val="007A56D1"/>
    <w:rsid w:val="007A7097"/>
    <w:rsid w:val="007A765D"/>
    <w:rsid w:val="007B01C8"/>
    <w:rsid w:val="007B03C7"/>
    <w:rsid w:val="007B06F7"/>
    <w:rsid w:val="007B3081"/>
    <w:rsid w:val="007B369A"/>
    <w:rsid w:val="007B3D83"/>
    <w:rsid w:val="007B42BE"/>
    <w:rsid w:val="007B4584"/>
    <w:rsid w:val="007B4BCE"/>
    <w:rsid w:val="007B4F38"/>
    <w:rsid w:val="007B5849"/>
    <w:rsid w:val="007B5F6D"/>
    <w:rsid w:val="007B5F88"/>
    <w:rsid w:val="007B6136"/>
    <w:rsid w:val="007C040B"/>
    <w:rsid w:val="007C04AE"/>
    <w:rsid w:val="007C0A2D"/>
    <w:rsid w:val="007C0B11"/>
    <w:rsid w:val="007C110D"/>
    <w:rsid w:val="007C1F1E"/>
    <w:rsid w:val="007C2091"/>
    <w:rsid w:val="007C20F8"/>
    <w:rsid w:val="007C2968"/>
    <w:rsid w:val="007C3645"/>
    <w:rsid w:val="007C3D29"/>
    <w:rsid w:val="007C44FB"/>
    <w:rsid w:val="007C4CC4"/>
    <w:rsid w:val="007C667D"/>
    <w:rsid w:val="007C6DB6"/>
    <w:rsid w:val="007C6DDE"/>
    <w:rsid w:val="007D02DA"/>
    <w:rsid w:val="007D0410"/>
    <w:rsid w:val="007D0891"/>
    <w:rsid w:val="007D0EDB"/>
    <w:rsid w:val="007D1F7B"/>
    <w:rsid w:val="007D20D6"/>
    <w:rsid w:val="007D28CB"/>
    <w:rsid w:val="007D2FD9"/>
    <w:rsid w:val="007D4920"/>
    <w:rsid w:val="007D4D5B"/>
    <w:rsid w:val="007D5D07"/>
    <w:rsid w:val="007D6105"/>
    <w:rsid w:val="007D6E9C"/>
    <w:rsid w:val="007D7848"/>
    <w:rsid w:val="007D79BE"/>
    <w:rsid w:val="007E015E"/>
    <w:rsid w:val="007E0591"/>
    <w:rsid w:val="007E0896"/>
    <w:rsid w:val="007E08B8"/>
    <w:rsid w:val="007E0A47"/>
    <w:rsid w:val="007E0CE0"/>
    <w:rsid w:val="007E0D59"/>
    <w:rsid w:val="007E16A4"/>
    <w:rsid w:val="007E1DF5"/>
    <w:rsid w:val="007E1E57"/>
    <w:rsid w:val="007E1EFD"/>
    <w:rsid w:val="007E20BD"/>
    <w:rsid w:val="007E2123"/>
    <w:rsid w:val="007E212A"/>
    <w:rsid w:val="007E2A1F"/>
    <w:rsid w:val="007E2B01"/>
    <w:rsid w:val="007E2BEA"/>
    <w:rsid w:val="007E2F83"/>
    <w:rsid w:val="007E2F9F"/>
    <w:rsid w:val="007E34FA"/>
    <w:rsid w:val="007E388B"/>
    <w:rsid w:val="007E3EE7"/>
    <w:rsid w:val="007E4055"/>
    <w:rsid w:val="007E4517"/>
    <w:rsid w:val="007E456A"/>
    <w:rsid w:val="007E53E5"/>
    <w:rsid w:val="007E65DD"/>
    <w:rsid w:val="007E6EC8"/>
    <w:rsid w:val="007E7A64"/>
    <w:rsid w:val="007E7C78"/>
    <w:rsid w:val="007E7DE7"/>
    <w:rsid w:val="007E7E51"/>
    <w:rsid w:val="007F06AC"/>
    <w:rsid w:val="007F1976"/>
    <w:rsid w:val="007F200A"/>
    <w:rsid w:val="007F237D"/>
    <w:rsid w:val="007F26AE"/>
    <w:rsid w:val="007F280B"/>
    <w:rsid w:val="007F2948"/>
    <w:rsid w:val="007F2B71"/>
    <w:rsid w:val="007F3728"/>
    <w:rsid w:val="007F3D6C"/>
    <w:rsid w:val="007F3E8B"/>
    <w:rsid w:val="007F4382"/>
    <w:rsid w:val="007F4D04"/>
    <w:rsid w:val="007F5409"/>
    <w:rsid w:val="007F5466"/>
    <w:rsid w:val="007F54B3"/>
    <w:rsid w:val="007F552F"/>
    <w:rsid w:val="007F5612"/>
    <w:rsid w:val="007F5DB9"/>
    <w:rsid w:val="007F661C"/>
    <w:rsid w:val="007F693F"/>
    <w:rsid w:val="007F768F"/>
    <w:rsid w:val="007F779D"/>
    <w:rsid w:val="00800255"/>
    <w:rsid w:val="0080089A"/>
    <w:rsid w:val="0080091B"/>
    <w:rsid w:val="0080198C"/>
    <w:rsid w:val="00801C23"/>
    <w:rsid w:val="00801E8D"/>
    <w:rsid w:val="00802328"/>
    <w:rsid w:val="0080331B"/>
    <w:rsid w:val="0080359C"/>
    <w:rsid w:val="00803796"/>
    <w:rsid w:val="00804C35"/>
    <w:rsid w:val="008054CE"/>
    <w:rsid w:val="008056CB"/>
    <w:rsid w:val="00805EE0"/>
    <w:rsid w:val="00807887"/>
    <w:rsid w:val="00807987"/>
    <w:rsid w:val="00807BF6"/>
    <w:rsid w:val="00807CE0"/>
    <w:rsid w:val="00810204"/>
    <w:rsid w:val="00810817"/>
    <w:rsid w:val="00810DDC"/>
    <w:rsid w:val="00811856"/>
    <w:rsid w:val="008126B7"/>
    <w:rsid w:val="00812E4D"/>
    <w:rsid w:val="00813A36"/>
    <w:rsid w:val="00813BBA"/>
    <w:rsid w:val="00814576"/>
    <w:rsid w:val="008149CF"/>
    <w:rsid w:val="00814EAD"/>
    <w:rsid w:val="008152AA"/>
    <w:rsid w:val="0081578F"/>
    <w:rsid w:val="00816776"/>
    <w:rsid w:val="0081728A"/>
    <w:rsid w:val="00817854"/>
    <w:rsid w:val="00817A17"/>
    <w:rsid w:val="00817CA0"/>
    <w:rsid w:val="00817EA5"/>
    <w:rsid w:val="008202F9"/>
    <w:rsid w:val="0082043C"/>
    <w:rsid w:val="00820923"/>
    <w:rsid w:val="0082156D"/>
    <w:rsid w:val="008215DA"/>
    <w:rsid w:val="0082209E"/>
    <w:rsid w:val="00822788"/>
    <w:rsid w:val="00822EF0"/>
    <w:rsid w:val="00823091"/>
    <w:rsid w:val="00823279"/>
    <w:rsid w:val="00823C7D"/>
    <w:rsid w:val="008246D9"/>
    <w:rsid w:val="008247AA"/>
    <w:rsid w:val="00824D1F"/>
    <w:rsid w:val="00824E57"/>
    <w:rsid w:val="0082594D"/>
    <w:rsid w:val="00826DA1"/>
    <w:rsid w:val="00826F02"/>
    <w:rsid w:val="0082700A"/>
    <w:rsid w:val="008270EC"/>
    <w:rsid w:val="008302F0"/>
    <w:rsid w:val="0083039C"/>
    <w:rsid w:val="00831519"/>
    <w:rsid w:val="00831DD8"/>
    <w:rsid w:val="008322DB"/>
    <w:rsid w:val="0083231E"/>
    <w:rsid w:val="00832581"/>
    <w:rsid w:val="00833259"/>
    <w:rsid w:val="008334E2"/>
    <w:rsid w:val="008336EA"/>
    <w:rsid w:val="0083395E"/>
    <w:rsid w:val="008339C9"/>
    <w:rsid w:val="008343B3"/>
    <w:rsid w:val="008345AD"/>
    <w:rsid w:val="008357AE"/>
    <w:rsid w:val="00835AC7"/>
    <w:rsid w:val="00835B25"/>
    <w:rsid w:val="0083601B"/>
    <w:rsid w:val="00836196"/>
    <w:rsid w:val="008362FD"/>
    <w:rsid w:val="008365C8"/>
    <w:rsid w:val="008367E4"/>
    <w:rsid w:val="00836814"/>
    <w:rsid w:val="00836B99"/>
    <w:rsid w:val="0083706D"/>
    <w:rsid w:val="0083787F"/>
    <w:rsid w:val="00837DA1"/>
    <w:rsid w:val="008405C0"/>
    <w:rsid w:val="00840910"/>
    <w:rsid w:val="00841504"/>
    <w:rsid w:val="00843038"/>
    <w:rsid w:val="008430E8"/>
    <w:rsid w:val="00843203"/>
    <w:rsid w:val="008434ED"/>
    <w:rsid w:val="008436BF"/>
    <w:rsid w:val="008451C6"/>
    <w:rsid w:val="0084570F"/>
    <w:rsid w:val="00845EB6"/>
    <w:rsid w:val="008466F5"/>
    <w:rsid w:val="00847037"/>
    <w:rsid w:val="00847219"/>
    <w:rsid w:val="0084744F"/>
    <w:rsid w:val="00847D47"/>
    <w:rsid w:val="00847DD6"/>
    <w:rsid w:val="00847E34"/>
    <w:rsid w:val="00847EF1"/>
    <w:rsid w:val="008501E2"/>
    <w:rsid w:val="008502FC"/>
    <w:rsid w:val="0085053E"/>
    <w:rsid w:val="0085093C"/>
    <w:rsid w:val="0085107C"/>
    <w:rsid w:val="00851D4A"/>
    <w:rsid w:val="00852259"/>
    <w:rsid w:val="00854121"/>
    <w:rsid w:val="00854EC2"/>
    <w:rsid w:val="00855089"/>
    <w:rsid w:val="008556FC"/>
    <w:rsid w:val="00855702"/>
    <w:rsid w:val="00856161"/>
    <w:rsid w:val="0085726D"/>
    <w:rsid w:val="0085792A"/>
    <w:rsid w:val="00857B2A"/>
    <w:rsid w:val="00860C57"/>
    <w:rsid w:val="00860EF8"/>
    <w:rsid w:val="0086104B"/>
    <w:rsid w:val="00861D10"/>
    <w:rsid w:val="00862365"/>
    <w:rsid w:val="008625D9"/>
    <w:rsid w:val="00862EA0"/>
    <w:rsid w:val="008636FD"/>
    <w:rsid w:val="00863820"/>
    <w:rsid w:val="008638FD"/>
    <w:rsid w:val="00863A0D"/>
    <w:rsid w:val="00863B3B"/>
    <w:rsid w:val="0086514E"/>
    <w:rsid w:val="00865736"/>
    <w:rsid w:val="00866B19"/>
    <w:rsid w:val="00870BB7"/>
    <w:rsid w:val="00871055"/>
    <w:rsid w:val="008718C4"/>
    <w:rsid w:val="00871F08"/>
    <w:rsid w:val="00871FFA"/>
    <w:rsid w:val="00872A8D"/>
    <w:rsid w:val="00872BE8"/>
    <w:rsid w:val="00872D23"/>
    <w:rsid w:val="00872D8B"/>
    <w:rsid w:val="00872E3E"/>
    <w:rsid w:val="00873B03"/>
    <w:rsid w:val="0087410F"/>
    <w:rsid w:val="0087485B"/>
    <w:rsid w:val="00874B8B"/>
    <w:rsid w:val="008754CD"/>
    <w:rsid w:val="008755AF"/>
    <w:rsid w:val="008761F4"/>
    <w:rsid w:val="00876603"/>
    <w:rsid w:val="00877A25"/>
    <w:rsid w:val="00877F9C"/>
    <w:rsid w:val="00880625"/>
    <w:rsid w:val="00880A6E"/>
    <w:rsid w:val="00881006"/>
    <w:rsid w:val="00881657"/>
    <w:rsid w:val="008816C5"/>
    <w:rsid w:val="00881F33"/>
    <w:rsid w:val="00882838"/>
    <w:rsid w:val="00882E5A"/>
    <w:rsid w:val="008842B2"/>
    <w:rsid w:val="008844A6"/>
    <w:rsid w:val="00884C8B"/>
    <w:rsid w:val="00885360"/>
    <w:rsid w:val="008865BB"/>
    <w:rsid w:val="00886707"/>
    <w:rsid w:val="008869B8"/>
    <w:rsid w:val="00886BBF"/>
    <w:rsid w:val="00886FC1"/>
    <w:rsid w:val="008874DF"/>
    <w:rsid w:val="008879BC"/>
    <w:rsid w:val="0089080B"/>
    <w:rsid w:val="00890889"/>
    <w:rsid w:val="008914DA"/>
    <w:rsid w:val="00891B67"/>
    <w:rsid w:val="00892377"/>
    <w:rsid w:val="0089240C"/>
    <w:rsid w:val="008925E8"/>
    <w:rsid w:val="00892647"/>
    <w:rsid w:val="00892731"/>
    <w:rsid w:val="008927EA"/>
    <w:rsid w:val="00892ED2"/>
    <w:rsid w:val="00893AE2"/>
    <w:rsid w:val="00895400"/>
    <w:rsid w:val="00895E82"/>
    <w:rsid w:val="008962B1"/>
    <w:rsid w:val="00896846"/>
    <w:rsid w:val="008970B4"/>
    <w:rsid w:val="008973AA"/>
    <w:rsid w:val="008A0E22"/>
    <w:rsid w:val="008A0E5A"/>
    <w:rsid w:val="008A1073"/>
    <w:rsid w:val="008A138F"/>
    <w:rsid w:val="008A1E38"/>
    <w:rsid w:val="008A1F08"/>
    <w:rsid w:val="008A2514"/>
    <w:rsid w:val="008A25F4"/>
    <w:rsid w:val="008A2A29"/>
    <w:rsid w:val="008A30D5"/>
    <w:rsid w:val="008A3CEE"/>
    <w:rsid w:val="008A520F"/>
    <w:rsid w:val="008A545A"/>
    <w:rsid w:val="008A61B3"/>
    <w:rsid w:val="008A6B54"/>
    <w:rsid w:val="008A6CDB"/>
    <w:rsid w:val="008A714A"/>
    <w:rsid w:val="008A7627"/>
    <w:rsid w:val="008B199B"/>
    <w:rsid w:val="008B24AB"/>
    <w:rsid w:val="008B3AF3"/>
    <w:rsid w:val="008B3B08"/>
    <w:rsid w:val="008B438F"/>
    <w:rsid w:val="008B45BF"/>
    <w:rsid w:val="008B47DB"/>
    <w:rsid w:val="008B536E"/>
    <w:rsid w:val="008B570B"/>
    <w:rsid w:val="008B5D26"/>
    <w:rsid w:val="008C007E"/>
    <w:rsid w:val="008C09D4"/>
    <w:rsid w:val="008C0EA7"/>
    <w:rsid w:val="008C102E"/>
    <w:rsid w:val="008C2408"/>
    <w:rsid w:val="008C2B80"/>
    <w:rsid w:val="008C2DD4"/>
    <w:rsid w:val="008C322F"/>
    <w:rsid w:val="008C3832"/>
    <w:rsid w:val="008C38E3"/>
    <w:rsid w:val="008C4D2A"/>
    <w:rsid w:val="008C577C"/>
    <w:rsid w:val="008C5E51"/>
    <w:rsid w:val="008C7907"/>
    <w:rsid w:val="008C7C07"/>
    <w:rsid w:val="008D042C"/>
    <w:rsid w:val="008D1119"/>
    <w:rsid w:val="008D142E"/>
    <w:rsid w:val="008D18A7"/>
    <w:rsid w:val="008D2138"/>
    <w:rsid w:val="008D2565"/>
    <w:rsid w:val="008D3020"/>
    <w:rsid w:val="008D3B48"/>
    <w:rsid w:val="008D4467"/>
    <w:rsid w:val="008D5104"/>
    <w:rsid w:val="008D5232"/>
    <w:rsid w:val="008D5CC8"/>
    <w:rsid w:val="008D6D46"/>
    <w:rsid w:val="008D7412"/>
    <w:rsid w:val="008D742A"/>
    <w:rsid w:val="008D74CD"/>
    <w:rsid w:val="008D778F"/>
    <w:rsid w:val="008D7D44"/>
    <w:rsid w:val="008E0485"/>
    <w:rsid w:val="008E0C76"/>
    <w:rsid w:val="008E1661"/>
    <w:rsid w:val="008E172B"/>
    <w:rsid w:val="008E2302"/>
    <w:rsid w:val="008E2E16"/>
    <w:rsid w:val="008E2FB2"/>
    <w:rsid w:val="008E3825"/>
    <w:rsid w:val="008E39A8"/>
    <w:rsid w:val="008E4474"/>
    <w:rsid w:val="008E4986"/>
    <w:rsid w:val="008E4F53"/>
    <w:rsid w:val="008E561A"/>
    <w:rsid w:val="008E5A66"/>
    <w:rsid w:val="008E670D"/>
    <w:rsid w:val="008E6A26"/>
    <w:rsid w:val="008E7EBE"/>
    <w:rsid w:val="008F0232"/>
    <w:rsid w:val="008F0D58"/>
    <w:rsid w:val="008F0EE6"/>
    <w:rsid w:val="008F0F16"/>
    <w:rsid w:val="008F0FC3"/>
    <w:rsid w:val="008F1494"/>
    <w:rsid w:val="008F1891"/>
    <w:rsid w:val="008F18BB"/>
    <w:rsid w:val="008F2577"/>
    <w:rsid w:val="008F2996"/>
    <w:rsid w:val="008F34BF"/>
    <w:rsid w:val="008F3BBD"/>
    <w:rsid w:val="008F5166"/>
    <w:rsid w:val="008F5D00"/>
    <w:rsid w:val="008F6A30"/>
    <w:rsid w:val="008F6B74"/>
    <w:rsid w:val="008F7C5A"/>
    <w:rsid w:val="00900187"/>
    <w:rsid w:val="00900CAB"/>
    <w:rsid w:val="009016A1"/>
    <w:rsid w:val="009019EF"/>
    <w:rsid w:val="0090235E"/>
    <w:rsid w:val="0090340D"/>
    <w:rsid w:val="009047E8"/>
    <w:rsid w:val="00904868"/>
    <w:rsid w:val="00904BBA"/>
    <w:rsid w:val="00905BA6"/>
    <w:rsid w:val="00905D12"/>
    <w:rsid w:val="00906AB0"/>
    <w:rsid w:val="00906EDE"/>
    <w:rsid w:val="0090751C"/>
    <w:rsid w:val="009075AE"/>
    <w:rsid w:val="0091019A"/>
    <w:rsid w:val="009104CA"/>
    <w:rsid w:val="009104E2"/>
    <w:rsid w:val="00910587"/>
    <w:rsid w:val="0091116D"/>
    <w:rsid w:val="009113E4"/>
    <w:rsid w:val="009118C7"/>
    <w:rsid w:val="009124F1"/>
    <w:rsid w:val="009130B3"/>
    <w:rsid w:val="009131FC"/>
    <w:rsid w:val="00913249"/>
    <w:rsid w:val="00913427"/>
    <w:rsid w:val="0091446A"/>
    <w:rsid w:val="00914F18"/>
    <w:rsid w:val="00915221"/>
    <w:rsid w:val="009159CA"/>
    <w:rsid w:val="00915A00"/>
    <w:rsid w:val="00915D72"/>
    <w:rsid w:val="00915DF6"/>
    <w:rsid w:val="009162A3"/>
    <w:rsid w:val="00916519"/>
    <w:rsid w:val="00916ABA"/>
    <w:rsid w:val="00916C12"/>
    <w:rsid w:val="009173FF"/>
    <w:rsid w:val="00920644"/>
    <w:rsid w:val="0092149C"/>
    <w:rsid w:val="00922215"/>
    <w:rsid w:val="00922CDF"/>
    <w:rsid w:val="00922DCC"/>
    <w:rsid w:val="00924820"/>
    <w:rsid w:val="009248DA"/>
    <w:rsid w:val="00924ADA"/>
    <w:rsid w:val="00924FF4"/>
    <w:rsid w:val="00925529"/>
    <w:rsid w:val="0092557E"/>
    <w:rsid w:val="009258F1"/>
    <w:rsid w:val="009260E4"/>
    <w:rsid w:val="009263A6"/>
    <w:rsid w:val="009265BD"/>
    <w:rsid w:val="0092675C"/>
    <w:rsid w:val="009267CB"/>
    <w:rsid w:val="00927202"/>
    <w:rsid w:val="009279BE"/>
    <w:rsid w:val="00927D0C"/>
    <w:rsid w:val="00927E48"/>
    <w:rsid w:val="00927EF1"/>
    <w:rsid w:val="009313D4"/>
    <w:rsid w:val="0093142F"/>
    <w:rsid w:val="009316EF"/>
    <w:rsid w:val="0093189A"/>
    <w:rsid w:val="0093254A"/>
    <w:rsid w:val="009333C3"/>
    <w:rsid w:val="00933473"/>
    <w:rsid w:val="009336EE"/>
    <w:rsid w:val="00934881"/>
    <w:rsid w:val="00934AE8"/>
    <w:rsid w:val="009353E6"/>
    <w:rsid w:val="0093672F"/>
    <w:rsid w:val="00936BCB"/>
    <w:rsid w:val="0093701E"/>
    <w:rsid w:val="00937430"/>
    <w:rsid w:val="00941528"/>
    <w:rsid w:val="009415EC"/>
    <w:rsid w:val="00941DF9"/>
    <w:rsid w:val="0094221C"/>
    <w:rsid w:val="00942762"/>
    <w:rsid w:val="009430F9"/>
    <w:rsid w:val="0094325C"/>
    <w:rsid w:val="00943B4B"/>
    <w:rsid w:val="00943D76"/>
    <w:rsid w:val="00944BD9"/>
    <w:rsid w:val="00945182"/>
    <w:rsid w:val="009456A0"/>
    <w:rsid w:val="00945B57"/>
    <w:rsid w:val="00945D1F"/>
    <w:rsid w:val="00946051"/>
    <w:rsid w:val="0094621C"/>
    <w:rsid w:val="00946332"/>
    <w:rsid w:val="009463F5"/>
    <w:rsid w:val="0094645B"/>
    <w:rsid w:val="009465DF"/>
    <w:rsid w:val="00946E78"/>
    <w:rsid w:val="009476A7"/>
    <w:rsid w:val="00947A53"/>
    <w:rsid w:val="00947CD6"/>
    <w:rsid w:val="0095033B"/>
    <w:rsid w:val="00950A4F"/>
    <w:rsid w:val="00950D3B"/>
    <w:rsid w:val="00950D68"/>
    <w:rsid w:val="009514DD"/>
    <w:rsid w:val="00951DAD"/>
    <w:rsid w:val="009521FF"/>
    <w:rsid w:val="00953914"/>
    <w:rsid w:val="00953F21"/>
    <w:rsid w:val="00954098"/>
    <w:rsid w:val="009540CC"/>
    <w:rsid w:val="0095448E"/>
    <w:rsid w:val="0095477D"/>
    <w:rsid w:val="009553E3"/>
    <w:rsid w:val="009559FE"/>
    <w:rsid w:val="009568A5"/>
    <w:rsid w:val="00957548"/>
    <w:rsid w:val="00960150"/>
    <w:rsid w:val="009605F8"/>
    <w:rsid w:val="00960A3B"/>
    <w:rsid w:val="009613E6"/>
    <w:rsid w:val="0096175A"/>
    <w:rsid w:val="00961809"/>
    <w:rsid w:val="00962021"/>
    <w:rsid w:val="00963977"/>
    <w:rsid w:val="00964116"/>
    <w:rsid w:val="0096446B"/>
    <w:rsid w:val="00964E68"/>
    <w:rsid w:val="0096646F"/>
    <w:rsid w:val="00966C6A"/>
    <w:rsid w:val="00966D33"/>
    <w:rsid w:val="00966D74"/>
    <w:rsid w:val="00966ECC"/>
    <w:rsid w:val="00966F1E"/>
    <w:rsid w:val="009671D2"/>
    <w:rsid w:val="009677DE"/>
    <w:rsid w:val="00967B09"/>
    <w:rsid w:val="009700F7"/>
    <w:rsid w:val="009702BE"/>
    <w:rsid w:val="0097035F"/>
    <w:rsid w:val="009704B0"/>
    <w:rsid w:val="00970C19"/>
    <w:rsid w:val="00970F13"/>
    <w:rsid w:val="0097188C"/>
    <w:rsid w:val="00971D8D"/>
    <w:rsid w:val="00972350"/>
    <w:rsid w:val="009726C9"/>
    <w:rsid w:val="0097287F"/>
    <w:rsid w:val="00972CC6"/>
    <w:rsid w:val="00973F5A"/>
    <w:rsid w:val="00974080"/>
    <w:rsid w:val="009743D3"/>
    <w:rsid w:val="00974D51"/>
    <w:rsid w:val="0097568B"/>
    <w:rsid w:val="00975855"/>
    <w:rsid w:val="00975DEF"/>
    <w:rsid w:val="0097636D"/>
    <w:rsid w:val="009764D7"/>
    <w:rsid w:val="00976ECF"/>
    <w:rsid w:val="0097715F"/>
    <w:rsid w:val="00977218"/>
    <w:rsid w:val="00977F0F"/>
    <w:rsid w:val="00980407"/>
    <w:rsid w:val="009806A4"/>
    <w:rsid w:val="00980C37"/>
    <w:rsid w:val="00980C75"/>
    <w:rsid w:val="0098105C"/>
    <w:rsid w:val="009816BD"/>
    <w:rsid w:val="00981CB6"/>
    <w:rsid w:val="009825BE"/>
    <w:rsid w:val="0098275D"/>
    <w:rsid w:val="00982FC2"/>
    <w:rsid w:val="009830A7"/>
    <w:rsid w:val="00984EEB"/>
    <w:rsid w:val="009851A4"/>
    <w:rsid w:val="009856C0"/>
    <w:rsid w:val="00985C93"/>
    <w:rsid w:val="00985DAD"/>
    <w:rsid w:val="00985DC7"/>
    <w:rsid w:val="009864A3"/>
    <w:rsid w:val="00986839"/>
    <w:rsid w:val="00987048"/>
    <w:rsid w:val="00987539"/>
    <w:rsid w:val="00987570"/>
    <w:rsid w:val="009875D2"/>
    <w:rsid w:val="00987765"/>
    <w:rsid w:val="00987AFA"/>
    <w:rsid w:val="00990064"/>
    <w:rsid w:val="009900B3"/>
    <w:rsid w:val="00990232"/>
    <w:rsid w:val="009906BF"/>
    <w:rsid w:val="009911D6"/>
    <w:rsid w:val="0099130E"/>
    <w:rsid w:val="0099145E"/>
    <w:rsid w:val="009915C6"/>
    <w:rsid w:val="009917EC"/>
    <w:rsid w:val="009924C9"/>
    <w:rsid w:val="009929DB"/>
    <w:rsid w:val="00993805"/>
    <w:rsid w:val="0099456C"/>
    <w:rsid w:val="009948B8"/>
    <w:rsid w:val="00994B58"/>
    <w:rsid w:val="00994D6D"/>
    <w:rsid w:val="009950C7"/>
    <w:rsid w:val="009953F9"/>
    <w:rsid w:val="009956BF"/>
    <w:rsid w:val="009957EB"/>
    <w:rsid w:val="009958D9"/>
    <w:rsid w:val="009960BC"/>
    <w:rsid w:val="009966D0"/>
    <w:rsid w:val="00996893"/>
    <w:rsid w:val="00996AD8"/>
    <w:rsid w:val="00996F05"/>
    <w:rsid w:val="009A02A2"/>
    <w:rsid w:val="009A038F"/>
    <w:rsid w:val="009A269A"/>
    <w:rsid w:val="009A2E39"/>
    <w:rsid w:val="009A5C58"/>
    <w:rsid w:val="009A68CB"/>
    <w:rsid w:val="009A74FF"/>
    <w:rsid w:val="009A7983"/>
    <w:rsid w:val="009B0426"/>
    <w:rsid w:val="009B0F8E"/>
    <w:rsid w:val="009B1E61"/>
    <w:rsid w:val="009B26B4"/>
    <w:rsid w:val="009B2ECC"/>
    <w:rsid w:val="009B36F5"/>
    <w:rsid w:val="009B5417"/>
    <w:rsid w:val="009B559C"/>
    <w:rsid w:val="009B5A60"/>
    <w:rsid w:val="009B78BB"/>
    <w:rsid w:val="009B79F4"/>
    <w:rsid w:val="009C0B92"/>
    <w:rsid w:val="009C1D94"/>
    <w:rsid w:val="009C2C6B"/>
    <w:rsid w:val="009C3022"/>
    <w:rsid w:val="009C32F9"/>
    <w:rsid w:val="009C342A"/>
    <w:rsid w:val="009C36B4"/>
    <w:rsid w:val="009C5135"/>
    <w:rsid w:val="009C5812"/>
    <w:rsid w:val="009C5C7F"/>
    <w:rsid w:val="009C5D2C"/>
    <w:rsid w:val="009C63E0"/>
    <w:rsid w:val="009C66FA"/>
    <w:rsid w:val="009C6C90"/>
    <w:rsid w:val="009C6DE7"/>
    <w:rsid w:val="009C70E4"/>
    <w:rsid w:val="009D051A"/>
    <w:rsid w:val="009D07CE"/>
    <w:rsid w:val="009D0803"/>
    <w:rsid w:val="009D195B"/>
    <w:rsid w:val="009D1E53"/>
    <w:rsid w:val="009D263C"/>
    <w:rsid w:val="009D2B90"/>
    <w:rsid w:val="009D31B2"/>
    <w:rsid w:val="009D328F"/>
    <w:rsid w:val="009D39BB"/>
    <w:rsid w:val="009D3FDE"/>
    <w:rsid w:val="009D411E"/>
    <w:rsid w:val="009D4512"/>
    <w:rsid w:val="009D47ED"/>
    <w:rsid w:val="009D4998"/>
    <w:rsid w:val="009D5052"/>
    <w:rsid w:val="009D51A8"/>
    <w:rsid w:val="009D5CD5"/>
    <w:rsid w:val="009D60A2"/>
    <w:rsid w:val="009D657F"/>
    <w:rsid w:val="009D6B8F"/>
    <w:rsid w:val="009D6D87"/>
    <w:rsid w:val="009D6D9D"/>
    <w:rsid w:val="009D703D"/>
    <w:rsid w:val="009E0083"/>
    <w:rsid w:val="009E120C"/>
    <w:rsid w:val="009E1235"/>
    <w:rsid w:val="009E17E3"/>
    <w:rsid w:val="009E17FB"/>
    <w:rsid w:val="009E1A93"/>
    <w:rsid w:val="009E2254"/>
    <w:rsid w:val="009E2D4D"/>
    <w:rsid w:val="009E2EBD"/>
    <w:rsid w:val="009E30D0"/>
    <w:rsid w:val="009E478D"/>
    <w:rsid w:val="009E4FF5"/>
    <w:rsid w:val="009E5350"/>
    <w:rsid w:val="009E58F5"/>
    <w:rsid w:val="009E6213"/>
    <w:rsid w:val="009E68E3"/>
    <w:rsid w:val="009E6F77"/>
    <w:rsid w:val="009E7348"/>
    <w:rsid w:val="009E7BB3"/>
    <w:rsid w:val="009F0070"/>
    <w:rsid w:val="009F0415"/>
    <w:rsid w:val="009F04EF"/>
    <w:rsid w:val="009F0C87"/>
    <w:rsid w:val="009F16C3"/>
    <w:rsid w:val="009F20C8"/>
    <w:rsid w:val="009F2883"/>
    <w:rsid w:val="009F2EE7"/>
    <w:rsid w:val="009F381D"/>
    <w:rsid w:val="009F467D"/>
    <w:rsid w:val="009F4BF7"/>
    <w:rsid w:val="009F5AC4"/>
    <w:rsid w:val="009F5B2D"/>
    <w:rsid w:val="009F627E"/>
    <w:rsid w:val="009F64AB"/>
    <w:rsid w:val="009F70B1"/>
    <w:rsid w:val="009F772B"/>
    <w:rsid w:val="009F772F"/>
    <w:rsid w:val="00A00005"/>
    <w:rsid w:val="00A0006A"/>
    <w:rsid w:val="00A00AC6"/>
    <w:rsid w:val="00A01103"/>
    <w:rsid w:val="00A011A2"/>
    <w:rsid w:val="00A011AE"/>
    <w:rsid w:val="00A0121A"/>
    <w:rsid w:val="00A0121B"/>
    <w:rsid w:val="00A0287D"/>
    <w:rsid w:val="00A03A8D"/>
    <w:rsid w:val="00A03B42"/>
    <w:rsid w:val="00A04876"/>
    <w:rsid w:val="00A04936"/>
    <w:rsid w:val="00A04973"/>
    <w:rsid w:val="00A04FB5"/>
    <w:rsid w:val="00A0608A"/>
    <w:rsid w:val="00A06331"/>
    <w:rsid w:val="00A0641C"/>
    <w:rsid w:val="00A06B50"/>
    <w:rsid w:val="00A07547"/>
    <w:rsid w:val="00A07A72"/>
    <w:rsid w:val="00A07CC0"/>
    <w:rsid w:val="00A07D3F"/>
    <w:rsid w:val="00A1003A"/>
    <w:rsid w:val="00A10097"/>
    <w:rsid w:val="00A100E0"/>
    <w:rsid w:val="00A10A80"/>
    <w:rsid w:val="00A11E8E"/>
    <w:rsid w:val="00A129B1"/>
    <w:rsid w:val="00A12BF2"/>
    <w:rsid w:val="00A12E41"/>
    <w:rsid w:val="00A14770"/>
    <w:rsid w:val="00A14A91"/>
    <w:rsid w:val="00A15B80"/>
    <w:rsid w:val="00A16249"/>
    <w:rsid w:val="00A16609"/>
    <w:rsid w:val="00A16DA1"/>
    <w:rsid w:val="00A174DA"/>
    <w:rsid w:val="00A176E3"/>
    <w:rsid w:val="00A17FEE"/>
    <w:rsid w:val="00A2072F"/>
    <w:rsid w:val="00A20EEA"/>
    <w:rsid w:val="00A21264"/>
    <w:rsid w:val="00A218E6"/>
    <w:rsid w:val="00A221AB"/>
    <w:rsid w:val="00A227B6"/>
    <w:rsid w:val="00A23FF1"/>
    <w:rsid w:val="00A248B6"/>
    <w:rsid w:val="00A248F2"/>
    <w:rsid w:val="00A24C5D"/>
    <w:rsid w:val="00A251F2"/>
    <w:rsid w:val="00A25203"/>
    <w:rsid w:val="00A27BA7"/>
    <w:rsid w:val="00A3085E"/>
    <w:rsid w:val="00A3090C"/>
    <w:rsid w:val="00A3109B"/>
    <w:rsid w:val="00A32BA8"/>
    <w:rsid w:val="00A32D56"/>
    <w:rsid w:val="00A3325C"/>
    <w:rsid w:val="00A33436"/>
    <w:rsid w:val="00A34EA6"/>
    <w:rsid w:val="00A3573F"/>
    <w:rsid w:val="00A35AE3"/>
    <w:rsid w:val="00A35E17"/>
    <w:rsid w:val="00A363BD"/>
    <w:rsid w:val="00A366BA"/>
    <w:rsid w:val="00A374FA"/>
    <w:rsid w:val="00A37698"/>
    <w:rsid w:val="00A37C25"/>
    <w:rsid w:val="00A40A26"/>
    <w:rsid w:val="00A40BA1"/>
    <w:rsid w:val="00A40DD3"/>
    <w:rsid w:val="00A40EE8"/>
    <w:rsid w:val="00A40FAE"/>
    <w:rsid w:val="00A40FDF"/>
    <w:rsid w:val="00A41A1B"/>
    <w:rsid w:val="00A42606"/>
    <w:rsid w:val="00A4282F"/>
    <w:rsid w:val="00A42CC6"/>
    <w:rsid w:val="00A42CE3"/>
    <w:rsid w:val="00A42DE0"/>
    <w:rsid w:val="00A439F6"/>
    <w:rsid w:val="00A43A4E"/>
    <w:rsid w:val="00A44ADC"/>
    <w:rsid w:val="00A45778"/>
    <w:rsid w:val="00A46391"/>
    <w:rsid w:val="00A4663C"/>
    <w:rsid w:val="00A472BC"/>
    <w:rsid w:val="00A501CA"/>
    <w:rsid w:val="00A50570"/>
    <w:rsid w:val="00A507F7"/>
    <w:rsid w:val="00A50B64"/>
    <w:rsid w:val="00A51D3D"/>
    <w:rsid w:val="00A51E92"/>
    <w:rsid w:val="00A53B02"/>
    <w:rsid w:val="00A53F0D"/>
    <w:rsid w:val="00A549FE"/>
    <w:rsid w:val="00A54A11"/>
    <w:rsid w:val="00A54F07"/>
    <w:rsid w:val="00A56CF3"/>
    <w:rsid w:val="00A56E1A"/>
    <w:rsid w:val="00A57747"/>
    <w:rsid w:val="00A57A6A"/>
    <w:rsid w:val="00A57B36"/>
    <w:rsid w:val="00A57EE4"/>
    <w:rsid w:val="00A6031C"/>
    <w:rsid w:val="00A60830"/>
    <w:rsid w:val="00A60C4C"/>
    <w:rsid w:val="00A618F0"/>
    <w:rsid w:val="00A61B0A"/>
    <w:rsid w:val="00A62C97"/>
    <w:rsid w:val="00A642C8"/>
    <w:rsid w:val="00A652AB"/>
    <w:rsid w:val="00A65676"/>
    <w:rsid w:val="00A65753"/>
    <w:rsid w:val="00A657C3"/>
    <w:rsid w:val="00A658E1"/>
    <w:rsid w:val="00A663B4"/>
    <w:rsid w:val="00A66D6B"/>
    <w:rsid w:val="00A66F04"/>
    <w:rsid w:val="00A673AD"/>
    <w:rsid w:val="00A67A12"/>
    <w:rsid w:val="00A67AAE"/>
    <w:rsid w:val="00A67AC4"/>
    <w:rsid w:val="00A67B28"/>
    <w:rsid w:val="00A70BD0"/>
    <w:rsid w:val="00A71FEF"/>
    <w:rsid w:val="00A7319D"/>
    <w:rsid w:val="00A734C2"/>
    <w:rsid w:val="00A737E0"/>
    <w:rsid w:val="00A73B07"/>
    <w:rsid w:val="00A73E53"/>
    <w:rsid w:val="00A741F8"/>
    <w:rsid w:val="00A747A1"/>
    <w:rsid w:val="00A751B1"/>
    <w:rsid w:val="00A7521A"/>
    <w:rsid w:val="00A752D9"/>
    <w:rsid w:val="00A7530E"/>
    <w:rsid w:val="00A75903"/>
    <w:rsid w:val="00A7630D"/>
    <w:rsid w:val="00A77485"/>
    <w:rsid w:val="00A7753D"/>
    <w:rsid w:val="00A80111"/>
    <w:rsid w:val="00A8011D"/>
    <w:rsid w:val="00A81859"/>
    <w:rsid w:val="00A81AED"/>
    <w:rsid w:val="00A82A6D"/>
    <w:rsid w:val="00A840D9"/>
    <w:rsid w:val="00A84300"/>
    <w:rsid w:val="00A84924"/>
    <w:rsid w:val="00A85F9B"/>
    <w:rsid w:val="00A8605F"/>
    <w:rsid w:val="00A86118"/>
    <w:rsid w:val="00A863A3"/>
    <w:rsid w:val="00A86646"/>
    <w:rsid w:val="00A8686B"/>
    <w:rsid w:val="00A9009C"/>
    <w:rsid w:val="00A90667"/>
    <w:rsid w:val="00A9110F"/>
    <w:rsid w:val="00A915D2"/>
    <w:rsid w:val="00A916C4"/>
    <w:rsid w:val="00A926BD"/>
    <w:rsid w:val="00A93F16"/>
    <w:rsid w:val="00A93F87"/>
    <w:rsid w:val="00A94DEC"/>
    <w:rsid w:val="00A953A1"/>
    <w:rsid w:val="00A9561A"/>
    <w:rsid w:val="00A95ECD"/>
    <w:rsid w:val="00A9641B"/>
    <w:rsid w:val="00A96CF7"/>
    <w:rsid w:val="00A96DA8"/>
    <w:rsid w:val="00A97151"/>
    <w:rsid w:val="00A9718B"/>
    <w:rsid w:val="00A97646"/>
    <w:rsid w:val="00A9767E"/>
    <w:rsid w:val="00A97842"/>
    <w:rsid w:val="00A979FA"/>
    <w:rsid w:val="00A97A39"/>
    <w:rsid w:val="00A97AB8"/>
    <w:rsid w:val="00AA0208"/>
    <w:rsid w:val="00AA098A"/>
    <w:rsid w:val="00AA17BA"/>
    <w:rsid w:val="00AA1E2A"/>
    <w:rsid w:val="00AA2007"/>
    <w:rsid w:val="00AA2177"/>
    <w:rsid w:val="00AA245C"/>
    <w:rsid w:val="00AA362B"/>
    <w:rsid w:val="00AA4460"/>
    <w:rsid w:val="00AA4718"/>
    <w:rsid w:val="00AA5367"/>
    <w:rsid w:val="00AA570C"/>
    <w:rsid w:val="00AA68DF"/>
    <w:rsid w:val="00AA6A81"/>
    <w:rsid w:val="00AA795B"/>
    <w:rsid w:val="00AA7E15"/>
    <w:rsid w:val="00AB0475"/>
    <w:rsid w:val="00AB04DD"/>
    <w:rsid w:val="00AB07B8"/>
    <w:rsid w:val="00AB1096"/>
    <w:rsid w:val="00AB1113"/>
    <w:rsid w:val="00AB1BB0"/>
    <w:rsid w:val="00AB1BFD"/>
    <w:rsid w:val="00AB208F"/>
    <w:rsid w:val="00AB2708"/>
    <w:rsid w:val="00AB270E"/>
    <w:rsid w:val="00AB3327"/>
    <w:rsid w:val="00AB33DA"/>
    <w:rsid w:val="00AB3859"/>
    <w:rsid w:val="00AB3E4C"/>
    <w:rsid w:val="00AB46E4"/>
    <w:rsid w:val="00AB4C4E"/>
    <w:rsid w:val="00AB4D5F"/>
    <w:rsid w:val="00AB4FA2"/>
    <w:rsid w:val="00AB53D5"/>
    <w:rsid w:val="00AB5FE5"/>
    <w:rsid w:val="00AB7363"/>
    <w:rsid w:val="00AB7A51"/>
    <w:rsid w:val="00AC16C2"/>
    <w:rsid w:val="00AC1C8B"/>
    <w:rsid w:val="00AC22C6"/>
    <w:rsid w:val="00AC33C8"/>
    <w:rsid w:val="00AC3EE6"/>
    <w:rsid w:val="00AC463F"/>
    <w:rsid w:val="00AC47B2"/>
    <w:rsid w:val="00AC506B"/>
    <w:rsid w:val="00AC520A"/>
    <w:rsid w:val="00AC545E"/>
    <w:rsid w:val="00AC661C"/>
    <w:rsid w:val="00AC7646"/>
    <w:rsid w:val="00AC773F"/>
    <w:rsid w:val="00AD0161"/>
    <w:rsid w:val="00AD087C"/>
    <w:rsid w:val="00AD0E61"/>
    <w:rsid w:val="00AD1D83"/>
    <w:rsid w:val="00AD229C"/>
    <w:rsid w:val="00AD23DA"/>
    <w:rsid w:val="00AD240E"/>
    <w:rsid w:val="00AD2525"/>
    <w:rsid w:val="00AD3BB4"/>
    <w:rsid w:val="00AD4C40"/>
    <w:rsid w:val="00AD4D38"/>
    <w:rsid w:val="00AD55BA"/>
    <w:rsid w:val="00AD5F3A"/>
    <w:rsid w:val="00AD6AF6"/>
    <w:rsid w:val="00AD7480"/>
    <w:rsid w:val="00AD7F3A"/>
    <w:rsid w:val="00AE00A6"/>
    <w:rsid w:val="00AE0461"/>
    <w:rsid w:val="00AE2BFD"/>
    <w:rsid w:val="00AE2F13"/>
    <w:rsid w:val="00AE334C"/>
    <w:rsid w:val="00AE3419"/>
    <w:rsid w:val="00AE3D8F"/>
    <w:rsid w:val="00AE3DD0"/>
    <w:rsid w:val="00AE44B1"/>
    <w:rsid w:val="00AE4554"/>
    <w:rsid w:val="00AE49EE"/>
    <w:rsid w:val="00AE50F6"/>
    <w:rsid w:val="00AE51C2"/>
    <w:rsid w:val="00AE555F"/>
    <w:rsid w:val="00AE59E7"/>
    <w:rsid w:val="00AE605C"/>
    <w:rsid w:val="00AE60F8"/>
    <w:rsid w:val="00AE6C12"/>
    <w:rsid w:val="00AE6CD0"/>
    <w:rsid w:val="00AE6CDD"/>
    <w:rsid w:val="00AE7D52"/>
    <w:rsid w:val="00AF02A8"/>
    <w:rsid w:val="00AF06C1"/>
    <w:rsid w:val="00AF0C6D"/>
    <w:rsid w:val="00AF0D98"/>
    <w:rsid w:val="00AF1AA2"/>
    <w:rsid w:val="00AF1AA6"/>
    <w:rsid w:val="00AF26EE"/>
    <w:rsid w:val="00AF2F85"/>
    <w:rsid w:val="00AF32C1"/>
    <w:rsid w:val="00AF33D1"/>
    <w:rsid w:val="00AF3452"/>
    <w:rsid w:val="00AF3529"/>
    <w:rsid w:val="00AF39D6"/>
    <w:rsid w:val="00AF3C9F"/>
    <w:rsid w:val="00AF3DBA"/>
    <w:rsid w:val="00AF483A"/>
    <w:rsid w:val="00AF52B1"/>
    <w:rsid w:val="00AF5A35"/>
    <w:rsid w:val="00AF5ABA"/>
    <w:rsid w:val="00AF66FF"/>
    <w:rsid w:val="00AF7162"/>
    <w:rsid w:val="00B0061D"/>
    <w:rsid w:val="00B0068D"/>
    <w:rsid w:val="00B00F38"/>
    <w:rsid w:val="00B01488"/>
    <w:rsid w:val="00B01AF2"/>
    <w:rsid w:val="00B029E8"/>
    <w:rsid w:val="00B0323F"/>
    <w:rsid w:val="00B0361B"/>
    <w:rsid w:val="00B037CD"/>
    <w:rsid w:val="00B03ED9"/>
    <w:rsid w:val="00B03F94"/>
    <w:rsid w:val="00B041E7"/>
    <w:rsid w:val="00B046CE"/>
    <w:rsid w:val="00B04C32"/>
    <w:rsid w:val="00B04E5B"/>
    <w:rsid w:val="00B05E61"/>
    <w:rsid w:val="00B0631F"/>
    <w:rsid w:val="00B079FE"/>
    <w:rsid w:val="00B10419"/>
    <w:rsid w:val="00B10C06"/>
    <w:rsid w:val="00B10DBB"/>
    <w:rsid w:val="00B11F63"/>
    <w:rsid w:val="00B12535"/>
    <w:rsid w:val="00B12C23"/>
    <w:rsid w:val="00B13736"/>
    <w:rsid w:val="00B146CA"/>
    <w:rsid w:val="00B15CB6"/>
    <w:rsid w:val="00B15E0E"/>
    <w:rsid w:val="00B16B37"/>
    <w:rsid w:val="00B174B5"/>
    <w:rsid w:val="00B17776"/>
    <w:rsid w:val="00B17EBE"/>
    <w:rsid w:val="00B2102B"/>
    <w:rsid w:val="00B21313"/>
    <w:rsid w:val="00B22D84"/>
    <w:rsid w:val="00B24441"/>
    <w:rsid w:val="00B2490D"/>
    <w:rsid w:val="00B24A73"/>
    <w:rsid w:val="00B25030"/>
    <w:rsid w:val="00B253A0"/>
    <w:rsid w:val="00B2570E"/>
    <w:rsid w:val="00B25DC7"/>
    <w:rsid w:val="00B25E77"/>
    <w:rsid w:val="00B267D3"/>
    <w:rsid w:val="00B26C11"/>
    <w:rsid w:val="00B27F57"/>
    <w:rsid w:val="00B3026E"/>
    <w:rsid w:val="00B30FB5"/>
    <w:rsid w:val="00B31340"/>
    <w:rsid w:val="00B31BB8"/>
    <w:rsid w:val="00B3247E"/>
    <w:rsid w:val="00B325F1"/>
    <w:rsid w:val="00B3277F"/>
    <w:rsid w:val="00B32D7E"/>
    <w:rsid w:val="00B33B0E"/>
    <w:rsid w:val="00B33CE8"/>
    <w:rsid w:val="00B34095"/>
    <w:rsid w:val="00B34154"/>
    <w:rsid w:val="00B341F5"/>
    <w:rsid w:val="00B34A71"/>
    <w:rsid w:val="00B3545B"/>
    <w:rsid w:val="00B36295"/>
    <w:rsid w:val="00B36B61"/>
    <w:rsid w:val="00B37196"/>
    <w:rsid w:val="00B37B3E"/>
    <w:rsid w:val="00B37BC6"/>
    <w:rsid w:val="00B40C4B"/>
    <w:rsid w:val="00B40D9A"/>
    <w:rsid w:val="00B41446"/>
    <w:rsid w:val="00B41B48"/>
    <w:rsid w:val="00B42696"/>
    <w:rsid w:val="00B429EE"/>
    <w:rsid w:val="00B42BD9"/>
    <w:rsid w:val="00B43E64"/>
    <w:rsid w:val="00B43E7A"/>
    <w:rsid w:val="00B44051"/>
    <w:rsid w:val="00B44AFE"/>
    <w:rsid w:val="00B4542B"/>
    <w:rsid w:val="00B46290"/>
    <w:rsid w:val="00B462D0"/>
    <w:rsid w:val="00B46495"/>
    <w:rsid w:val="00B465A2"/>
    <w:rsid w:val="00B47534"/>
    <w:rsid w:val="00B47F5C"/>
    <w:rsid w:val="00B50C12"/>
    <w:rsid w:val="00B50CA4"/>
    <w:rsid w:val="00B50F9D"/>
    <w:rsid w:val="00B513B8"/>
    <w:rsid w:val="00B5167B"/>
    <w:rsid w:val="00B51888"/>
    <w:rsid w:val="00B51D29"/>
    <w:rsid w:val="00B520D9"/>
    <w:rsid w:val="00B521D0"/>
    <w:rsid w:val="00B52414"/>
    <w:rsid w:val="00B52C5F"/>
    <w:rsid w:val="00B535B6"/>
    <w:rsid w:val="00B539B9"/>
    <w:rsid w:val="00B53DAE"/>
    <w:rsid w:val="00B54497"/>
    <w:rsid w:val="00B54B63"/>
    <w:rsid w:val="00B54C7E"/>
    <w:rsid w:val="00B554B7"/>
    <w:rsid w:val="00B55933"/>
    <w:rsid w:val="00B56482"/>
    <w:rsid w:val="00B56582"/>
    <w:rsid w:val="00B57450"/>
    <w:rsid w:val="00B5757D"/>
    <w:rsid w:val="00B57956"/>
    <w:rsid w:val="00B57B71"/>
    <w:rsid w:val="00B57BC3"/>
    <w:rsid w:val="00B603E4"/>
    <w:rsid w:val="00B6227E"/>
    <w:rsid w:val="00B62825"/>
    <w:rsid w:val="00B62E4F"/>
    <w:rsid w:val="00B6378A"/>
    <w:rsid w:val="00B63C5B"/>
    <w:rsid w:val="00B63E07"/>
    <w:rsid w:val="00B63F5A"/>
    <w:rsid w:val="00B64080"/>
    <w:rsid w:val="00B6475B"/>
    <w:rsid w:val="00B6501F"/>
    <w:rsid w:val="00B653ED"/>
    <w:rsid w:val="00B66C9B"/>
    <w:rsid w:val="00B703BB"/>
    <w:rsid w:val="00B70E76"/>
    <w:rsid w:val="00B7131C"/>
    <w:rsid w:val="00B71BD8"/>
    <w:rsid w:val="00B71F54"/>
    <w:rsid w:val="00B72028"/>
    <w:rsid w:val="00B724FB"/>
    <w:rsid w:val="00B72545"/>
    <w:rsid w:val="00B72DE8"/>
    <w:rsid w:val="00B72E10"/>
    <w:rsid w:val="00B73431"/>
    <w:rsid w:val="00B74267"/>
    <w:rsid w:val="00B747E8"/>
    <w:rsid w:val="00B74B02"/>
    <w:rsid w:val="00B74C7B"/>
    <w:rsid w:val="00B74EDC"/>
    <w:rsid w:val="00B75348"/>
    <w:rsid w:val="00B76592"/>
    <w:rsid w:val="00B7667B"/>
    <w:rsid w:val="00B767EB"/>
    <w:rsid w:val="00B76AB7"/>
    <w:rsid w:val="00B776E4"/>
    <w:rsid w:val="00B77742"/>
    <w:rsid w:val="00B80002"/>
    <w:rsid w:val="00B804E1"/>
    <w:rsid w:val="00B81C8B"/>
    <w:rsid w:val="00B82603"/>
    <w:rsid w:val="00B83EDB"/>
    <w:rsid w:val="00B83F14"/>
    <w:rsid w:val="00B84330"/>
    <w:rsid w:val="00B85272"/>
    <w:rsid w:val="00B85382"/>
    <w:rsid w:val="00B85DDB"/>
    <w:rsid w:val="00B861A6"/>
    <w:rsid w:val="00B86BE9"/>
    <w:rsid w:val="00B87CC6"/>
    <w:rsid w:val="00B908B7"/>
    <w:rsid w:val="00B90A1B"/>
    <w:rsid w:val="00B90FD9"/>
    <w:rsid w:val="00B92413"/>
    <w:rsid w:val="00B92639"/>
    <w:rsid w:val="00B92864"/>
    <w:rsid w:val="00B92B3B"/>
    <w:rsid w:val="00B92B64"/>
    <w:rsid w:val="00B93185"/>
    <w:rsid w:val="00B936D1"/>
    <w:rsid w:val="00B93720"/>
    <w:rsid w:val="00B93DC2"/>
    <w:rsid w:val="00B95007"/>
    <w:rsid w:val="00B9553A"/>
    <w:rsid w:val="00B95784"/>
    <w:rsid w:val="00B95DBF"/>
    <w:rsid w:val="00B95EAC"/>
    <w:rsid w:val="00B976FE"/>
    <w:rsid w:val="00B97C43"/>
    <w:rsid w:val="00B97DCC"/>
    <w:rsid w:val="00B97DD4"/>
    <w:rsid w:val="00B97EEF"/>
    <w:rsid w:val="00BA01EF"/>
    <w:rsid w:val="00BA05B9"/>
    <w:rsid w:val="00BA0F26"/>
    <w:rsid w:val="00BA1465"/>
    <w:rsid w:val="00BA2106"/>
    <w:rsid w:val="00BA2FFE"/>
    <w:rsid w:val="00BA3A1D"/>
    <w:rsid w:val="00BA3B5A"/>
    <w:rsid w:val="00BA3C1F"/>
    <w:rsid w:val="00BA3E80"/>
    <w:rsid w:val="00BA4D51"/>
    <w:rsid w:val="00BA4E29"/>
    <w:rsid w:val="00BA547E"/>
    <w:rsid w:val="00BA5AE3"/>
    <w:rsid w:val="00BA5D6C"/>
    <w:rsid w:val="00BA5FD7"/>
    <w:rsid w:val="00BA62B4"/>
    <w:rsid w:val="00BA62F3"/>
    <w:rsid w:val="00BA71E1"/>
    <w:rsid w:val="00BA75FF"/>
    <w:rsid w:val="00BA7809"/>
    <w:rsid w:val="00BB01DD"/>
    <w:rsid w:val="00BB0A1F"/>
    <w:rsid w:val="00BB11E5"/>
    <w:rsid w:val="00BB2E2F"/>
    <w:rsid w:val="00BB310F"/>
    <w:rsid w:val="00BB3BB0"/>
    <w:rsid w:val="00BB3D1F"/>
    <w:rsid w:val="00BB3E69"/>
    <w:rsid w:val="00BB3F26"/>
    <w:rsid w:val="00BB4107"/>
    <w:rsid w:val="00BB46DF"/>
    <w:rsid w:val="00BB4811"/>
    <w:rsid w:val="00BB4924"/>
    <w:rsid w:val="00BB4A3E"/>
    <w:rsid w:val="00BB4CA0"/>
    <w:rsid w:val="00BB5417"/>
    <w:rsid w:val="00BB5D5C"/>
    <w:rsid w:val="00BB6FF6"/>
    <w:rsid w:val="00BC0B12"/>
    <w:rsid w:val="00BC15F6"/>
    <w:rsid w:val="00BC1A36"/>
    <w:rsid w:val="00BC1B62"/>
    <w:rsid w:val="00BC1F65"/>
    <w:rsid w:val="00BC2101"/>
    <w:rsid w:val="00BC22F3"/>
    <w:rsid w:val="00BC2716"/>
    <w:rsid w:val="00BC347C"/>
    <w:rsid w:val="00BC3AD3"/>
    <w:rsid w:val="00BC3DE9"/>
    <w:rsid w:val="00BC40FF"/>
    <w:rsid w:val="00BC419D"/>
    <w:rsid w:val="00BC42EA"/>
    <w:rsid w:val="00BC4C6C"/>
    <w:rsid w:val="00BC536B"/>
    <w:rsid w:val="00BC5E6A"/>
    <w:rsid w:val="00BC6F25"/>
    <w:rsid w:val="00BC72AC"/>
    <w:rsid w:val="00BC7756"/>
    <w:rsid w:val="00BC79C4"/>
    <w:rsid w:val="00BC7A6E"/>
    <w:rsid w:val="00BC7EF1"/>
    <w:rsid w:val="00BC7FDF"/>
    <w:rsid w:val="00BD0389"/>
    <w:rsid w:val="00BD0698"/>
    <w:rsid w:val="00BD0A58"/>
    <w:rsid w:val="00BD0C2A"/>
    <w:rsid w:val="00BD24B2"/>
    <w:rsid w:val="00BD2503"/>
    <w:rsid w:val="00BD3965"/>
    <w:rsid w:val="00BD39DF"/>
    <w:rsid w:val="00BD3A17"/>
    <w:rsid w:val="00BD4028"/>
    <w:rsid w:val="00BD4BC2"/>
    <w:rsid w:val="00BD5AFC"/>
    <w:rsid w:val="00BD66F3"/>
    <w:rsid w:val="00BD6A31"/>
    <w:rsid w:val="00BD73B6"/>
    <w:rsid w:val="00BD7E12"/>
    <w:rsid w:val="00BE0449"/>
    <w:rsid w:val="00BE0B78"/>
    <w:rsid w:val="00BE108B"/>
    <w:rsid w:val="00BE1782"/>
    <w:rsid w:val="00BE1B4B"/>
    <w:rsid w:val="00BE2040"/>
    <w:rsid w:val="00BE2247"/>
    <w:rsid w:val="00BE28D8"/>
    <w:rsid w:val="00BE2C96"/>
    <w:rsid w:val="00BE34CA"/>
    <w:rsid w:val="00BE39EA"/>
    <w:rsid w:val="00BE3C61"/>
    <w:rsid w:val="00BE4719"/>
    <w:rsid w:val="00BE4765"/>
    <w:rsid w:val="00BE4C4E"/>
    <w:rsid w:val="00BE50D7"/>
    <w:rsid w:val="00BE5357"/>
    <w:rsid w:val="00BE5DA0"/>
    <w:rsid w:val="00BE6448"/>
    <w:rsid w:val="00BE65D9"/>
    <w:rsid w:val="00BE73BC"/>
    <w:rsid w:val="00BF0DCD"/>
    <w:rsid w:val="00BF0F93"/>
    <w:rsid w:val="00BF105C"/>
    <w:rsid w:val="00BF1E25"/>
    <w:rsid w:val="00BF260B"/>
    <w:rsid w:val="00BF2C4B"/>
    <w:rsid w:val="00BF3422"/>
    <w:rsid w:val="00BF37EF"/>
    <w:rsid w:val="00BF3899"/>
    <w:rsid w:val="00BF3BBC"/>
    <w:rsid w:val="00BF3F39"/>
    <w:rsid w:val="00BF4A40"/>
    <w:rsid w:val="00BF5324"/>
    <w:rsid w:val="00BF545F"/>
    <w:rsid w:val="00BF5CB9"/>
    <w:rsid w:val="00BF5D7C"/>
    <w:rsid w:val="00BF5DAF"/>
    <w:rsid w:val="00BF6B28"/>
    <w:rsid w:val="00BF6C87"/>
    <w:rsid w:val="00BF6E4B"/>
    <w:rsid w:val="00BF75EF"/>
    <w:rsid w:val="00BFC7E8"/>
    <w:rsid w:val="00C00CAE"/>
    <w:rsid w:val="00C00E86"/>
    <w:rsid w:val="00C014EA"/>
    <w:rsid w:val="00C0151A"/>
    <w:rsid w:val="00C01546"/>
    <w:rsid w:val="00C01DDB"/>
    <w:rsid w:val="00C026C8"/>
    <w:rsid w:val="00C03033"/>
    <w:rsid w:val="00C0344B"/>
    <w:rsid w:val="00C0366E"/>
    <w:rsid w:val="00C03E45"/>
    <w:rsid w:val="00C044CA"/>
    <w:rsid w:val="00C04B40"/>
    <w:rsid w:val="00C05754"/>
    <w:rsid w:val="00C0598C"/>
    <w:rsid w:val="00C05EAC"/>
    <w:rsid w:val="00C06BB9"/>
    <w:rsid w:val="00C07613"/>
    <w:rsid w:val="00C079D6"/>
    <w:rsid w:val="00C10196"/>
    <w:rsid w:val="00C102A0"/>
    <w:rsid w:val="00C102AA"/>
    <w:rsid w:val="00C11424"/>
    <w:rsid w:val="00C116A5"/>
    <w:rsid w:val="00C118BA"/>
    <w:rsid w:val="00C11FBF"/>
    <w:rsid w:val="00C12742"/>
    <w:rsid w:val="00C12D27"/>
    <w:rsid w:val="00C130FB"/>
    <w:rsid w:val="00C144A3"/>
    <w:rsid w:val="00C144DC"/>
    <w:rsid w:val="00C145DF"/>
    <w:rsid w:val="00C14898"/>
    <w:rsid w:val="00C148A8"/>
    <w:rsid w:val="00C149F2"/>
    <w:rsid w:val="00C15415"/>
    <w:rsid w:val="00C15F9A"/>
    <w:rsid w:val="00C16056"/>
    <w:rsid w:val="00C161BD"/>
    <w:rsid w:val="00C173E9"/>
    <w:rsid w:val="00C17A81"/>
    <w:rsid w:val="00C20F19"/>
    <w:rsid w:val="00C215B6"/>
    <w:rsid w:val="00C21C84"/>
    <w:rsid w:val="00C229CC"/>
    <w:rsid w:val="00C22B01"/>
    <w:rsid w:val="00C23DA6"/>
    <w:rsid w:val="00C23F86"/>
    <w:rsid w:val="00C2448C"/>
    <w:rsid w:val="00C247DE"/>
    <w:rsid w:val="00C250D5"/>
    <w:rsid w:val="00C2565B"/>
    <w:rsid w:val="00C25881"/>
    <w:rsid w:val="00C25BBA"/>
    <w:rsid w:val="00C26087"/>
    <w:rsid w:val="00C274A3"/>
    <w:rsid w:val="00C27E59"/>
    <w:rsid w:val="00C27F1C"/>
    <w:rsid w:val="00C30571"/>
    <w:rsid w:val="00C30ABC"/>
    <w:rsid w:val="00C30B8F"/>
    <w:rsid w:val="00C30FD0"/>
    <w:rsid w:val="00C3160F"/>
    <w:rsid w:val="00C316EC"/>
    <w:rsid w:val="00C31D96"/>
    <w:rsid w:val="00C322A3"/>
    <w:rsid w:val="00C3250D"/>
    <w:rsid w:val="00C3269F"/>
    <w:rsid w:val="00C32811"/>
    <w:rsid w:val="00C32B2C"/>
    <w:rsid w:val="00C3317C"/>
    <w:rsid w:val="00C33377"/>
    <w:rsid w:val="00C33980"/>
    <w:rsid w:val="00C33D45"/>
    <w:rsid w:val="00C351BA"/>
    <w:rsid w:val="00C351FE"/>
    <w:rsid w:val="00C3572D"/>
    <w:rsid w:val="00C35BBC"/>
    <w:rsid w:val="00C35F60"/>
    <w:rsid w:val="00C35FA8"/>
    <w:rsid w:val="00C365F5"/>
    <w:rsid w:val="00C36F42"/>
    <w:rsid w:val="00C37119"/>
    <w:rsid w:val="00C37135"/>
    <w:rsid w:val="00C37846"/>
    <w:rsid w:val="00C40242"/>
    <w:rsid w:val="00C40595"/>
    <w:rsid w:val="00C405BC"/>
    <w:rsid w:val="00C407DA"/>
    <w:rsid w:val="00C41398"/>
    <w:rsid w:val="00C41763"/>
    <w:rsid w:val="00C426A5"/>
    <w:rsid w:val="00C4298B"/>
    <w:rsid w:val="00C42A78"/>
    <w:rsid w:val="00C42E27"/>
    <w:rsid w:val="00C4416F"/>
    <w:rsid w:val="00C45166"/>
    <w:rsid w:val="00C45873"/>
    <w:rsid w:val="00C45A22"/>
    <w:rsid w:val="00C45D26"/>
    <w:rsid w:val="00C46183"/>
    <w:rsid w:val="00C46876"/>
    <w:rsid w:val="00C46964"/>
    <w:rsid w:val="00C46C01"/>
    <w:rsid w:val="00C50108"/>
    <w:rsid w:val="00C50B6D"/>
    <w:rsid w:val="00C50E00"/>
    <w:rsid w:val="00C51111"/>
    <w:rsid w:val="00C51C26"/>
    <w:rsid w:val="00C51F67"/>
    <w:rsid w:val="00C52064"/>
    <w:rsid w:val="00C5214F"/>
    <w:rsid w:val="00C5252F"/>
    <w:rsid w:val="00C5262A"/>
    <w:rsid w:val="00C5279C"/>
    <w:rsid w:val="00C527B8"/>
    <w:rsid w:val="00C528C8"/>
    <w:rsid w:val="00C528D0"/>
    <w:rsid w:val="00C52988"/>
    <w:rsid w:val="00C53295"/>
    <w:rsid w:val="00C532CB"/>
    <w:rsid w:val="00C540D3"/>
    <w:rsid w:val="00C54512"/>
    <w:rsid w:val="00C553AE"/>
    <w:rsid w:val="00C558E5"/>
    <w:rsid w:val="00C55A22"/>
    <w:rsid w:val="00C55C72"/>
    <w:rsid w:val="00C56117"/>
    <w:rsid w:val="00C57A7A"/>
    <w:rsid w:val="00C57C6B"/>
    <w:rsid w:val="00C60A0D"/>
    <w:rsid w:val="00C61F42"/>
    <w:rsid w:val="00C6246B"/>
    <w:rsid w:val="00C62510"/>
    <w:rsid w:val="00C6258F"/>
    <w:rsid w:val="00C62A3C"/>
    <w:rsid w:val="00C62CAC"/>
    <w:rsid w:val="00C633AE"/>
    <w:rsid w:val="00C63648"/>
    <w:rsid w:val="00C63799"/>
    <w:rsid w:val="00C63D9E"/>
    <w:rsid w:val="00C641BD"/>
    <w:rsid w:val="00C6483E"/>
    <w:rsid w:val="00C66142"/>
    <w:rsid w:val="00C662BF"/>
    <w:rsid w:val="00C66E5B"/>
    <w:rsid w:val="00C6723B"/>
    <w:rsid w:val="00C67950"/>
    <w:rsid w:val="00C70052"/>
    <w:rsid w:val="00C70391"/>
    <w:rsid w:val="00C70438"/>
    <w:rsid w:val="00C7084C"/>
    <w:rsid w:val="00C70DE9"/>
    <w:rsid w:val="00C7108E"/>
    <w:rsid w:val="00C71675"/>
    <w:rsid w:val="00C717D0"/>
    <w:rsid w:val="00C71F93"/>
    <w:rsid w:val="00C7373D"/>
    <w:rsid w:val="00C74D6C"/>
    <w:rsid w:val="00C7526B"/>
    <w:rsid w:val="00C7553E"/>
    <w:rsid w:val="00C75DAD"/>
    <w:rsid w:val="00C75FC9"/>
    <w:rsid w:val="00C76051"/>
    <w:rsid w:val="00C76DB1"/>
    <w:rsid w:val="00C7759F"/>
    <w:rsid w:val="00C77D9C"/>
    <w:rsid w:val="00C80016"/>
    <w:rsid w:val="00C80399"/>
    <w:rsid w:val="00C80970"/>
    <w:rsid w:val="00C818D8"/>
    <w:rsid w:val="00C81F9C"/>
    <w:rsid w:val="00C822C2"/>
    <w:rsid w:val="00C82413"/>
    <w:rsid w:val="00C82F40"/>
    <w:rsid w:val="00C83475"/>
    <w:rsid w:val="00C83B7B"/>
    <w:rsid w:val="00C853E2"/>
    <w:rsid w:val="00C85DBC"/>
    <w:rsid w:val="00C8627B"/>
    <w:rsid w:val="00C868C7"/>
    <w:rsid w:val="00C86D93"/>
    <w:rsid w:val="00C875F4"/>
    <w:rsid w:val="00C8784F"/>
    <w:rsid w:val="00C9005B"/>
    <w:rsid w:val="00C908F8"/>
    <w:rsid w:val="00C90C2A"/>
    <w:rsid w:val="00C91113"/>
    <w:rsid w:val="00C9180B"/>
    <w:rsid w:val="00C91A86"/>
    <w:rsid w:val="00C929C9"/>
    <w:rsid w:val="00C92AAB"/>
    <w:rsid w:val="00C92F90"/>
    <w:rsid w:val="00C932B8"/>
    <w:rsid w:val="00C93EB1"/>
    <w:rsid w:val="00C943D6"/>
    <w:rsid w:val="00C9512F"/>
    <w:rsid w:val="00C952C0"/>
    <w:rsid w:val="00C963C9"/>
    <w:rsid w:val="00C96FEC"/>
    <w:rsid w:val="00C977C7"/>
    <w:rsid w:val="00C9782C"/>
    <w:rsid w:val="00CA129D"/>
    <w:rsid w:val="00CA14BB"/>
    <w:rsid w:val="00CA1CA5"/>
    <w:rsid w:val="00CA1D74"/>
    <w:rsid w:val="00CA2AD6"/>
    <w:rsid w:val="00CA3282"/>
    <w:rsid w:val="00CA4294"/>
    <w:rsid w:val="00CA5044"/>
    <w:rsid w:val="00CA56ED"/>
    <w:rsid w:val="00CA6578"/>
    <w:rsid w:val="00CA6B3D"/>
    <w:rsid w:val="00CA77DB"/>
    <w:rsid w:val="00CB16B5"/>
    <w:rsid w:val="00CB19EF"/>
    <w:rsid w:val="00CB1B4A"/>
    <w:rsid w:val="00CB27AD"/>
    <w:rsid w:val="00CB306F"/>
    <w:rsid w:val="00CB3799"/>
    <w:rsid w:val="00CB402A"/>
    <w:rsid w:val="00CB58BE"/>
    <w:rsid w:val="00CB5CC8"/>
    <w:rsid w:val="00CB639E"/>
    <w:rsid w:val="00CB6788"/>
    <w:rsid w:val="00CB6CC1"/>
    <w:rsid w:val="00CB766E"/>
    <w:rsid w:val="00CB7817"/>
    <w:rsid w:val="00CB788A"/>
    <w:rsid w:val="00CB7D0F"/>
    <w:rsid w:val="00CC0DB4"/>
    <w:rsid w:val="00CC1EE6"/>
    <w:rsid w:val="00CC1F34"/>
    <w:rsid w:val="00CC33CC"/>
    <w:rsid w:val="00CC37AC"/>
    <w:rsid w:val="00CC403E"/>
    <w:rsid w:val="00CC4902"/>
    <w:rsid w:val="00CC540B"/>
    <w:rsid w:val="00CC5DB3"/>
    <w:rsid w:val="00CC5E48"/>
    <w:rsid w:val="00CC5E55"/>
    <w:rsid w:val="00CC6484"/>
    <w:rsid w:val="00CC7332"/>
    <w:rsid w:val="00CC73AE"/>
    <w:rsid w:val="00CC7679"/>
    <w:rsid w:val="00CC7C1A"/>
    <w:rsid w:val="00CC7FED"/>
    <w:rsid w:val="00CD0D2A"/>
    <w:rsid w:val="00CD1515"/>
    <w:rsid w:val="00CD1544"/>
    <w:rsid w:val="00CD16B6"/>
    <w:rsid w:val="00CD21B1"/>
    <w:rsid w:val="00CD2751"/>
    <w:rsid w:val="00CD2CDA"/>
    <w:rsid w:val="00CD2E85"/>
    <w:rsid w:val="00CD3403"/>
    <w:rsid w:val="00CD37E2"/>
    <w:rsid w:val="00CD3ABD"/>
    <w:rsid w:val="00CD432A"/>
    <w:rsid w:val="00CD4C19"/>
    <w:rsid w:val="00CD4F83"/>
    <w:rsid w:val="00CD519B"/>
    <w:rsid w:val="00CD5DBE"/>
    <w:rsid w:val="00CD7465"/>
    <w:rsid w:val="00CD78BB"/>
    <w:rsid w:val="00CE051C"/>
    <w:rsid w:val="00CE092B"/>
    <w:rsid w:val="00CE0A72"/>
    <w:rsid w:val="00CE1362"/>
    <w:rsid w:val="00CE19F5"/>
    <w:rsid w:val="00CE32C4"/>
    <w:rsid w:val="00CE3385"/>
    <w:rsid w:val="00CE42CC"/>
    <w:rsid w:val="00CE43CE"/>
    <w:rsid w:val="00CE6FB4"/>
    <w:rsid w:val="00CE74CF"/>
    <w:rsid w:val="00CF0614"/>
    <w:rsid w:val="00CF1DB8"/>
    <w:rsid w:val="00CF1F70"/>
    <w:rsid w:val="00CF2751"/>
    <w:rsid w:val="00CF35CF"/>
    <w:rsid w:val="00CF4743"/>
    <w:rsid w:val="00CF4B68"/>
    <w:rsid w:val="00CF521F"/>
    <w:rsid w:val="00CF5296"/>
    <w:rsid w:val="00CF63BA"/>
    <w:rsid w:val="00CF6532"/>
    <w:rsid w:val="00CF6B44"/>
    <w:rsid w:val="00CF71B7"/>
    <w:rsid w:val="00CF71DF"/>
    <w:rsid w:val="00CF774A"/>
    <w:rsid w:val="00CF7895"/>
    <w:rsid w:val="00D00246"/>
    <w:rsid w:val="00D0044D"/>
    <w:rsid w:val="00D0097D"/>
    <w:rsid w:val="00D0110E"/>
    <w:rsid w:val="00D013EE"/>
    <w:rsid w:val="00D01583"/>
    <w:rsid w:val="00D0176C"/>
    <w:rsid w:val="00D01F64"/>
    <w:rsid w:val="00D032CF"/>
    <w:rsid w:val="00D03498"/>
    <w:rsid w:val="00D034F0"/>
    <w:rsid w:val="00D037D4"/>
    <w:rsid w:val="00D038BF"/>
    <w:rsid w:val="00D0444F"/>
    <w:rsid w:val="00D04883"/>
    <w:rsid w:val="00D05A09"/>
    <w:rsid w:val="00D06711"/>
    <w:rsid w:val="00D06E89"/>
    <w:rsid w:val="00D0793B"/>
    <w:rsid w:val="00D07981"/>
    <w:rsid w:val="00D07B7A"/>
    <w:rsid w:val="00D07E8D"/>
    <w:rsid w:val="00D10268"/>
    <w:rsid w:val="00D10692"/>
    <w:rsid w:val="00D10837"/>
    <w:rsid w:val="00D10A9E"/>
    <w:rsid w:val="00D10E4C"/>
    <w:rsid w:val="00D10F26"/>
    <w:rsid w:val="00D11043"/>
    <w:rsid w:val="00D11694"/>
    <w:rsid w:val="00D11AA8"/>
    <w:rsid w:val="00D11C87"/>
    <w:rsid w:val="00D123D1"/>
    <w:rsid w:val="00D12D1B"/>
    <w:rsid w:val="00D13397"/>
    <w:rsid w:val="00D14506"/>
    <w:rsid w:val="00D14691"/>
    <w:rsid w:val="00D1488C"/>
    <w:rsid w:val="00D15151"/>
    <w:rsid w:val="00D15D2A"/>
    <w:rsid w:val="00D164CA"/>
    <w:rsid w:val="00D164F8"/>
    <w:rsid w:val="00D17A13"/>
    <w:rsid w:val="00D21BF2"/>
    <w:rsid w:val="00D22103"/>
    <w:rsid w:val="00D2302F"/>
    <w:rsid w:val="00D232F0"/>
    <w:rsid w:val="00D235DD"/>
    <w:rsid w:val="00D23857"/>
    <w:rsid w:val="00D23C6E"/>
    <w:rsid w:val="00D242CA"/>
    <w:rsid w:val="00D24C60"/>
    <w:rsid w:val="00D25962"/>
    <w:rsid w:val="00D25D37"/>
    <w:rsid w:val="00D25E38"/>
    <w:rsid w:val="00D26252"/>
    <w:rsid w:val="00D264C2"/>
    <w:rsid w:val="00D2690F"/>
    <w:rsid w:val="00D26FF4"/>
    <w:rsid w:val="00D274D7"/>
    <w:rsid w:val="00D276B5"/>
    <w:rsid w:val="00D27715"/>
    <w:rsid w:val="00D27C0A"/>
    <w:rsid w:val="00D306DB"/>
    <w:rsid w:val="00D308EF"/>
    <w:rsid w:val="00D309DA"/>
    <w:rsid w:val="00D30FDC"/>
    <w:rsid w:val="00D319AC"/>
    <w:rsid w:val="00D31A4E"/>
    <w:rsid w:val="00D31F51"/>
    <w:rsid w:val="00D333A6"/>
    <w:rsid w:val="00D33B07"/>
    <w:rsid w:val="00D33CB1"/>
    <w:rsid w:val="00D34163"/>
    <w:rsid w:val="00D34705"/>
    <w:rsid w:val="00D34ABB"/>
    <w:rsid w:val="00D34BC0"/>
    <w:rsid w:val="00D358CF"/>
    <w:rsid w:val="00D36100"/>
    <w:rsid w:val="00D3699E"/>
    <w:rsid w:val="00D37831"/>
    <w:rsid w:val="00D40078"/>
    <w:rsid w:val="00D41020"/>
    <w:rsid w:val="00D41411"/>
    <w:rsid w:val="00D415FE"/>
    <w:rsid w:val="00D416CD"/>
    <w:rsid w:val="00D41888"/>
    <w:rsid w:val="00D41B62"/>
    <w:rsid w:val="00D4213F"/>
    <w:rsid w:val="00D4251E"/>
    <w:rsid w:val="00D4266D"/>
    <w:rsid w:val="00D42858"/>
    <w:rsid w:val="00D42C08"/>
    <w:rsid w:val="00D437EC"/>
    <w:rsid w:val="00D44DFC"/>
    <w:rsid w:val="00D4571A"/>
    <w:rsid w:val="00D45FFA"/>
    <w:rsid w:val="00D46582"/>
    <w:rsid w:val="00D472EE"/>
    <w:rsid w:val="00D47790"/>
    <w:rsid w:val="00D47EA6"/>
    <w:rsid w:val="00D50220"/>
    <w:rsid w:val="00D50387"/>
    <w:rsid w:val="00D50D7A"/>
    <w:rsid w:val="00D5151A"/>
    <w:rsid w:val="00D516AC"/>
    <w:rsid w:val="00D51D60"/>
    <w:rsid w:val="00D523B4"/>
    <w:rsid w:val="00D524A4"/>
    <w:rsid w:val="00D527FE"/>
    <w:rsid w:val="00D52DA6"/>
    <w:rsid w:val="00D53CF3"/>
    <w:rsid w:val="00D53FF5"/>
    <w:rsid w:val="00D54124"/>
    <w:rsid w:val="00D55453"/>
    <w:rsid w:val="00D557CB"/>
    <w:rsid w:val="00D55CFE"/>
    <w:rsid w:val="00D5627D"/>
    <w:rsid w:val="00D57E77"/>
    <w:rsid w:val="00D60984"/>
    <w:rsid w:val="00D613D7"/>
    <w:rsid w:val="00D618A1"/>
    <w:rsid w:val="00D61C0D"/>
    <w:rsid w:val="00D61F96"/>
    <w:rsid w:val="00D62427"/>
    <w:rsid w:val="00D62E1D"/>
    <w:rsid w:val="00D634BE"/>
    <w:rsid w:val="00D642B0"/>
    <w:rsid w:val="00D6439F"/>
    <w:rsid w:val="00D648BE"/>
    <w:rsid w:val="00D65178"/>
    <w:rsid w:val="00D6518E"/>
    <w:rsid w:val="00D65ADA"/>
    <w:rsid w:val="00D66387"/>
    <w:rsid w:val="00D663D7"/>
    <w:rsid w:val="00D66680"/>
    <w:rsid w:val="00D6725C"/>
    <w:rsid w:val="00D67A19"/>
    <w:rsid w:val="00D7115C"/>
    <w:rsid w:val="00D715DC"/>
    <w:rsid w:val="00D7169A"/>
    <w:rsid w:val="00D71FC0"/>
    <w:rsid w:val="00D7307E"/>
    <w:rsid w:val="00D73133"/>
    <w:rsid w:val="00D73289"/>
    <w:rsid w:val="00D73323"/>
    <w:rsid w:val="00D74D9C"/>
    <w:rsid w:val="00D75D8D"/>
    <w:rsid w:val="00D7616E"/>
    <w:rsid w:val="00D76357"/>
    <w:rsid w:val="00D76955"/>
    <w:rsid w:val="00D7793C"/>
    <w:rsid w:val="00D77CB8"/>
    <w:rsid w:val="00D8024C"/>
    <w:rsid w:val="00D804E7"/>
    <w:rsid w:val="00D80FE6"/>
    <w:rsid w:val="00D815D3"/>
    <w:rsid w:val="00D81640"/>
    <w:rsid w:val="00D8188D"/>
    <w:rsid w:val="00D81D29"/>
    <w:rsid w:val="00D82333"/>
    <w:rsid w:val="00D82488"/>
    <w:rsid w:val="00D8335B"/>
    <w:rsid w:val="00D834C6"/>
    <w:rsid w:val="00D838FF"/>
    <w:rsid w:val="00D83A9D"/>
    <w:rsid w:val="00D84875"/>
    <w:rsid w:val="00D84EEE"/>
    <w:rsid w:val="00D854C3"/>
    <w:rsid w:val="00D855F9"/>
    <w:rsid w:val="00D859D7"/>
    <w:rsid w:val="00D86544"/>
    <w:rsid w:val="00D90072"/>
    <w:rsid w:val="00D90C3C"/>
    <w:rsid w:val="00D914E7"/>
    <w:rsid w:val="00D91699"/>
    <w:rsid w:val="00D919B6"/>
    <w:rsid w:val="00D91B7C"/>
    <w:rsid w:val="00D920FD"/>
    <w:rsid w:val="00D921D2"/>
    <w:rsid w:val="00D92470"/>
    <w:rsid w:val="00D92E00"/>
    <w:rsid w:val="00D93172"/>
    <w:rsid w:val="00D935CC"/>
    <w:rsid w:val="00D93D5E"/>
    <w:rsid w:val="00D948DA"/>
    <w:rsid w:val="00D94B49"/>
    <w:rsid w:val="00D94B55"/>
    <w:rsid w:val="00D9528B"/>
    <w:rsid w:val="00D95480"/>
    <w:rsid w:val="00D95653"/>
    <w:rsid w:val="00D95ADC"/>
    <w:rsid w:val="00D95DD8"/>
    <w:rsid w:val="00D9657C"/>
    <w:rsid w:val="00D96938"/>
    <w:rsid w:val="00D96B25"/>
    <w:rsid w:val="00D96C4A"/>
    <w:rsid w:val="00D96E30"/>
    <w:rsid w:val="00D970B6"/>
    <w:rsid w:val="00DA00EB"/>
    <w:rsid w:val="00DA070D"/>
    <w:rsid w:val="00DA14AB"/>
    <w:rsid w:val="00DA1DDE"/>
    <w:rsid w:val="00DA1EF4"/>
    <w:rsid w:val="00DA248B"/>
    <w:rsid w:val="00DA26B8"/>
    <w:rsid w:val="00DA2CBA"/>
    <w:rsid w:val="00DA3549"/>
    <w:rsid w:val="00DA3C17"/>
    <w:rsid w:val="00DA3D08"/>
    <w:rsid w:val="00DA3D0B"/>
    <w:rsid w:val="00DA45E7"/>
    <w:rsid w:val="00DA4E6D"/>
    <w:rsid w:val="00DA54C9"/>
    <w:rsid w:val="00DA662B"/>
    <w:rsid w:val="00DA66AE"/>
    <w:rsid w:val="00DA6B5A"/>
    <w:rsid w:val="00DA6D37"/>
    <w:rsid w:val="00DA7284"/>
    <w:rsid w:val="00DA7DDA"/>
    <w:rsid w:val="00DB0133"/>
    <w:rsid w:val="00DB0257"/>
    <w:rsid w:val="00DB0ECE"/>
    <w:rsid w:val="00DB1194"/>
    <w:rsid w:val="00DB13CE"/>
    <w:rsid w:val="00DB1400"/>
    <w:rsid w:val="00DB20F4"/>
    <w:rsid w:val="00DB2216"/>
    <w:rsid w:val="00DB2528"/>
    <w:rsid w:val="00DB2ADD"/>
    <w:rsid w:val="00DB2F12"/>
    <w:rsid w:val="00DB3263"/>
    <w:rsid w:val="00DB3BC9"/>
    <w:rsid w:val="00DB3C92"/>
    <w:rsid w:val="00DB3FC2"/>
    <w:rsid w:val="00DB4E79"/>
    <w:rsid w:val="00DB5354"/>
    <w:rsid w:val="00DB6188"/>
    <w:rsid w:val="00DB6479"/>
    <w:rsid w:val="00DB68A3"/>
    <w:rsid w:val="00DB6FA8"/>
    <w:rsid w:val="00DB75E6"/>
    <w:rsid w:val="00DB7851"/>
    <w:rsid w:val="00DB79AA"/>
    <w:rsid w:val="00DB7C8F"/>
    <w:rsid w:val="00DC0536"/>
    <w:rsid w:val="00DC082D"/>
    <w:rsid w:val="00DC08F4"/>
    <w:rsid w:val="00DC2558"/>
    <w:rsid w:val="00DC3F3E"/>
    <w:rsid w:val="00DC528F"/>
    <w:rsid w:val="00DC54A8"/>
    <w:rsid w:val="00DC56E6"/>
    <w:rsid w:val="00DC5AB5"/>
    <w:rsid w:val="00DC5F29"/>
    <w:rsid w:val="00DC5FDB"/>
    <w:rsid w:val="00DC66EC"/>
    <w:rsid w:val="00DC72BE"/>
    <w:rsid w:val="00DC7906"/>
    <w:rsid w:val="00DC7B86"/>
    <w:rsid w:val="00DD0781"/>
    <w:rsid w:val="00DD1009"/>
    <w:rsid w:val="00DD10F2"/>
    <w:rsid w:val="00DD17FA"/>
    <w:rsid w:val="00DD1A25"/>
    <w:rsid w:val="00DD2985"/>
    <w:rsid w:val="00DD32CD"/>
    <w:rsid w:val="00DD37E9"/>
    <w:rsid w:val="00DD4129"/>
    <w:rsid w:val="00DD45E7"/>
    <w:rsid w:val="00DD479A"/>
    <w:rsid w:val="00DD4A1A"/>
    <w:rsid w:val="00DD5178"/>
    <w:rsid w:val="00DD53E3"/>
    <w:rsid w:val="00DD5F6E"/>
    <w:rsid w:val="00DD689A"/>
    <w:rsid w:val="00DD6D64"/>
    <w:rsid w:val="00DD6FD4"/>
    <w:rsid w:val="00DD7265"/>
    <w:rsid w:val="00DD7845"/>
    <w:rsid w:val="00DD7B74"/>
    <w:rsid w:val="00DE111E"/>
    <w:rsid w:val="00DE17CA"/>
    <w:rsid w:val="00DE1934"/>
    <w:rsid w:val="00DE1C51"/>
    <w:rsid w:val="00DE1C79"/>
    <w:rsid w:val="00DE1C7C"/>
    <w:rsid w:val="00DE1ECF"/>
    <w:rsid w:val="00DE26F2"/>
    <w:rsid w:val="00DE2898"/>
    <w:rsid w:val="00DE2965"/>
    <w:rsid w:val="00DE3004"/>
    <w:rsid w:val="00DE33BF"/>
    <w:rsid w:val="00DE3899"/>
    <w:rsid w:val="00DE4E7F"/>
    <w:rsid w:val="00DE5205"/>
    <w:rsid w:val="00DE5274"/>
    <w:rsid w:val="00DE560C"/>
    <w:rsid w:val="00DE56E1"/>
    <w:rsid w:val="00DE58FE"/>
    <w:rsid w:val="00DE5A94"/>
    <w:rsid w:val="00DE637C"/>
    <w:rsid w:val="00DE7094"/>
    <w:rsid w:val="00DE74DE"/>
    <w:rsid w:val="00DE7BAF"/>
    <w:rsid w:val="00DE7E2A"/>
    <w:rsid w:val="00DF023D"/>
    <w:rsid w:val="00DF17F3"/>
    <w:rsid w:val="00DF1A56"/>
    <w:rsid w:val="00DF2BB7"/>
    <w:rsid w:val="00DF2E00"/>
    <w:rsid w:val="00DF3232"/>
    <w:rsid w:val="00DF43E5"/>
    <w:rsid w:val="00DF4771"/>
    <w:rsid w:val="00DF4869"/>
    <w:rsid w:val="00DF5037"/>
    <w:rsid w:val="00DF563D"/>
    <w:rsid w:val="00DF64D7"/>
    <w:rsid w:val="00DF68E4"/>
    <w:rsid w:val="00DF796B"/>
    <w:rsid w:val="00DF7CCA"/>
    <w:rsid w:val="00DF7EF9"/>
    <w:rsid w:val="00E00524"/>
    <w:rsid w:val="00E009C8"/>
    <w:rsid w:val="00E00CB7"/>
    <w:rsid w:val="00E00E21"/>
    <w:rsid w:val="00E01831"/>
    <w:rsid w:val="00E0276E"/>
    <w:rsid w:val="00E05849"/>
    <w:rsid w:val="00E07288"/>
    <w:rsid w:val="00E074FE"/>
    <w:rsid w:val="00E076BC"/>
    <w:rsid w:val="00E07C14"/>
    <w:rsid w:val="00E07E8D"/>
    <w:rsid w:val="00E07FD0"/>
    <w:rsid w:val="00E108EF"/>
    <w:rsid w:val="00E11829"/>
    <w:rsid w:val="00E11FE2"/>
    <w:rsid w:val="00E12135"/>
    <w:rsid w:val="00E13086"/>
    <w:rsid w:val="00E130B3"/>
    <w:rsid w:val="00E133B1"/>
    <w:rsid w:val="00E137D4"/>
    <w:rsid w:val="00E13912"/>
    <w:rsid w:val="00E13D09"/>
    <w:rsid w:val="00E14B3A"/>
    <w:rsid w:val="00E14B8C"/>
    <w:rsid w:val="00E15429"/>
    <w:rsid w:val="00E15DBD"/>
    <w:rsid w:val="00E1621B"/>
    <w:rsid w:val="00E164B0"/>
    <w:rsid w:val="00E176FC"/>
    <w:rsid w:val="00E20205"/>
    <w:rsid w:val="00E20472"/>
    <w:rsid w:val="00E20A0D"/>
    <w:rsid w:val="00E212B6"/>
    <w:rsid w:val="00E2153F"/>
    <w:rsid w:val="00E220C3"/>
    <w:rsid w:val="00E22610"/>
    <w:rsid w:val="00E22A12"/>
    <w:rsid w:val="00E22C30"/>
    <w:rsid w:val="00E22D3A"/>
    <w:rsid w:val="00E23151"/>
    <w:rsid w:val="00E240EE"/>
    <w:rsid w:val="00E24467"/>
    <w:rsid w:val="00E248D4"/>
    <w:rsid w:val="00E25203"/>
    <w:rsid w:val="00E26232"/>
    <w:rsid w:val="00E277AD"/>
    <w:rsid w:val="00E30290"/>
    <w:rsid w:val="00E30296"/>
    <w:rsid w:val="00E333B7"/>
    <w:rsid w:val="00E33488"/>
    <w:rsid w:val="00E3462D"/>
    <w:rsid w:val="00E350EE"/>
    <w:rsid w:val="00E36567"/>
    <w:rsid w:val="00E367C1"/>
    <w:rsid w:val="00E36C3F"/>
    <w:rsid w:val="00E378E7"/>
    <w:rsid w:val="00E40FC0"/>
    <w:rsid w:val="00E415E4"/>
    <w:rsid w:val="00E41B65"/>
    <w:rsid w:val="00E420B2"/>
    <w:rsid w:val="00E4240B"/>
    <w:rsid w:val="00E42948"/>
    <w:rsid w:val="00E42A55"/>
    <w:rsid w:val="00E437CC"/>
    <w:rsid w:val="00E43A84"/>
    <w:rsid w:val="00E43E8E"/>
    <w:rsid w:val="00E44562"/>
    <w:rsid w:val="00E4457C"/>
    <w:rsid w:val="00E44602"/>
    <w:rsid w:val="00E4510C"/>
    <w:rsid w:val="00E45269"/>
    <w:rsid w:val="00E46AF6"/>
    <w:rsid w:val="00E46B4A"/>
    <w:rsid w:val="00E4755E"/>
    <w:rsid w:val="00E4762B"/>
    <w:rsid w:val="00E51086"/>
    <w:rsid w:val="00E51123"/>
    <w:rsid w:val="00E513D0"/>
    <w:rsid w:val="00E52735"/>
    <w:rsid w:val="00E532F2"/>
    <w:rsid w:val="00E534B9"/>
    <w:rsid w:val="00E550D7"/>
    <w:rsid w:val="00E55602"/>
    <w:rsid w:val="00E55F62"/>
    <w:rsid w:val="00E56AEC"/>
    <w:rsid w:val="00E56F04"/>
    <w:rsid w:val="00E56F6A"/>
    <w:rsid w:val="00E574F8"/>
    <w:rsid w:val="00E57FE1"/>
    <w:rsid w:val="00E602C0"/>
    <w:rsid w:val="00E60328"/>
    <w:rsid w:val="00E609BF"/>
    <w:rsid w:val="00E61118"/>
    <w:rsid w:val="00E61FF6"/>
    <w:rsid w:val="00E621D6"/>
    <w:rsid w:val="00E625FE"/>
    <w:rsid w:val="00E62697"/>
    <w:rsid w:val="00E62723"/>
    <w:rsid w:val="00E628D6"/>
    <w:rsid w:val="00E62B0F"/>
    <w:rsid w:val="00E668CE"/>
    <w:rsid w:val="00E67F47"/>
    <w:rsid w:val="00E70CAC"/>
    <w:rsid w:val="00E7108C"/>
    <w:rsid w:val="00E71AE6"/>
    <w:rsid w:val="00E71E43"/>
    <w:rsid w:val="00E7218D"/>
    <w:rsid w:val="00E732D4"/>
    <w:rsid w:val="00E73A68"/>
    <w:rsid w:val="00E74097"/>
    <w:rsid w:val="00E740BD"/>
    <w:rsid w:val="00E7414A"/>
    <w:rsid w:val="00E74157"/>
    <w:rsid w:val="00E75D92"/>
    <w:rsid w:val="00E75F49"/>
    <w:rsid w:val="00E761CD"/>
    <w:rsid w:val="00E76B58"/>
    <w:rsid w:val="00E76CD9"/>
    <w:rsid w:val="00E77FFE"/>
    <w:rsid w:val="00E80224"/>
    <w:rsid w:val="00E8053B"/>
    <w:rsid w:val="00E80988"/>
    <w:rsid w:val="00E809C4"/>
    <w:rsid w:val="00E80B15"/>
    <w:rsid w:val="00E80BCF"/>
    <w:rsid w:val="00E81AA4"/>
    <w:rsid w:val="00E81C25"/>
    <w:rsid w:val="00E82211"/>
    <w:rsid w:val="00E82490"/>
    <w:rsid w:val="00E825F8"/>
    <w:rsid w:val="00E826F9"/>
    <w:rsid w:val="00E82759"/>
    <w:rsid w:val="00E82BCA"/>
    <w:rsid w:val="00E845C0"/>
    <w:rsid w:val="00E85028"/>
    <w:rsid w:val="00E8591A"/>
    <w:rsid w:val="00E85A25"/>
    <w:rsid w:val="00E85C55"/>
    <w:rsid w:val="00E8603F"/>
    <w:rsid w:val="00E86349"/>
    <w:rsid w:val="00E86AC7"/>
    <w:rsid w:val="00E86F33"/>
    <w:rsid w:val="00E87AF7"/>
    <w:rsid w:val="00E90DED"/>
    <w:rsid w:val="00E90F49"/>
    <w:rsid w:val="00E918F6"/>
    <w:rsid w:val="00E91E7A"/>
    <w:rsid w:val="00E922DD"/>
    <w:rsid w:val="00E92417"/>
    <w:rsid w:val="00E93275"/>
    <w:rsid w:val="00E9367A"/>
    <w:rsid w:val="00E93A5E"/>
    <w:rsid w:val="00E9422A"/>
    <w:rsid w:val="00E94862"/>
    <w:rsid w:val="00E94B6B"/>
    <w:rsid w:val="00E96695"/>
    <w:rsid w:val="00E97E11"/>
    <w:rsid w:val="00EA0523"/>
    <w:rsid w:val="00EA0AD9"/>
    <w:rsid w:val="00EA1390"/>
    <w:rsid w:val="00EA19FF"/>
    <w:rsid w:val="00EA2EB5"/>
    <w:rsid w:val="00EA31D4"/>
    <w:rsid w:val="00EA37E6"/>
    <w:rsid w:val="00EA408F"/>
    <w:rsid w:val="00EA49EF"/>
    <w:rsid w:val="00EA4A4E"/>
    <w:rsid w:val="00EA4E85"/>
    <w:rsid w:val="00EA53E2"/>
    <w:rsid w:val="00EA5914"/>
    <w:rsid w:val="00EA6080"/>
    <w:rsid w:val="00EA75D5"/>
    <w:rsid w:val="00EA797A"/>
    <w:rsid w:val="00EB033F"/>
    <w:rsid w:val="00EB039A"/>
    <w:rsid w:val="00EB1721"/>
    <w:rsid w:val="00EB1BF6"/>
    <w:rsid w:val="00EB1EB9"/>
    <w:rsid w:val="00EB32EB"/>
    <w:rsid w:val="00EB38A0"/>
    <w:rsid w:val="00EB38E3"/>
    <w:rsid w:val="00EB3AF0"/>
    <w:rsid w:val="00EB4395"/>
    <w:rsid w:val="00EB44F3"/>
    <w:rsid w:val="00EB5125"/>
    <w:rsid w:val="00EB5A32"/>
    <w:rsid w:val="00EB62B9"/>
    <w:rsid w:val="00EB7E5D"/>
    <w:rsid w:val="00EC0525"/>
    <w:rsid w:val="00EC068A"/>
    <w:rsid w:val="00EC06A9"/>
    <w:rsid w:val="00EC073B"/>
    <w:rsid w:val="00EC0741"/>
    <w:rsid w:val="00EC0DB9"/>
    <w:rsid w:val="00EC11EF"/>
    <w:rsid w:val="00EC18E9"/>
    <w:rsid w:val="00EC19CA"/>
    <w:rsid w:val="00EC1E59"/>
    <w:rsid w:val="00EC1F8C"/>
    <w:rsid w:val="00EC2163"/>
    <w:rsid w:val="00EC2417"/>
    <w:rsid w:val="00EC2A9E"/>
    <w:rsid w:val="00EC3A8D"/>
    <w:rsid w:val="00EC3D72"/>
    <w:rsid w:val="00EC4276"/>
    <w:rsid w:val="00EC4347"/>
    <w:rsid w:val="00EC4B03"/>
    <w:rsid w:val="00EC4E1B"/>
    <w:rsid w:val="00EC5643"/>
    <w:rsid w:val="00EC5759"/>
    <w:rsid w:val="00EC6629"/>
    <w:rsid w:val="00EC6CB3"/>
    <w:rsid w:val="00EC79D3"/>
    <w:rsid w:val="00EC7DCC"/>
    <w:rsid w:val="00ED0175"/>
    <w:rsid w:val="00ED0AC1"/>
    <w:rsid w:val="00ED0F51"/>
    <w:rsid w:val="00ED104D"/>
    <w:rsid w:val="00ED1B73"/>
    <w:rsid w:val="00ED1DC7"/>
    <w:rsid w:val="00ED2978"/>
    <w:rsid w:val="00ED32F7"/>
    <w:rsid w:val="00ED399E"/>
    <w:rsid w:val="00ED3AA4"/>
    <w:rsid w:val="00ED4299"/>
    <w:rsid w:val="00ED5154"/>
    <w:rsid w:val="00ED5223"/>
    <w:rsid w:val="00ED5E8C"/>
    <w:rsid w:val="00ED748B"/>
    <w:rsid w:val="00ED7F72"/>
    <w:rsid w:val="00EE0008"/>
    <w:rsid w:val="00EE139C"/>
    <w:rsid w:val="00EE14A6"/>
    <w:rsid w:val="00EE2211"/>
    <w:rsid w:val="00EE263E"/>
    <w:rsid w:val="00EE37E7"/>
    <w:rsid w:val="00EE4152"/>
    <w:rsid w:val="00EE4785"/>
    <w:rsid w:val="00EE48DC"/>
    <w:rsid w:val="00EE5984"/>
    <w:rsid w:val="00EE5A69"/>
    <w:rsid w:val="00EE6228"/>
    <w:rsid w:val="00EE6672"/>
    <w:rsid w:val="00EE687A"/>
    <w:rsid w:val="00EE7664"/>
    <w:rsid w:val="00EF0DCC"/>
    <w:rsid w:val="00EF14AE"/>
    <w:rsid w:val="00EF1652"/>
    <w:rsid w:val="00EF17FB"/>
    <w:rsid w:val="00EF1AD7"/>
    <w:rsid w:val="00EF1B54"/>
    <w:rsid w:val="00EF1CBB"/>
    <w:rsid w:val="00EF1F82"/>
    <w:rsid w:val="00EF2413"/>
    <w:rsid w:val="00EF3340"/>
    <w:rsid w:val="00EF3EB8"/>
    <w:rsid w:val="00EF4ED9"/>
    <w:rsid w:val="00EF50A0"/>
    <w:rsid w:val="00EF55FC"/>
    <w:rsid w:val="00EF5AED"/>
    <w:rsid w:val="00EF5E19"/>
    <w:rsid w:val="00EF6638"/>
    <w:rsid w:val="00EF7193"/>
    <w:rsid w:val="00EF75AE"/>
    <w:rsid w:val="00F00E3C"/>
    <w:rsid w:val="00F018C0"/>
    <w:rsid w:val="00F0194C"/>
    <w:rsid w:val="00F01A39"/>
    <w:rsid w:val="00F01C01"/>
    <w:rsid w:val="00F02C00"/>
    <w:rsid w:val="00F03119"/>
    <w:rsid w:val="00F0358E"/>
    <w:rsid w:val="00F040BE"/>
    <w:rsid w:val="00F04166"/>
    <w:rsid w:val="00F05709"/>
    <w:rsid w:val="00F05713"/>
    <w:rsid w:val="00F06904"/>
    <w:rsid w:val="00F078F1"/>
    <w:rsid w:val="00F07945"/>
    <w:rsid w:val="00F108D5"/>
    <w:rsid w:val="00F112A1"/>
    <w:rsid w:val="00F115B1"/>
    <w:rsid w:val="00F11B58"/>
    <w:rsid w:val="00F12132"/>
    <w:rsid w:val="00F12142"/>
    <w:rsid w:val="00F12411"/>
    <w:rsid w:val="00F12CB8"/>
    <w:rsid w:val="00F1323B"/>
    <w:rsid w:val="00F13989"/>
    <w:rsid w:val="00F13DB3"/>
    <w:rsid w:val="00F141FE"/>
    <w:rsid w:val="00F14344"/>
    <w:rsid w:val="00F1463E"/>
    <w:rsid w:val="00F15334"/>
    <w:rsid w:val="00F15B9A"/>
    <w:rsid w:val="00F15BC4"/>
    <w:rsid w:val="00F15E51"/>
    <w:rsid w:val="00F16D42"/>
    <w:rsid w:val="00F17653"/>
    <w:rsid w:val="00F1776C"/>
    <w:rsid w:val="00F177BD"/>
    <w:rsid w:val="00F17D6B"/>
    <w:rsid w:val="00F17F1A"/>
    <w:rsid w:val="00F17FE8"/>
    <w:rsid w:val="00F20028"/>
    <w:rsid w:val="00F20A82"/>
    <w:rsid w:val="00F21FF2"/>
    <w:rsid w:val="00F22A49"/>
    <w:rsid w:val="00F22A95"/>
    <w:rsid w:val="00F22ABE"/>
    <w:rsid w:val="00F23A69"/>
    <w:rsid w:val="00F23B9F"/>
    <w:rsid w:val="00F23D3E"/>
    <w:rsid w:val="00F23EDD"/>
    <w:rsid w:val="00F23F2F"/>
    <w:rsid w:val="00F244D3"/>
    <w:rsid w:val="00F249DF"/>
    <w:rsid w:val="00F27301"/>
    <w:rsid w:val="00F27CE4"/>
    <w:rsid w:val="00F30534"/>
    <w:rsid w:val="00F3069A"/>
    <w:rsid w:val="00F30D5D"/>
    <w:rsid w:val="00F316E2"/>
    <w:rsid w:val="00F317F7"/>
    <w:rsid w:val="00F31EF5"/>
    <w:rsid w:val="00F32160"/>
    <w:rsid w:val="00F3219A"/>
    <w:rsid w:val="00F3234D"/>
    <w:rsid w:val="00F323F5"/>
    <w:rsid w:val="00F3378E"/>
    <w:rsid w:val="00F339F4"/>
    <w:rsid w:val="00F34226"/>
    <w:rsid w:val="00F3460F"/>
    <w:rsid w:val="00F349B8"/>
    <w:rsid w:val="00F35803"/>
    <w:rsid w:val="00F35D65"/>
    <w:rsid w:val="00F35FD6"/>
    <w:rsid w:val="00F36000"/>
    <w:rsid w:val="00F36389"/>
    <w:rsid w:val="00F36C06"/>
    <w:rsid w:val="00F36D6C"/>
    <w:rsid w:val="00F36E80"/>
    <w:rsid w:val="00F36F3F"/>
    <w:rsid w:val="00F36FFF"/>
    <w:rsid w:val="00F37274"/>
    <w:rsid w:val="00F402A7"/>
    <w:rsid w:val="00F40907"/>
    <w:rsid w:val="00F413A1"/>
    <w:rsid w:val="00F419E2"/>
    <w:rsid w:val="00F41D52"/>
    <w:rsid w:val="00F41E87"/>
    <w:rsid w:val="00F42979"/>
    <w:rsid w:val="00F42A25"/>
    <w:rsid w:val="00F42B13"/>
    <w:rsid w:val="00F43D17"/>
    <w:rsid w:val="00F43D3A"/>
    <w:rsid w:val="00F43EDD"/>
    <w:rsid w:val="00F44A7A"/>
    <w:rsid w:val="00F44F19"/>
    <w:rsid w:val="00F4519E"/>
    <w:rsid w:val="00F45264"/>
    <w:rsid w:val="00F45450"/>
    <w:rsid w:val="00F456AF"/>
    <w:rsid w:val="00F45D14"/>
    <w:rsid w:val="00F46531"/>
    <w:rsid w:val="00F46CD9"/>
    <w:rsid w:val="00F46FB2"/>
    <w:rsid w:val="00F47694"/>
    <w:rsid w:val="00F47787"/>
    <w:rsid w:val="00F4780A"/>
    <w:rsid w:val="00F47B6E"/>
    <w:rsid w:val="00F50095"/>
    <w:rsid w:val="00F50296"/>
    <w:rsid w:val="00F50353"/>
    <w:rsid w:val="00F505C8"/>
    <w:rsid w:val="00F509C6"/>
    <w:rsid w:val="00F50F6B"/>
    <w:rsid w:val="00F50F82"/>
    <w:rsid w:val="00F51191"/>
    <w:rsid w:val="00F51E03"/>
    <w:rsid w:val="00F53051"/>
    <w:rsid w:val="00F536FE"/>
    <w:rsid w:val="00F54273"/>
    <w:rsid w:val="00F54D9A"/>
    <w:rsid w:val="00F5501D"/>
    <w:rsid w:val="00F55389"/>
    <w:rsid w:val="00F55A63"/>
    <w:rsid w:val="00F55BE2"/>
    <w:rsid w:val="00F56F5D"/>
    <w:rsid w:val="00F573FF"/>
    <w:rsid w:val="00F60147"/>
    <w:rsid w:val="00F604ED"/>
    <w:rsid w:val="00F6085F"/>
    <w:rsid w:val="00F61C05"/>
    <w:rsid w:val="00F61D38"/>
    <w:rsid w:val="00F61DB2"/>
    <w:rsid w:val="00F6205A"/>
    <w:rsid w:val="00F620D8"/>
    <w:rsid w:val="00F62336"/>
    <w:rsid w:val="00F639C0"/>
    <w:rsid w:val="00F63BA8"/>
    <w:rsid w:val="00F64235"/>
    <w:rsid w:val="00F64608"/>
    <w:rsid w:val="00F648C6"/>
    <w:rsid w:val="00F652C7"/>
    <w:rsid w:val="00F659F2"/>
    <w:rsid w:val="00F65AB6"/>
    <w:rsid w:val="00F65E29"/>
    <w:rsid w:val="00F65F08"/>
    <w:rsid w:val="00F66D9D"/>
    <w:rsid w:val="00F6707B"/>
    <w:rsid w:val="00F6730E"/>
    <w:rsid w:val="00F67909"/>
    <w:rsid w:val="00F67B63"/>
    <w:rsid w:val="00F707EB"/>
    <w:rsid w:val="00F708C0"/>
    <w:rsid w:val="00F70FEC"/>
    <w:rsid w:val="00F71231"/>
    <w:rsid w:val="00F712E2"/>
    <w:rsid w:val="00F713F7"/>
    <w:rsid w:val="00F715CD"/>
    <w:rsid w:val="00F71C94"/>
    <w:rsid w:val="00F71DD8"/>
    <w:rsid w:val="00F71EC6"/>
    <w:rsid w:val="00F724FE"/>
    <w:rsid w:val="00F7304D"/>
    <w:rsid w:val="00F7314E"/>
    <w:rsid w:val="00F731AA"/>
    <w:rsid w:val="00F739C2"/>
    <w:rsid w:val="00F73B4E"/>
    <w:rsid w:val="00F73B90"/>
    <w:rsid w:val="00F73BEA"/>
    <w:rsid w:val="00F73CBB"/>
    <w:rsid w:val="00F74693"/>
    <w:rsid w:val="00F7520E"/>
    <w:rsid w:val="00F7580D"/>
    <w:rsid w:val="00F75B29"/>
    <w:rsid w:val="00F75B88"/>
    <w:rsid w:val="00F75C1D"/>
    <w:rsid w:val="00F76D70"/>
    <w:rsid w:val="00F772B9"/>
    <w:rsid w:val="00F77CE3"/>
    <w:rsid w:val="00F77F8A"/>
    <w:rsid w:val="00F802A0"/>
    <w:rsid w:val="00F80332"/>
    <w:rsid w:val="00F803A1"/>
    <w:rsid w:val="00F807F0"/>
    <w:rsid w:val="00F81185"/>
    <w:rsid w:val="00F8123F"/>
    <w:rsid w:val="00F8128D"/>
    <w:rsid w:val="00F814DD"/>
    <w:rsid w:val="00F81738"/>
    <w:rsid w:val="00F818EC"/>
    <w:rsid w:val="00F81B46"/>
    <w:rsid w:val="00F82704"/>
    <w:rsid w:val="00F83110"/>
    <w:rsid w:val="00F83246"/>
    <w:rsid w:val="00F83821"/>
    <w:rsid w:val="00F83DF1"/>
    <w:rsid w:val="00F8480A"/>
    <w:rsid w:val="00F84C23"/>
    <w:rsid w:val="00F8644D"/>
    <w:rsid w:val="00F868FB"/>
    <w:rsid w:val="00F872E5"/>
    <w:rsid w:val="00F87917"/>
    <w:rsid w:val="00F8799E"/>
    <w:rsid w:val="00F87AAC"/>
    <w:rsid w:val="00F9005D"/>
    <w:rsid w:val="00F90973"/>
    <w:rsid w:val="00F90DCC"/>
    <w:rsid w:val="00F91474"/>
    <w:rsid w:val="00F91510"/>
    <w:rsid w:val="00F91AED"/>
    <w:rsid w:val="00F92558"/>
    <w:rsid w:val="00F9399B"/>
    <w:rsid w:val="00F93E16"/>
    <w:rsid w:val="00F94453"/>
    <w:rsid w:val="00F94828"/>
    <w:rsid w:val="00F9507A"/>
    <w:rsid w:val="00F95BC1"/>
    <w:rsid w:val="00F9635C"/>
    <w:rsid w:val="00F96AAE"/>
    <w:rsid w:val="00F971CF"/>
    <w:rsid w:val="00F9796F"/>
    <w:rsid w:val="00F97F1F"/>
    <w:rsid w:val="00FA0C27"/>
    <w:rsid w:val="00FA0FA8"/>
    <w:rsid w:val="00FA0FCC"/>
    <w:rsid w:val="00FA30EE"/>
    <w:rsid w:val="00FA3234"/>
    <w:rsid w:val="00FA3E30"/>
    <w:rsid w:val="00FA484F"/>
    <w:rsid w:val="00FA4A99"/>
    <w:rsid w:val="00FA5C42"/>
    <w:rsid w:val="00FA6030"/>
    <w:rsid w:val="00FA62D0"/>
    <w:rsid w:val="00FA647E"/>
    <w:rsid w:val="00FA659C"/>
    <w:rsid w:val="00FA71E6"/>
    <w:rsid w:val="00FA72D2"/>
    <w:rsid w:val="00FA76A8"/>
    <w:rsid w:val="00FB0A29"/>
    <w:rsid w:val="00FB0EA2"/>
    <w:rsid w:val="00FB1E11"/>
    <w:rsid w:val="00FB23A2"/>
    <w:rsid w:val="00FB256D"/>
    <w:rsid w:val="00FB27E8"/>
    <w:rsid w:val="00FB2B52"/>
    <w:rsid w:val="00FB333A"/>
    <w:rsid w:val="00FB3BD9"/>
    <w:rsid w:val="00FB3F69"/>
    <w:rsid w:val="00FB4879"/>
    <w:rsid w:val="00FB55DB"/>
    <w:rsid w:val="00FB5889"/>
    <w:rsid w:val="00FB6325"/>
    <w:rsid w:val="00FB6519"/>
    <w:rsid w:val="00FB66C1"/>
    <w:rsid w:val="00FB6B87"/>
    <w:rsid w:val="00FB78F9"/>
    <w:rsid w:val="00FB7B3D"/>
    <w:rsid w:val="00FC0021"/>
    <w:rsid w:val="00FC00CC"/>
    <w:rsid w:val="00FC0172"/>
    <w:rsid w:val="00FC0B52"/>
    <w:rsid w:val="00FC0BE4"/>
    <w:rsid w:val="00FC0DFB"/>
    <w:rsid w:val="00FC14C7"/>
    <w:rsid w:val="00FC188D"/>
    <w:rsid w:val="00FC2192"/>
    <w:rsid w:val="00FC2CD9"/>
    <w:rsid w:val="00FC34DD"/>
    <w:rsid w:val="00FC3562"/>
    <w:rsid w:val="00FC36A0"/>
    <w:rsid w:val="00FC3915"/>
    <w:rsid w:val="00FC4029"/>
    <w:rsid w:val="00FC4165"/>
    <w:rsid w:val="00FC4F9B"/>
    <w:rsid w:val="00FC5C2B"/>
    <w:rsid w:val="00FC6538"/>
    <w:rsid w:val="00FC6B67"/>
    <w:rsid w:val="00FC7938"/>
    <w:rsid w:val="00FC7B1A"/>
    <w:rsid w:val="00FD0336"/>
    <w:rsid w:val="00FD0650"/>
    <w:rsid w:val="00FD0F64"/>
    <w:rsid w:val="00FD17C8"/>
    <w:rsid w:val="00FD1D26"/>
    <w:rsid w:val="00FD1E6B"/>
    <w:rsid w:val="00FD1F96"/>
    <w:rsid w:val="00FD2E64"/>
    <w:rsid w:val="00FD32C7"/>
    <w:rsid w:val="00FD3A5A"/>
    <w:rsid w:val="00FD3BEE"/>
    <w:rsid w:val="00FD53C5"/>
    <w:rsid w:val="00FD68A2"/>
    <w:rsid w:val="00FD6A59"/>
    <w:rsid w:val="00FD6B25"/>
    <w:rsid w:val="00FD6F25"/>
    <w:rsid w:val="00FD7BB1"/>
    <w:rsid w:val="00FD7F65"/>
    <w:rsid w:val="00FE1A77"/>
    <w:rsid w:val="00FE30C7"/>
    <w:rsid w:val="00FE3741"/>
    <w:rsid w:val="00FE455D"/>
    <w:rsid w:val="00FE4B3E"/>
    <w:rsid w:val="00FE5256"/>
    <w:rsid w:val="00FE56DE"/>
    <w:rsid w:val="00FE5C79"/>
    <w:rsid w:val="00FE5D1B"/>
    <w:rsid w:val="00FE7705"/>
    <w:rsid w:val="00FE7A7D"/>
    <w:rsid w:val="00FE7AA3"/>
    <w:rsid w:val="00FF07D4"/>
    <w:rsid w:val="00FF0F74"/>
    <w:rsid w:val="00FF1478"/>
    <w:rsid w:val="00FF1560"/>
    <w:rsid w:val="00FF178E"/>
    <w:rsid w:val="00FF2A10"/>
    <w:rsid w:val="00FF30C1"/>
    <w:rsid w:val="00FF32EF"/>
    <w:rsid w:val="00FF339D"/>
    <w:rsid w:val="00FF34A3"/>
    <w:rsid w:val="00FF34D8"/>
    <w:rsid w:val="00FF3E1E"/>
    <w:rsid w:val="00FF3FA6"/>
    <w:rsid w:val="00FF5311"/>
    <w:rsid w:val="00FF5757"/>
    <w:rsid w:val="00FF5C54"/>
    <w:rsid w:val="00FF62C8"/>
    <w:rsid w:val="00FF6A82"/>
    <w:rsid w:val="00FF6B63"/>
    <w:rsid w:val="00FF7A05"/>
    <w:rsid w:val="00FF7D30"/>
    <w:rsid w:val="0115E0BF"/>
    <w:rsid w:val="011CCE52"/>
    <w:rsid w:val="014357A7"/>
    <w:rsid w:val="01675203"/>
    <w:rsid w:val="018BF8A6"/>
    <w:rsid w:val="019A5F96"/>
    <w:rsid w:val="019B228E"/>
    <w:rsid w:val="01AB05C4"/>
    <w:rsid w:val="01F48A31"/>
    <w:rsid w:val="0214E6C3"/>
    <w:rsid w:val="02203A6E"/>
    <w:rsid w:val="0251DC61"/>
    <w:rsid w:val="02D4C300"/>
    <w:rsid w:val="0305B93B"/>
    <w:rsid w:val="032DD955"/>
    <w:rsid w:val="03832C63"/>
    <w:rsid w:val="03BAC030"/>
    <w:rsid w:val="041B4005"/>
    <w:rsid w:val="0432B8F4"/>
    <w:rsid w:val="04580B23"/>
    <w:rsid w:val="04BA0A14"/>
    <w:rsid w:val="04BCA34F"/>
    <w:rsid w:val="04FDE9EE"/>
    <w:rsid w:val="05149FB7"/>
    <w:rsid w:val="055AE396"/>
    <w:rsid w:val="057B684A"/>
    <w:rsid w:val="05AE7794"/>
    <w:rsid w:val="065BB5F8"/>
    <w:rsid w:val="0682C1FD"/>
    <w:rsid w:val="06A411E9"/>
    <w:rsid w:val="06AF45E7"/>
    <w:rsid w:val="06F8D0EE"/>
    <w:rsid w:val="0703FEBC"/>
    <w:rsid w:val="0782FFE9"/>
    <w:rsid w:val="07909998"/>
    <w:rsid w:val="07919A0E"/>
    <w:rsid w:val="07DCB2A1"/>
    <w:rsid w:val="07FACF2C"/>
    <w:rsid w:val="080CAD53"/>
    <w:rsid w:val="081F7EE9"/>
    <w:rsid w:val="082ABFCC"/>
    <w:rsid w:val="0844E223"/>
    <w:rsid w:val="08DF1796"/>
    <w:rsid w:val="0932BDBB"/>
    <w:rsid w:val="09AE3F17"/>
    <w:rsid w:val="09F5B79E"/>
    <w:rsid w:val="0A32F3A9"/>
    <w:rsid w:val="0AC15C4F"/>
    <w:rsid w:val="0AD56E8C"/>
    <w:rsid w:val="0AE8071D"/>
    <w:rsid w:val="0AFB09AE"/>
    <w:rsid w:val="0B98BD8C"/>
    <w:rsid w:val="0BAE8F11"/>
    <w:rsid w:val="0BC12957"/>
    <w:rsid w:val="0BC4D6E4"/>
    <w:rsid w:val="0C582461"/>
    <w:rsid w:val="0C7356F6"/>
    <w:rsid w:val="0C9033F0"/>
    <w:rsid w:val="0CAD2B43"/>
    <w:rsid w:val="0CDA76A2"/>
    <w:rsid w:val="0D066B41"/>
    <w:rsid w:val="0DD8AA6A"/>
    <w:rsid w:val="0DF5FFE1"/>
    <w:rsid w:val="0E789E4B"/>
    <w:rsid w:val="0EBA7CE6"/>
    <w:rsid w:val="0EE380D5"/>
    <w:rsid w:val="0F019387"/>
    <w:rsid w:val="0F0C1F8F"/>
    <w:rsid w:val="0F39C1FB"/>
    <w:rsid w:val="0F5CBA67"/>
    <w:rsid w:val="0F76CE3F"/>
    <w:rsid w:val="0F8BE32F"/>
    <w:rsid w:val="0FA43D54"/>
    <w:rsid w:val="0FB0F5A0"/>
    <w:rsid w:val="0FEAA008"/>
    <w:rsid w:val="0FED8231"/>
    <w:rsid w:val="102C9FBA"/>
    <w:rsid w:val="105AAD19"/>
    <w:rsid w:val="10E9265C"/>
    <w:rsid w:val="11022435"/>
    <w:rsid w:val="1147A647"/>
    <w:rsid w:val="118FA94A"/>
    <w:rsid w:val="118FB5BB"/>
    <w:rsid w:val="11CE7914"/>
    <w:rsid w:val="11CE83F1"/>
    <w:rsid w:val="11D156D5"/>
    <w:rsid w:val="11D7CA49"/>
    <w:rsid w:val="123C5E5C"/>
    <w:rsid w:val="127EBD40"/>
    <w:rsid w:val="1290D4DB"/>
    <w:rsid w:val="12D12BEE"/>
    <w:rsid w:val="12DC53B4"/>
    <w:rsid w:val="13024595"/>
    <w:rsid w:val="131FF151"/>
    <w:rsid w:val="13AB1DE2"/>
    <w:rsid w:val="13D72CC3"/>
    <w:rsid w:val="13E29A90"/>
    <w:rsid w:val="14440E38"/>
    <w:rsid w:val="14473178"/>
    <w:rsid w:val="14848681"/>
    <w:rsid w:val="1543DEC5"/>
    <w:rsid w:val="1583AC1C"/>
    <w:rsid w:val="158CFFE7"/>
    <w:rsid w:val="159C1BCA"/>
    <w:rsid w:val="159F1280"/>
    <w:rsid w:val="15A49066"/>
    <w:rsid w:val="1653EBBD"/>
    <w:rsid w:val="166454D4"/>
    <w:rsid w:val="16A38BC1"/>
    <w:rsid w:val="16B18E3D"/>
    <w:rsid w:val="16BCE99C"/>
    <w:rsid w:val="1713D0BE"/>
    <w:rsid w:val="176E8284"/>
    <w:rsid w:val="178B1851"/>
    <w:rsid w:val="178D8691"/>
    <w:rsid w:val="17C7A689"/>
    <w:rsid w:val="185A7549"/>
    <w:rsid w:val="18AE37B8"/>
    <w:rsid w:val="18C04A36"/>
    <w:rsid w:val="18D7D49A"/>
    <w:rsid w:val="18DC23CB"/>
    <w:rsid w:val="1915085A"/>
    <w:rsid w:val="19317A06"/>
    <w:rsid w:val="196D64B1"/>
    <w:rsid w:val="19D04813"/>
    <w:rsid w:val="1A5FA784"/>
    <w:rsid w:val="1AEDE7CF"/>
    <w:rsid w:val="1B6E8D63"/>
    <w:rsid w:val="1BCEF333"/>
    <w:rsid w:val="1C023DCD"/>
    <w:rsid w:val="1C0EED0F"/>
    <w:rsid w:val="1C204920"/>
    <w:rsid w:val="1C6AC9D5"/>
    <w:rsid w:val="1DB731DB"/>
    <w:rsid w:val="1DBB26E5"/>
    <w:rsid w:val="1DDB5CD3"/>
    <w:rsid w:val="1E39A8C7"/>
    <w:rsid w:val="1ECF6CA6"/>
    <w:rsid w:val="1ED0E17D"/>
    <w:rsid w:val="1ED7A37A"/>
    <w:rsid w:val="1F409367"/>
    <w:rsid w:val="1F4EFFE7"/>
    <w:rsid w:val="1F517296"/>
    <w:rsid w:val="1F893199"/>
    <w:rsid w:val="1FE4C456"/>
    <w:rsid w:val="200FB573"/>
    <w:rsid w:val="2012630E"/>
    <w:rsid w:val="201F2767"/>
    <w:rsid w:val="2038BB30"/>
    <w:rsid w:val="2057C2A7"/>
    <w:rsid w:val="207C305A"/>
    <w:rsid w:val="211B6989"/>
    <w:rsid w:val="212D4481"/>
    <w:rsid w:val="216D0BA8"/>
    <w:rsid w:val="21E4425B"/>
    <w:rsid w:val="222A4473"/>
    <w:rsid w:val="2312C407"/>
    <w:rsid w:val="23EF7F8A"/>
    <w:rsid w:val="2438C555"/>
    <w:rsid w:val="2461F439"/>
    <w:rsid w:val="2461F484"/>
    <w:rsid w:val="247FD4B9"/>
    <w:rsid w:val="2495F35A"/>
    <w:rsid w:val="249AE5BE"/>
    <w:rsid w:val="24ADF5F2"/>
    <w:rsid w:val="254157A8"/>
    <w:rsid w:val="257B5FE1"/>
    <w:rsid w:val="25B309F7"/>
    <w:rsid w:val="25D4B76F"/>
    <w:rsid w:val="25F7CD86"/>
    <w:rsid w:val="26156F16"/>
    <w:rsid w:val="26291644"/>
    <w:rsid w:val="266E9411"/>
    <w:rsid w:val="267E7D4D"/>
    <w:rsid w:val="26A026C8"/>
    <w:rsid w:val="2727AC67"/>
    <w:rsid w:val="2771DEE0"/>
    <w:rsid w:val="278A9171"/>
    <w:rsid w:val="27ACAD1A"/>
    <w:rsid w:val="27DDBCA4"/>
    <w:rsid w:val="27FFC46C"/>
    <w:rsid w:val="282EEFAE"/>
    <w:rsid w:val="289CCE6E"/>
    <w:rsid w:val="28AE4B20"/>
    <w:rsid w:val="290280C6"/>
    <w:rsid w:val="2929193E"/>
    <w:rsid w:val="29792E24"/>
    <w:rsid w:val="2A9554C3"/>
    <w:rsid w:val="2AB62F02"/>
    <w:rsid w:val="2AC17A5D"/>
    <w:rsid w:val="2AD362E4"/>
    <w:rsid w:val="2AD5EAC0"/>
    <w:rsid w:val="2B7101D0"/>
    <w:rsid w:val="2BB1EC8C"/>
    <w:rsid w:val="2BBC99DB"/>
    <w:rsid w:val="2BBF03A3"/>
    <w:rsid w:val="2C47F2A2"/>
    <w:rsid w:val="2C59DAE4"/>
    <w:rsid w:val="2C8543FB"/>
    <w:rsid w:val="2CF3A8F8"/>
    <w:rsid w:val="2D0AD91E"/>
    <w:rsid w:val="2D17CDB9"/>
    <w:rsid w:val="2D88FC08"/>
    <w:rsid w:val="2E44438B"/>
    <w:rsid w:val="2E5FB3DD"/>
    <w:rsid w:val="2E99BC8A"/>
    <w:rsid w:val="2EA03ECE"/>
    <w:rsid w:val="2EA46F34"/>
    <w:rsid w:val="2EB2477C"/>
    <w:rsid w:val="2EC0E339"/>
    <w:rsid w:val="2ED7CD53"/>
    <w:rsid w:val="2ED9B8BF"/>
    <w:rsid w:val="2F163258"/>
    <w:rsid w:val="2F44FE70"/>
    <w:rsid w:val="2FE45925"/>
    <w:rsid w:val="300449B2"/>
    <w:rsid w:val="3013E7F7"/>
    <w:rsid w:val="303AAA7F"/>
    <w:rsid w:val="30D5C333"/>
    <w:rsid w:val="30EF52F8"/>
    <w:rsid w:val="30F92816"/>
    <w:rsid w:val="312934C6"/>
    <w:rsid w:val="31C819D4"/>
    <w:rsid w:val="31F779AD"/>
    <w:rsid w:val="320700FB"/>
    <w:rsid w:val="322E870E"/>
    <w:rsid w:val="32E1D9EB"/>
    <w:rsid w:val="3321C3E7"/>
    <w:rsid w:val="33356FA4"/>
    <w:rsid w:val="33943E96"/>
    <w:rsid w:val="33F3C61F"/>
    <w:rsid w:val="33FF3821"/>
    <w:rsid w:val="34B28536"/>
    <w:rsid w:val="3573BD80"/>
    <w:rsid w:val="3584C681"/>
    <w:rsid w:val="35AD5C99"/>
    <w:rsid w:val="35FA2DD7"/>
    <w:rsid w:val="36667B32"/>
    <w:rsid w:val="36DFBE68"/>
    <w:rsid w:val="3701D6E0"/>
    <w:rsid w:val="370E55BA"/>
    <w:rsid w:val="3848365C"/>
    <w:rsid w:val="3883AAF2"/>
    <w:rsid w:val="388EAAA5"/>
    <w:rsid w:val="388FBD9E"/>
    <w:rsid w:val="38F36733"/>
    <w:rsid w:val="3918A73A"/>
    <w:rsid w:val="39788477"/>
    <w:rsid w:val="39FFB9DB"/>
    <w:rsid w:val="3A0A89BB"/>
    <w:rsid w:val="3A0F020B"/>
    <w:rsid w:val="3A49C337"/>
    <w:rsid w:val="3A732454"/>
    <w:rsid w:val="3A788D78"/>
    <w:rsid w:val="3A94A281"/>
    <w:rsid w:val="3A9B7272"/>
    <w:rsid w:val="3B11B4A0"/>
    <w:rsid w:val="3B4611F8"/>
    <w:rsid w:val="3B5C27FC"/>
    <w:rsid w:val="3B86A0FB"/>
    <w:rsid w:val="3B88F2DD"/>
    <w:rsid w:val="3BD52BF7"/>
    <w:rsid w:val="3BFFE7D0"/>
    <w:rsid w:val="3C011B73"/>
    <w:rsid w:val="3C37020E"/>
    <w:rsid w:val="3C4AF4E0"/>
    <w:rsid w:val="3C56B587"/>
    <w:rsid w:val="3C705C6C"/>
    <w:rsid w:val="3CF29C48"/>
    <w:rsid w:val="3D0BDCDD"/>
    <w:rsid w:val="3D88AE4E"/>
    <w:rsid w:val="3DABF488"/>
    <w:rsid w:val="3DD03380"/>
    <w:rsid w:val="3E4948D1"/>
    <w:rsid w:val="3E7AA752"/>
    <w:rsid w:val="3E8BD4CA"/>
    <w:rsid w:val="3EA17916"/>
    <w:rsid w:val="3EAE5A70"/>
    <w:rsid w:val="3EAEBA60"/>
    <w:rsid w:val="3EDE51EF"/>
    <w:rsid w:val="3EF69813"/>
    <w:rsid w:val="3F079D27"/>
    <w:rsid w:val="3F16B7C0"/>
    <w:rsid w:val="3F3505D5"/>
    <w:rsid w:val="3FB0DF4C"/>
    <w:rsid w:val="402166BA"/>
    <w:rsid w:val="402AEBBD"/>
    <w:rsid w:val="405007B0"/>
    <w:rsid w:val="408CC983"/>
    <w:rsid w:val="409214A9"/>
    <w:rsid w:val="40AE1863"/>
    <w:rsid w:val="4170C7FC"/>
    <w:rsid w:val="41A9613C"/>
    <w:rsid w:val="41DFAB66"/>
    <w:rsid w:val="4213EF7C"/>
    <w:rsid w:val="42235741"/>
    <w:rsid w:val="42694507"/>
    <w:rsid w:val="429E515A"/>
    <w:rsid w:val="42A7998B"/>
    <w:rsid w:val="42B2C822"/>
    <w:rsid w:val="42D2F57F"/>
    <w:rsid w:val="42D43006"/>
    <w:rsid w:val="42E14B66"/>
    <w:rsid w:val="43522282"/>
    <w:rsid w:val="435B89A0"/>
    <w:rsid w:val="43690CF5"/>
    <w:rsid w:val="43F0B7E1"/>
    <w:rsid w:val="441BBA47"/>
    <w:rsid w:val="442ED5F7"/>
    <w:rsid w:val="444AF04F"/>
    <w:rsid w:val="444F1EF4"/>
    <w:rsid w:val="44CAC8B1"/>
    <w:rsid w:val="44D14577"/>
    <w:rsid w:val="44D2B0D5"/>
    <w:rsid w:val="44D9ABAC"/>
    <w:rsid w:val="451FB2D6"/>
    <w:rsid w:val="45425E66"/>
    <w:rsid w:val="45611AF3"/>
    <w:rsid w:val="459D374D"/>
    <w:rsid w:val="46E09F1F"/>
    <w:rsid w:val="470096C8"/>
    <w:rsid w:val="4725DDA3"/>
    <w:rsid w:val="4728B15A"/>
    <w:rsid w:val="47B0E3A3"/>
    <w:rsid w:val="47EB77CC"/>
    <w:rsid w:val="4804834E"/>
    <w:rsid w:val="48548018"/>
    <w:rsid w:val="4899E884"/>
    <w:rsid w:val="48A665B2"/>
    <w:rsid w:val="48E5966A"/>
    <w:rsid w:val="48EB5C4F"/>
    <w:rsid w:val="4920BB8B"/>
    <w:rsid w:val="4973F30A"/>
    <w:rsid w:val="4A0907B3"/>
    <w:rsid w:val="4A150D1F"/>
    <w:rsid w:val="4A1C37DB"/>
    <w:rsid w:val="4A77FF6E"/>
    <w:rsid w:val="4A9D8C30"/>
    <w:rsid w:val="4AA5FA1A"/>
    <w:rsid w:val="4AC65DD1"/>
    <w:rsid w:val="4AE6CF46"/>
    <w:rsid w:val="4AEAF671"/>
    <w:rsid w:val="4B0908C8"/>
    <w:rsid w:val="4B77C7B8"/>
    <w:rsid w:val="4BF844C3"/>
    <w:rsid w:val="4C79F3DF"/>
    <w:rsid w:val="4CAC1689"/>
    <w:rsid w:val="4D0C01D2"/>
    <w:rsid w:val="4D51EDC3"/>
    <w:rsid w:val="4DB838F0"/>
    <w:rsid w:val="4DC1E874"/>
    <w:rsid w:val="4DED8C71"/>
    <w:rsid w:val="4E45B907"/>
    <w:rsid w:val="4E6645FD"/>
    <w:rsid w:val="4E9C7379"/>
    <w:rsid w:val="4EA5C789"/>
    <w:rsid w:val="4EFD1222"/>
    <w:rsid w:val="4F25B616"/>
    <w:rsid w:val="4F6B2FB0"/>
    <w:rsid w:val="4F7910F9"/>
    <w:rsid w:val="4F7B37DF"/>
    <w:rsid w:val="4F92720C"/>
    <w:rsid w:val="4FDA0C90"/>
    <w:rsid w:val="4FDF5C62"/>
    <w:rsid w:val="4FEED362"/>
    <w:rsid w:val="4FEFFD7F"/>
    <w:rsid w:val="5020F0CA"/>
    <w:rsid w:val="50307B67"/>
    <w:rsid w:val="50572819"/>
    <w:rsid w:val="5094105A"/>
    <w:rsid w:val="50EE1CA9"/>
    <w:rsid w:val="51447690"/>
    <w:rsid w:val="519A46DF"/>
    <w:rsid w:val="51AB09BE"/>
    <w:rsid w:val="51FD5CA0"/>
    <w:rsid w:val="524D980F"/>
    <w:rsid w:val="52869FDD"/>
    <w:rsid w:val="529DBF80"/>
    <w:rsid w:val="52C92383"/>
    <w:rsid w:val="52FD1018"/>
    <w:rsid w:val="53227F38"/>
    <w:rsid w:val="53617FBB"/>
    <w:rsid w:val="5362F144"/>
    <w:rsid w:val="53B6C3F9"/>
    <w:rsid w:val="53CC7537"/>
    <w:rsid w:val="543E1AE3"/>
    <w:rsid w:val="54543CAE"/>
    <w:rsid w:val="54598F4E"/>
    <w:rsid w:val="5465511E"/>
    <w:rsid w:val="54DFEA74"/>
    <w:rsid w:val="55022AF2"/>
    <w:rsid w:val="5535DB29"/>
    <w:rsid w:val="5598042C"/>
    <w:rsid w:val="55AD8372"/>
    <w:rsid w:val="56025F0D"/>
    <w:rsid w:val="561A5EEC"/>
    <w:rsid w:val="5772CE2B"/>
    <w:rsid w:val="577617AD"/>
    <w:rsid w:val="57A8CD47"/>
    <w:rsid w:val="57E01C8C"/>
    <w:rsid w:val="57E3CD70"/>
    <w:rsid w:val="5800D712"/>
    <w:rsid w:val="583A3A30"/>
    <w:rsid w:val="588F4C65"/>
    <w:rsid w:val="589932EC"/>
    <w:rsid w:val="59CE99A9"/>
    <w:rsid w:val="5A3F4945"/>
    <w:rsid w:val="5A6861A7"/>
    <w:rsid w:val="5A80D14B"/>
    <w:rsid w:val="5AE3D469"/>
    <w:rsid w:val="5B1E2481"/>
    <w:rsid w:val="5B9351C6"/>
    <w:rsid w:val="5B969797"/>
    <w:rsid w:val="5BDCB2D4"/>
    <w:rsid w:val="5BE77F7B"/>
    <w:rsid w:val="5C450D25"/>
    <w:rsid w:val="5C847EB0"/>
    <w:rsid w:val="5C848FC3"/>
    <w:rsid w:val="5C97E3AE"/>
    <w:rsid w:val="5CC9F0B5"/>
    <w:rsid w:val="5D1E3DD8"/>
    <w:rsid w:val="5D3B0D0C"/>
    <w:rsid w:val="5DD98BDB"/>
    <w:rsid w:val="5E298DB8"/>
    <w:rsid w:val="5E356B0F"/>
    <w:rsid w:val="5E516E51"/>
    <w:rsid w:val="5EBF051C"/>
    <w:rsid w:val="5EF2392B"/>
    <w:rsid w:val="5EF4C2B7"/>
    <w:rsid w:val="5EF96F59"/>
    <w:rsid w:val="5F172DFE"/>
    <w:rsid w:val="5F7ABFC4"/>
    <w:rsid w:val="5F954832"/>
    <w:rsid w:val="5FAD2999"/>
    <w:rsid w:val="5FECE53D"/>
    <w:rsid w:val="5FFDDB9A"/>
    <w:rsid w:val="6026CC2A"/>
    <w:rsid w:val="6052C003"/>
    <w:rsid w:val="60579F7C"/>
    <w:rsid w:val="60B5E103"/>
    <w:rsid w:val="613D9F4E"/>
    <w:rsid w:val="614823DE"/>
    <w:rsid w:val="616762EE"/>
    <w:rsid w:val="620C8EE9"/>
    <w:rsid w:val="6254BDB3"/>
    <w:rsid w:val="629FC1E1"/>
    <w:rsid w:val="62A59366"/>
    <w:rsid w:val="62E42F08"/>
    <w:rsid w:val="63CB5B7E"/>
    <w:rsid w:val="63E742C7"/>
    <w:rsid w:val="63FD2BBC"/>
    <w:rsid w:val="64102880"/>
    <w:rsid w:val="64208CDE"/>
    <w:rsid w:val="6424312A"/>
    <w:rsid w:val="6442A54F"/>
    <w:rsid w:val="648DC911"/>
    <w:rsid w:val="64EF8091"/>
    <w:rsid w:val="6590732D"/>
    <w:rsid w:val="65A0007A"/>
    <w:rsid w:val="65A3E07B"/>
    <w:rsid w:val="66070450"/>
    <w:rsid w:val="661DADC5"/>
    <w:rsid w:val="6633CDC5"/>
    <w:rsid w:val="667278B7"/>
    <w:rsid w:val="66A96C06"/>
    <w:rsid w:val="66B6CA46"/>
    <w:rsid w:val="66E3D1A8"/>
    <w:rsid w:val="66EC0288"/>
    <w:rsid w:val="66EFB7E4"/>
    <w:rsid w:val="673FD2C9"/>
    <w:rsid w:val="676032FD"/>
    <w:rsid w:val="6764E8DA"/>
    <w:rsid w:val="679CCDEE"/>
    <w:rsid w:val="68426DE8"/>
    <w:rsid w:val="6851FC3F"/>
    <w:rsid w:val="68760BFC"/>
    <w:rsid w:val="689BD797"/>
    <w:rsid w:val="68B5F048"/>
    <w:rsid w:val="69CFE422"/>
    <w:rsid w:val="69F50056"/>
    <w:rsid w:val="6A8ABC9D"/>
    <w:rsid w:val="6A8B26A4"/>
    <w:rsid w:val="6AA3E6EF"/>
    <w:rsid w:val="6AED71CF"/>
    <w:rsid w:val="6B288D32"/>
    <w:rsid w:val="6B37F963"/>
    <w:rsid w:val="6B51C35A"/>
    <w:rsid w:val="6B7A5E41"/>
    <w:rsid w:val="6BBC2EA6"/>
    <w:rsid w:val="6BCF0BE7"/>
    <w:rsid w:val="6BF928FE"/>
    <w:rsid w:val="6BFDC2A4"/>
    <w:rsid w:val="6C05C422"/>
    <w:rsid w:val="6C0D961C"/>
    <w:rsid w:val="6C2C3717"/>
    <w:rsid w:val="6C855736"/>
    <w:rsid w:val="6CDC0F27"/>
    <w:rsid w:val="6CF1F7AD"/>
    <w:rsid w:val="6CFA7903"/>
    <w:rsid w:val="6D1081F6"/>
    <w:rsid w:val="6D26D864"/>
    <w:rsid w:val="6D2E3E41"/>
    <w:rsid w:val="6D3E0F76"/>
    <w:rsid w:val="6DB46431"/>
    <w:rsid w:val="6E91048F"/>
    <w:rsid w:val="6EB30C19"/>
    <w:rsid w:val="6EB67B1D"/>
    <w:rsid w:val="6F0913C1"/>
    <w:rsid w:val="6F399C86"/>
    <w:rsid w:val="6FB79845"/>
    <w:rsid w:val="6FBCB7C2"/>
    <w:rsid w:val="6FF1D92D"/>
    <w:rsid w:val="70028784"/>
    <w:rsid w:val="702A2B36"/>
    <w:rsid w:val="70FD2B32"/>
    <w:rsid w:val="710CD968"/>
    <w:rsid w:val="712E3C5B"/>
    <w:rsid w:val="713C736A"/>
    <w:rsid w:val="713D74AF"/>
    <w:rsid w:val="7185101E"/>
    <w:rsid w:val="71D9E995"/>
    <w:rsid w:val="71E3B463"/>
    <w:rsid w:val="720183F9"/>
    <w:rsid w:val="7226C131"/>
    <w:rsid w:val="727C0748"/>
    <w:rsid w:val="72A4C3C6"/>
    <w:rsid w:val="72A73F7F"/>
    <w:rsid w:val="72C75D2C"/>
    <w:rsid w:val="73108E96"/>
    <w:rsid w:val="73139978"/>
    <w:rsid w:val="733C177B"/>
    <w:rsid w:val="73785F65"/>
    <w:rsid w:val="73CBBB26"/>
    <w:rsid w:val="7428D224"/>
    <w:rsid w:val="74A40577"/>
    <w:rsid w:val="74D68D7C"/>
    <w:rsid w:val="75461F7F"/>
    <w:rsid w:val="75992560"/>
    <w:rsid w:val="75FF105F"/>
    <w:rsid w:val="761CEBDC"/>
    <w:rsid w:val="76DCA90D"/>
    <w:rsid w:val="76F6446B"/>
    <w:rsid w:val="7707D68A"/>
    <w:rsid w:val="77366AC4"/>
    <w:rsid w:val="77986D1A"/>
    <w:rsid w:val="7799A6F2"/>
    <w:rsid w:val="779E5A43"/>
    <w:rsid w:val="77A1DAC9"/>
    <w:rsid w:val="77BD2743"/>
    <w:rsid w:val="77EEC9D2"/>
    <w:rsid w:val="782CEADD"/>
    <w:rsid w:val="78487BFB"/>
    <w:rsid w:val="78AD47C0"/>
    <w:rsid w:val="78ADCD82"/>
    <w:rsid w:val="78C6D094"/>
    <w:rsid w:val="79215A62"/>
    <w:rsid w:val="79D9C041"/>
    <w:rsid w:val="79DBE8CC"/>
    <w:rsid w:val="79FDC396"/>
    <w:rsid w:val="7A17444E"/>
    <w:rsid w:val="7A187263"/>
    <w:rsid w:val="7A5369E2"/>
    <w:rsid w:val="7B5BF554"/>
    <w:rsid w:val="7BC43076"/>
    <w:rsid w:val="7C16183B"/>
    <w:rsid w:val="7C1B1B43"/>
    <w:rsid w:val="7C35F195"/>
    <w:rsid w:val="7C431604"/>
    <w:rsid w:val="7C660897"/>
    <w:rsid w:val="7CC21F51"/>
    <w:rsid w:val="7D4BDDB6"/>
    <w:rsid w:val="7D56A96A"/>
    <w:rsid w:val="7D733D95"/>
    <w:rsid w:val="7E034ABF"/>
    <w:rsid w:val="7EA2E97B"/>
    <w:rsid w:val="7EC05DF0"/>
    <w:rsid w:val="7ECE4FA6"/>
    <w:rsid w:val="7EF6AB16"/>
    <w:rsid w:val="7EFA1D9C"/>
    <w:rsid w:val="7F059868"/>
    <w:rsid w:val="7F28A46C"/>
    <w:rsid w:val="7F291ABB"/>
    <w:rsid w:val="7FD2A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3A7241"/>
  <w15:chartTrackingRefBased/>
  <w15:docId w15:val="{5885876B-3139-44F8-A38B-C0B9C8C84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18E"/>
    <w:pPr>
      <w:autoSpaceDE w:val="0"/>
      <w:autoSpaceDN w:val="0"/>
      <w:adjustRightInd w:val="0"/>
      <w:spacing w:line="480" w:lineRule="auto"/>
      <w:ind w:firstLine="720"/>
      <w:jc w:val="both"/>
    </w:pPr>
    <w:rPr>
      <w:rFonts w:ascii="Times New Roman" w:hAnsi="Times New Roman" w:cs="Times New Roman"/>
    </w:rPr>
  </w:style>
  <w:style w:type="paragraph" w:styleId="Heading1">
    <w:name w:val="heading 1"/>
    <w:basedOn w:val="Normal"/>
    <w:next w:val="Normal"/>
    <w:link w:val="Heading1Char"/>
    <w:uiPriority w:val="9"/>
    <w:qFormat/>
    <w:rsid w:val="009A02A2"/>
    <w:pPr>
      <w:keepNext/>
      <w:keepLines/>
      <w:spacing w:before="360" w:after="80"/>
      <w:ind w:firstLine="0"/>
      <w:jc w:val="center"/>
      <w:outlineLvl w:val="0"/>
    </w:pPr>
    <w:rPr>
      <w:rFonts w:eastAsiaTheme="majorEastAsia"/>
      <w:b/>
      <w:bCs/>
      <w:color w:val="000000" w:themeColor="text1"/>
    </w:rPr>
  </w:style>
  <w:style w:type="paragraph" w:styleId="Heading2">
    <w:name w:val="heading 2"/>
    <w:basedOn w:val="Normal"/>
    <w:next w:val="ThesisParagraphText"/>
    <w:link w:val="Heading2Char"/>
    <w:uiPriority w:val="9"/>
    <w:unhideWhenUsed/>
    <w:qFormat/>
    <w:rsid w:val="00C365F5"/>
    <w:pPr>
      <w:keepNext/>
      <w:keepLines/>
      <w:spacing w:before="240" w:after="80"/>
      <w:ind w:firstLine="0"/>
      <w:outlineLvl w:val="1"/>
    </w:pPr>
    <w:rPr>
      <w:rFonts w:eastAsiaTheme="majorEastAsia"/>
      <w:b/>
      <w:bCs/>
      <w:color w:val="000000" w:themeColor="text1"/>
    </w:rPr>
  </w:style>
  <w:style w:type="paragraph" w:styleId="Heading3">
    <w:name w:val="heading 3"/>
    <w:basedOn w:val="ThesisParagraphText"/>
    <w:next w:val="Normal"/>
    <w:link w:val="Heading3Char"/>
    <w:uiPriority w:val="9"/>
    <w:unhideWhenUsed/>
    <w:qFormat/>
    <w:rsid w:val="007355F6"/>
    <w:pPr>
      <w:outlineLvl w:val="2"/>
    </w:pPr>
    <w:rPr>
      <w:b/>
      <w:bCs/>
    </w:rPr>
  </w:style>
  <w:style w:type="paragraph" w:styleId="Heading4">
    <w:name w:val="heading 4"/>
    <w:basedOn w:val="EndnoteText"/>
    <w:next w:val="Normal"/>
    <w:link w:val="Heading4Char"/>
    <w:uiPriority w:val="9"/>
    <w:unhideWhenUsed/>
    <w:qFormat/>
    <w:rsid w:val="0032352C"/>
    <w:pPr>
      <w:numPr>
        <w:numId w:val="3"/>
      </w:numPr>
      <w:ind w:left="720"/>
      <w:outlineLvl w:val="3"/>
    </w:pPr>
    <w:rPr>
      <w:b/>
      <w:bCs/>
    </w:rPr>
  </w:style>
  <w:style w:type="paragraph" w:styleId="Heading5">
    <w:name w:val="heading 5"/>
    <w:basedOn w:val="Normal"/>
    <w:next w:val="Normal"/>
    <w:link w:val="Heading5Char"/>
    <w:uiPriority w:val="9"/>
    <w:semiHidden/>
    <w:unhideWhenUsed/>
    <w:qFormat/>
    <w:rsid w:val="000A64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4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4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4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4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02A2"/>
    <w:rPr>
      <w:rFonts w:ascii="Times New Roman" w:eastAsiaTheme="majorEastAsia" w:hAnsi="Times New Roman" w:cs="Times New Roman"/>
      <w:b/>
      <w:bCs/>
      <w:color w:val="000000" w:themeColor="text1"/>
    </w:rPr>
  </w:style>
  <w:style w:type="character" w:customStyle="1" w:styleId="Heading2Char">
    <w:name w:val="Heading 2 Char"/>
    <w:basedOn w:val="DefaultParagraphFont"/>
    <w:link w:val="Heading2"/>
    <w:uiPriority w:val="9"/>
    <w:rsid w:val="00C365F5"/>
    <w:rPr>
      <w:rFonts w:ascii="Times New Roman" w:eastAsiaTheme="majorEastAsia" w:hAnsi="Times New Roman" w:cs="Times New Roman"/>
      <w:b/>
      <w:bCs/>
      <w:color w:val="000000" w:themeColor="text1"/>
    </w:rPr>
  </w:style>
  <w:style w:type="character" w:customStyle="1" w:styleId="Heading3Char">
    <w:name w:val="Heading 3 Char"/>
    <w:basedOn w:val="DefaultParagraphFont"/>
    <w:link w:val="Heading3"/>
    <w:uiPriority w:val="9"/>
    <w:rsid w:val="000A6492"/>
    <w:rPr>
      <w:rFonts w:ascii="Times New Roman" w:eastAsia="Calibri" w:hAnsi="Times New Roman" w:cs="Times New Roman"/>
      <w:b/>
      <w:bCs/>
      <w:kern w:val="0"/>
      <w14:ligatures w14:val="none"/>
    </w:rPr>
  </w:style>
  <w:style w:type="character" w:customStyle="1" w:styleId="Heading4Char">
    <w:name w:val="Heading 4 Char"/>
    <w:basedOn w:val="DefaultParagraphFont"/>
    <w:link w:val="Heading4"/>
    <w:uiPriority w:val="9"/>
    <w:rsid w:val="0032352C"/>
    <w:rPr>
      <w:rFonts w:ascii="Times New Roman" w:hAnsi="Times New Roman" w:cs="Times New Roman"/>
      <w:b/>
      <w:bCs/>
      <w:kern w:val="0"/>
      <w14:ligatures w14:val="none"/>
    </w:rPr>
  </w:style>
  <w:style w:type="character" w:customStyle="1" w:styleId="Heading5Char">
    <w:name w:val="Heading 5 Char"/>
    <w:basedOn w:val="DefaultParagraphFont"/>
    <w:link w:val="Heading5"/>
    <w:uiPriority w:val="9"/>
    <w:semiHidden/>
    <w:rsid w:val="000A64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4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4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4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492"/>
    <w:rPr>
      <w:rFonts w:eastAsiaTheme="majorEastAsia" w:cstheme="majorBidi"/>
      <w:color w:val="272727" w:themeColor="text1" w:themeTint="D8"/>
    </w:rPr>
  </w:style>
  <w:style w:type="paragraph" w:styleId="Title">
    <w:name w:val="Title"/>
    <w:basedOn w:val="Normal"/>
    <w:next w:val="Normal"/>
    <w:link w:val="TitleChar"/>
    <w:uiPriority w:val="10"/>
    <w:qFormat/>
    <w:rsid w:val="000A64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4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492"/>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4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492"/>
    <w:pPr>
      <w:spacing w:before="160"/>
      <w:jc w:val="center"/>
    </w:pPr>
    <w:rPr>
      <w:i/>
      <w:iCs/>
      <w:color w:val="404040" w:themeColor="text1" w:themeTint="BF"/>
    </w:rPr>
  </w:style>
  <w:style w:type="character" w:customStyle="1" w:styleId="QuoteChar">
    <w:name w:val="Quote Char"/>
    <w:basedOn w:val="DefaultParagraphFont"/>
    <w:link w:val="Quote"/>
    <w:uiPriority w:val="29"/>
    <w:rsid w:val="000A6492"/>
    <w:rPr>
      <w:i/>
      <w:iCs/>
      <w:color w:val="404040" w:themeColor="text1" w:themeTint="BF"/>
    </w:rPr>
  </w:style>
  <w:style w:type="paragraph" w:styleId="ListParagraph">
    <w:name w:val="List Paragraph"/>
    <w:basedOn w:val="Normal"/>
    <w:uiPriority w:val="34"/>
    <w:qFormat/>
    <w:rsid w:val="000A6492"/>
    <w:pPr>
      <w:ind w:left="720"/>
      <w:contextualSpacing/>
    </w:pPr>
  </w:style>
  <w:style w:type="character" w:styleId="IntenseEmphasis">
    <w:name w:val="Intense Emphasis"/>
    <w:basedOn w:val="DefaultParagraphFont"/>
    <w:uiPriority w:val="21"/>
    <w:qFormat/>
    <w:rsid w:val="000A6492"/>
    <w:rPr>
      <w:i/>
      <w:iCs/>
      <w:color w:val="0F4761" w:themeColor="accent1" w:themeShade="BF"/>
    </w:rPr>
  </w:style>
  <w:style w:type="paragraph" w:styleId="IntenseQuote">
    <w:name w:val="Intense Quote"/>
    <w:basedOn w:val="Normal"/>
    <w:next w:val="Normal"/>
    <w:link w:val="IntenseQuoteChar"/>
    <w:uiPriority w:val="30"/>
    <w:qFormat/>
    <w:rsid w:val="000A64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492"/>
    <w:rPr>
      <w:i/>
      <w:iCs/>
      <w:color w:val="0F4761" w:themeColor="accent1" w:themeShade="BF"/>
    </w:rPr>
  </w:style>
  <w:style w:type="character" w:styleId="IntenseReference">
    <w:name w:val="Intense Reference"/>
    <w:basedOn w:val="DefaultParagraphFont"/>
    <w:uiPriority w:val="32"/>
    <w:qFormat/>
    <w:rsid w:val="000A6492"/>
    <w:rPr>
      <w:b/>
      <w:bCs/>
      <w:smallCaps/>
      <w:color w:val="0F4761" w:themeColor="accent1" w:themeShade="BF"/>
      <w:spacing w:val="5"/>
    </w:rPr>
  </w:style>
  <w:style w:type="paragraph" w:styleId="Header">
    <w:name w:val="header"/>
    <w:basedOn w:val="Normal"/>
    <w:link w:val="HeaderChar"/>
    <w:uiPriority w:val="99"/>
    <w:unhideWhenUsed/>
    <w:rsid w:val="0083039C"/>
    <w:pPr>
      <w:tabs>
        <w:tab w:val="center" w:pos="4680"/>
        <w:tab w:val="right" w:pos="9360"/>
      </w:tabs>
      <w:spacing w:after="0" w:line="240" w:lineRule="auto"/>
    </w:pPr>
    <w:rPr>
      <w:kern w:val="0"/>
      <w:szCs w:val="22"/>
      <w14:ligatures w14:val="none"/>
    </w:rPr>
  </w:style>
  <w:style w:type="character" w:customStyle="1" w:styleId="HeaderChar">
    <w:name w:val="Header Char"/>
    <w:basedOn w:val="DefaultParagraphFont"/>
    <w:link w:val="Header"/>
    <w:uiPriority w:val="99"/>
    <w:rsid w:val="0083039C"/>
    <w:rPr>
      <w:rFonts w:ascii="Times New Roman" w:hAnsi="Times New Roman"/>
      <w:kern w:val="0"/>
      <w:szCs w:val="22"/>
      <w14:ligatures w14:val="none"/>
    </w:rPr>
  </w:style>
  <w:style w:type="paragraph" w:styleId="Footer">
    <w:name w:val="footer"/>
    <w:basedOn w:val="Normal"/>
    <w:link w:val="FooterChar"/>
    <w:uiPriority w:val="99"/>
    <w:unhideWhenUsed/>
    <w:rsid w:val="0083039C"/>
    <w:pPr>
      <w:tabs>
        <w:tab w:val="center" w:pos="4680"/>
        <w:tab w:val="right" w:pos="9360"/>
      </w:tabs>
      <w:spacing w:after="0" w:line="240" w:lineRule="auto"/>
    </w:pPr>
    <w:rPr>
      <w:kern w:val="0"/>
      <w:szCs w:val="22"/>
      <w14:ligatures w14:val="none"/>
    </w:rPr>
  </w:style>
  <w:style w:type="character" w:customStyle="1" w:styleId="FooterChar">
    <w:name w:val="Footer Char"/>
    <w:basedOn w:val="DefaultParagraphFont"/>
    <w:link w:val="Footer"/>
    <w:uiPriority w:val="99"/>
    <w:rsid w:val="0083039C"/>
    <w:rPr>
      <w:rFonts w:ascii="Times New Roman" w:hAnsi="Times New Roman"/>
      <w:kern w:val="0"/>
      <w:szCs w:val="22"/>
      <w14:ligatures w14:val="none"/>
    </w:rPr>
  </w:style>
  <w:style w:type="table" w:styleId="TableGrid">
    <w:name w:val="Table Grid"/>
    <w:basedOn w:val="TableNormal"/>
    <w:uiPriority w:val="59"/>
    <w:rsid w:val="0083039C"/>
    <w:pPr>
      <w:spacing w:after="0" w:line="240" w:lineRule="auto"/>
    </w:pPr>
    <w:rPr>
      <w:rFonts w:ascii="Times New Roman" w:eastAsia="Times New Roman" w:hAnsi="Times New Roman" w:cs="Times New Roman"/>
      <w:kern w:val="0"/>
      <w:sz w:val="20"/>
      <w:szCs w:val="20"/>
      <w14:ligatures w14:val="none"/>
    </w:rPr>
    <w:tblPr/>
  </w:style>
  <w:style w:type="paragraph" w:styleId="Caption">
    <w:name w:val="caption"/>
    <w:basedOn w:val="Normal"/>
    <w:next w:val="Normal"/>
    <w:uiPriority w:val="35"/>
    <w:unhideWhenUsed/>
    <w:qFormat/>
    <w:rsid w:val="00703D8E"/>
    <w:pPr>
      <w:keepNext/>
      <w:spacing w:before="120" w:after="120"/>
      <w:jc w:val="center"/>
    </w:pPr>
    <w:rPr>
      <w:b/>
      <w:bCs/>
      <w:kern w:val="0"/>
      <w:szCs w:val="18"/>
      <w14:ligatures w14:val="none"/>
    </w:rPr>
  </w:style>
  <w:style w:type="character" w:customStyle="1" w:styleId="apple-style-span">
    <w:name w:val="apple-style-span"/>
    <w:basedOn w:val="DefaultParagraphFont"/>
    <w:rsid w:val="0083039C"/>
  </w:style>
  <w:style w:type="paragraph" w:styleId="NoSpacing">
    <w:name w:val="No Spacing"/>
    <w:link w:val="NoSpacingChar"/>
    <w:uiPriority w:val="1"/>
    <w:qFormat/>
    <w:rsid w:val="0083039C"/>
    <w:pPr>
      <w:spacing w:after="0" w:line="240" w:lineRule="auto"/>
    </w:pPr>
    <w:rPr>
      <w:kern w:val="0"/>
      <w:sz w:val="22"/>
      <w:szCs w:val="22"/>
      <w14:ligatures w14:val="none"/>
    </w:rPr>
  </w:style>
  <w:style w:type="paragraph" w:styleId="EndnoteText">
    <w:name w:val="endnote text"/>
    <w:basedOn w:val="ListParagraph"/>
    <w:link w:val="EndnoteTextChar"/>
    <w:uiPriority w:val="99"/>
    <w:unhideWhenUsed/>
    <w:rsid w:val="0083039C"/>
    <w:pPr>
      <w:spacing w:after="0"/>
      <w:ind w:left="0"/>
    </w:pPr>
    <w:rPr>
      <w:kern w:val="0"/>
      <w14:ligatures w14:val="none"/>
    </w:rPr>
  </w:style>
  <w:style w:type="character" w:customStyle="1" w:styleId="EndnoteTextChar">
    <w:name w:val="Endnote Text Char"/>
    <w:basedOn w:val="DefaultParagraphFont"/>
    <w:link w:val="EndnoteText"/>
    <w:uiPriority w:val="99"/>
    <w:rsid w:val="0083039C"/>
    <w:rPr>
      <w:rFonts w:ascii="Times New Roman" w:hAnsi="Times New Roman" w:cs="Times New Roman"/>
      <w:kern w:val="0"/>
      <w14:ligatures w14:val="none"/>
    </w:rPr>
  </w:style>
  <w:style w:type="character" w:styleId="EndnoteReference">
    <w:name w:val="endnote reference"/>
    <w:basedOn w:val="FootnoteReference"/>
    <w:uiPriority w:val="99"/>
    <w:unhideWhenUsed/>
    <w:rsid w:val="0083039C"/>
    <w:rPr>
      <w:rFonts w:ascii="Times New Roman" w:hAnsi="Times New Roman"/>
      <w:sz w:val="24"/>
      <w:vertAlign w:val="baseline"/>
    </w:rPr>
  </w:style>
  <w:style w:type="character" w:customStyle="1" w:styleId="apple-converted-space">
    <w:name w:val="apple-converted-space"/>
    <w:basedOn w:val="DefaultParagraphFont"/>
    <w:rsid w:val="0083039C"/>
  </w:style>
  <w:style w:type="character" w:styleId="Emphasis">
    <w:name w:val="Emphasis"/>
    <w:basedOn w:val="DefaultParagraphFont"/>
    <w:uiPriority w:val="20"/>
    <w:qFormat/>
    <w:rsid w:val="0083039C"/>
    <w:rPr>
      <w:i/>
      <w:iCs/>
    </w:rPr>
  </w:style>
  <w:style w:type="table" w:styleId="LightShading">
    <w:name w:val="Light Shading"/>
    <w:basedOn w:val="TableNormal"/>
    <w:uiPriority w:val="60"/>
    <w:rsid w:val="0083039C"/>
    <w:pPr>
      <w:spacing w:after="0" w:line="240" w:lineRule="auto"/>
    </w:pPr>
    <w:rPr>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83039C"/>
    <w:pPr>
      <w:spacing w:after="0" w:line="240" w:lineRule="auto"/>
    </w:pPr>
    <w:rPr>
      <w:rFonts w:ascii="Tahoma"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83039C"/>
    <w:rPr>
      <w:rFonts w:ascii="Tahoma" w:hAnsi="Tahoma" w:cs="Tahoma"/>
      <w:kern w:val="0"/>
      <w:sz w:val="16"/>
      <w:szCs w:val="16"/>
      <w14:ligatures w14:val="none"/>
    </w:rPr>
  </w:style>
  <w:style w:type="character" w:styleId="Hyperlink">
    <w:name w:val="Hyperlink"/>
    <w:basedOn w:val="DefaultParagraphFont"/>
    <w:uiPriority w:val="99"/>
    <w:unhideWhenUsed/>
    <w:rsid w:val="0083039C"/>
    <w:rPr>
      <w:color w:val="0000FF"/>
      <w:u w:val="single"/>
    </w:rPr>
  </w:style>
  <w:style w:type="character" w:styleId="CommentReference">
    <w:name w:val="annotation reference"/>
    <w:basedOn w:val="DefaultParagraphFont"/>
    <w:uiPriority w:val="99"/>
    <w:semiHidden/>
    <w:unhideWhenUsed/>
    <w:rsid w:val="0083039C"/>
    <w:rPr>
      <w:sz w:val="16"/>
      <w:szCs w:val="16"/>
    </w:rPr>
  </w:style>
  <w:style w:type="paragraph" w:styleId="CommentText">
    <w:name w:val="annotation text"/>
    <w:basedOn w:val="Normal"/>
    <w:link w:val="CommentTextChar"/>
    <w:uiPriority w:val="99"/>
    <w:unhideWhenUsed/>
    <w:rsid w:val="0083039C"/>
    <w:pPr>
      <w:spacing w:after="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83039C"/>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83039C"/>
    <w:rPr>
      <w:b/>
      <w:bCs/>
    </w:rPr>
  </w:style>
  <w:style w:type="character" w:customStyle="1" w:styleId="CommentSubjectChar">
    <w:name w:val="Comment Subject Char"/>
    <w:basedOn w:val="CommentTextChar"/>
    <w:link w:val="CommentSubject"/>
    <w:uiPriority w:val="99"/>
    <w:semiHidden/>
    <w:rsid w:val="0083039C"/>
    <w:rPr>
      <w:rFonts w:ascii="Times New Roman" w:hAnsi="Times New Roman"/>
      <w:b/>
      <w:bCs/>
      <w:kern w:val="0"/>
      <w:sz w:val="20"/>
      <w:szCs w:val="20"/>
      <w14:ligatures w14:val="none"/>
    </w:rPr>
  </w:style>
  <w:style w:type="paragraph" w:styleId="NormalWeb">
    <w:name w:val="Normal (Web)"/>
    <w:basedOn w:val="Normal"/>
    <w:uiPriority w:val="99"/>
    <w:semiHidden/>
    <w:unhideWhenUsed/>
    <w:rsid w:val="0083039C"/>
    <w:pPr>
      <w:spacing w:before="100" w:beforeAutospacing="1" w:after="100" w:afterAutospacing="1" w:line="240" w:lineRule="auto"/>
    </w:pPr>
    <w:rPr>
      <w:rFonts w:eastAsia="Times New Roman"/>
      <w:kern w:val="0"/>
      <w14:ligatures w14:val="none"/>
    </w:rPr>
  </w:style>
  <w:style w:type="paragraph" w:customStyle="1" w:styleId="ThesisCoverTitle">
    <w:name w:val="Thesis: Cover Title"/>
    <w:basedOn w:val="NoSpacing"/>
    <w:qFormat/>
    <w:rsid w:val="0083039C"/>
    <w:pPr>
      <w:spacing w:line="480" w:lineRule="auto"/>
      <w:jc w:val="center"/>
      <w:outlineLvl w:val="0"/>
    </w:pPr>
    <w:rPr>
      <w:rFonts w:ascii="Times New Roman" w:eastAsia="Calibri" w:hAnsi="Times New Roman" w:cs="Times New Roman"/>
      <w:b/>
      <w:sz w:val="24"/>
      <w:szCs w:val="24"/>
    </w:rPr>
  </w:style>
  <w:style w:type="paragraph" w:customStyle="1" w:styleId="ThesisCoverText">
    <w:name w:val="Thesis: Cover Text"/>
    <w:basedOn w:val="NoSpacing"/>
    <w:link w:val="ThesisCoverTextChar"/>
    <w:qFormat/>
    <w:rsid w:val="0083039C"/>
    <w:pPr>
      <w:spacing w:line="480" w:lineRule="auto"/>
      <w:jc w:val="center"/>
      <w:outlineLvl w:val="0"/>
    </w:pPr>
    <w:rPr>
      <w:rFonts w:ascii="Times New Roman" w:eastAsia="Calibri" w:hAnsi="Times New Roman" w:cs="Times New Roman"/>
    </w:rPr>
  </w:style>
  <w:style w:type="paragraph" w:customStyle="1" w:styleId="ThesisCoverAuthor">
    <w:name w:val="Thesis: Cover Author"/>
    <w:basedOn w:val="ThesisCoverText"/>
    <w:link w:val="ThesisCoverAuthorChar"/>
    <w:qFormat/>
    <w:rsid w:val="0083039C"/>
    <w:pPr>
      <w:tabs>
        <w:tab w:val="right" w:pos="8856"/>
      </w:tabs>
    </w:pPr>
    <w:rPr>
      <w:b/>
    </w:rPr>
  </w:style>
  <w:style w:type="character" w:customStyle="1" w:styleId="NoSpacingChar">
    <w:name w:val="No Spacing Char"/>
    <w:basedOn w:val="DefaultParagraphFont"/>
    <w:link w:val="NoSpacing"/>
    <w:uiPriority w:val="1"/>
    <w:rsid w:val="0083039C"/>
    <w:rPr>
      <w:kern w:val="0"/>
      <w:sz w:val="22"/>
      <w:szCs w:val="22"/>
      <w14:ligatures w14:val="none"/>
    </w:rPr>
  </w:style>
  <w:style w:type="character" w:customStyle="1" w:styleId="ThesisCoverTextChar">
    <w:name w:val="Thesis: Cover Text Char"/>
    <w:basedOn w:val="NoSpacingChar"/>
    <w:link w:val="ThesisCoverText"/>
    <w:rsid w:val="0083039C"/>
    <w:rPr>
      <w:rFonts w:ascii="Times New Roman" w:eastAsia="Calibri" w:hAnsi="Times New Roman" w:cs="Times New Roman"/>
      <w:kern w:val="0"/>
      <w:sz w:val="22"/>
      <w:szCs w:val="22"/>
      <w14:ligatures w14:val="none"/>
    </w:rPr>
  </w:style>
  <w:style w:type="character" w:customStyle="1" w:styleId="ThesisCoverAuthorChar">
    <w:name w:val="Thesis: Cover Author Char"/>
    <w:basedOn w:val="ThesisCoverTextChar"/>
    <w:link w:val="ThesisCoverAuthor"/>
    <w:rsid w:val="0083039C"/>
    <w:rPr>
      <w:rFonts w:ascii="Times New Roman" w:eastAsia="Calibri" w:hAnsi="Times New Roman" w:cs="Times New Roman"/>
      <w:b/>
      <w:kern w:val="0"/>
      <w:sz w:val="22"/>
      <w:szCs w:val="22"/>
      <w14:ligatures w14:val="none"/>
    </w:rPr>
  </w:style>
  <w:style w:type="paragraph" w:customStyle="1" w:styleId="ThesisSectionTitle">
    <w:name w:val="Thesis: Section Title"/>
    <w:basedOn w:val="NoSpacing"/>
    <w:qFormat/>
    <w:rsid w:val="0083039C"/>
    <w:pPr>
      <w:spacing w:line="480" w:lineRule="auto"/>
      <w:jc w:val="center"/>
      <w:outlineLvl w:val="0"/>
    </w:pPr>
    <w:rPr>
      <w:rFonts w:ascii="Times New Roman" w:eastAsia="Calibri" w:hAnsi="Times New Roman" w:cs="Times New Roman"/>
      <w:b/>
      <w:sz w:val="24"/>
      <w:szCs w:val="24"/>
    </w:rPr>
  </w:style>
  <w:style w:type="paragraph" w:customStyle="1" w:styleId="ThesisParagraphText">
    <w:name w:val="Thesis: Paragraph Text"/>
    <w:basedOn w:val="NoSpacing"/>
    <w:qFormat/>
    <w:rsid w:val="00434CD5"/>
    <w:pPr>
      <w:spacing w:line="480" w:lineRule="auto"/>
      <w:ind w:firstLine="630"/>
      <w:jc w:val="both"/>
    </w:pPr>
    <w:rPr>
      <w:rFonts w:ascii="Times New Roman" w:eastAsia="Calibri" w:hAnsi="Times New Roman" w:cs="Times New Roman"/>
      <w:sz w:val="24"/>
      <w:szCs w:val="24"/>
    </w:rPr>
  </w:style>
  <w:style w:type="paragraph" w:customStyle="1" w:styleId="ThesisParagraphTextIndent">
    <w:name w:val="Thesis: Paragraph Text Indent"/>
    <w:basedOn w:val="NoSpacing"/>
    <w:qFormat/>
    <w:rsid w:val="0083039C"/>
    <w:pPr>
      <w:spacing w:line="480" w:lineRule="auto"/>
      <w:ind w:firstLine="720"/>
      <w:jc w:val="both"/>
    </w:pPr>
    <w:rPr>
      <w:rFonts w:ascii="Times New Roman" w:eastAsia="Calibri" w:hAnsi="Times New Roman" w:cs="Times New Roman"/>
      <w:sz w:val="24"/>
      <w:szCs w:val="24"/>
    </w:rPr>
  </w:style>
  <w:style w:type="paragraph" w:customStyle="1" w:styleId="Body">
    <w:name w:val="Body"/>
    <w:rsid w:val="0083039C"/>
    <w:pPr>
      <w:spacing w:after="0" w:line="240" w:lineRule="auto"/>
    </w:pPr>
    <w:rPr>
      <w:rFonts w:ascii="Helvetica" w:eastAsia="ヒラギノ角ゴ Pro W3" w:hAnsi="Helvetica" w:cs="Times New Roman"/>
      <w:color w:val="000000"/>
      <w:kern w:val="0"/>
      <w:szCs w:val="20"/>
      <w14:ligatures w14:val="none"/>
    </w:rPr>
  </w:style>
  <w:style w:type="paragraph" w:customStyle="1" w:styleId="ThesisNumberedList">
    <w:name w:val="Thesis: Numbered List"/>
    <w:basedOn w:val="NoSpacing"/>
    <w:qFormat/>
    <w:rsid w:val="0083039C"/>
    <w:pPr>
      <w:numPr>
        <w:numId w:val="11"/>
      </w:numPr>
      <w:spacing w:line="480" w:lineRule="auto"/>
      <w:jc w:val="both"/>
    </w:pPr>
    <w:rPr>
      <w:rFonts w:ascii="Times New Roman" w:eastAsia="Calibri" w:hAnsi="Times New Roman" w:cs="Times New Roman"/>
      <w:sz w:val="24"/>
      <w:szCs w:val="24"/>
    </w:rPr>
  </w:style>
  <w:style w:type="paragraph" w:customStyle="1" w:styleId="ThesisSubsectionTitle">
    <w:name w:val="Thesis: Subsection Title"/>
    <w:basedOn w:val="NoSpacing"/>
    <w:rsid w:val="0083039C"/>
    <w:pPr>
      <w:spacing w:line="480" w:lineRule="auto"/>
      <w:ind w:left="360" w:hanging="360"/>
      <w:jc w:val="both"/>
    </w:pPr>
    <w:rPr>
      <w:rFonts w:ascii="Times New Roman" w:eastAsia="Calibri" w:hAnsi="Times New Roman" w:cs="Times New Roman"/>
      <w:b/>
      <w:sz w:val="24"/>
      <w:szCs w:val="24"/>
    </w:rPr>
  </w:style>
  <w:style w:type="paragraph" w:styleId="BodyTextIndent">
    <w:name w:val="Body Text Indent"/>
    <w:basedOn w:val="Normal"/>
    <w:link w:val="BodyTextIndentChar"/>
    <w:rsid w:val="0083039C"/>
    <w:pPr>
      <w:spacing w:after="0" w:line="240" w:lineRule="auto"/>
      <w:ind w:firstLine="360"/>
    </w:pPr>
    <w:rPr>
      <w:rFonts w:eastAsia="Times New Roman"/>
      <w:kern w:val="0"/>
      <w:sz w:val="18"/>
      <w:szCs w:val="20"/>
      <w14:ligatures w14:val="none"/>
    </w:rPr>
  </w:style>
  <w:style w:type="character" w:customStyle="1" w:styleId="BodyTextIndentChar">
    <w:name w:val="Body Text Indent Char"/>
    <w:basedOn w:val="DefaultParagraphFont"/>
    <w:link w:val="BodyTextIndent"/>
    <w:rsid w:val="0083039C"/>
    <w:rPr>
      <w:rFonts w:ascii="Times New Roman" w:eastAsia="Times New Roman" w:hAnsi="Times New Roman" w:cs="Times New Roman"/>
      <w:kern w:val="0"/>
      <w:sz w:val="18"/>
      <w:szCs w:val="20"/>
      <w14:ligatures w14:val="none"/>
    </w:rPr>
  </w:style>
  <w:style w:type="paragraph" w:customStyle="1" w:styleId="ThesisTableCaption">
    <w:name w:val="Thesis: Table Caption"/>
    <w:basedOn w:val="Normal"/>
    <w:rsid w:val="0083039C"/>
    <w:pPr>
      <w:spacing w:after="0" w:line="240" w:lineRule="auto"/>
      <w:outlineLvl w:val="0"/>
    </w:pPr>
    <w:rPr>
      <w:rFonts w:eastAsia="Calibri"/>
      <w:b/>
      <w:kern w:val="0"/>
      <w:szCs w:val="22"/>
      <w14:ligatures w14:val="none"/>
    </w:rPr>
  </w:style>
  <w:style w:type="paragraph" w:customStyle="1" w:styleId="ThesisFigureCaption">
    <w:name w:val="Thesis: Figure Caption"/>
    <w:basedOn w:val="Normal"/>
    <w:qFormat/>
    <w:rsid w:val="0083039C"/>
    <w:pPr>
      <w:spacing w:after="0"/>
      <w:outlineLvl w:val="0"/>
    </w:pPr>
    <w:rPr>
      <w:rFonts w:eastAsia="Calibri"/>
      <w:b/>
      <w:kern w:val="0"/>
      <w14:ligatures w14:val="none"/>
    </w:rPr>
  </w:style>
  <w:style w:type="character" w:styleId="FootnoteReference">
    <w:name w:val="footnote reference"/>
    <w:basedOn w:val="DefaultParagraphFont"/>
    <w:uiPriority w:val="99"/>
    <w:semiHidden/>
    <w:unhideWhenUsed/>
    <w:rsid w:val="0083039C"/>
    <w:rPr>
      <w:vertAlign w:val="superscript"/>
    </w:rPr>
  </w:style>
  <w:style w:type="paragraph" w:styleId="TableofFigures">
    <w:name w:val="table of figures"/>
    <w:aliases w:val="List of Tables"/>
    <w:basedOn w:val="Normal"/>
    <w:next w:val="Normal"/>
    <w:uiPriority w:val="99"/>
    <w:unhideWhenUsed/>
    <w:qFormat/>
    <w:rsid w:val="0057019F"/>
    <w:pPr>
      <w:tabs>
        <w:tab w:val="right" w:leader="dot" w:pos="8630"/>
      </w:tabs>
      <w:spacing w:after="0"/>
      <w:ind w:firstLine="0"/>
    </w:pPr>
    <w:rPr>
      <w:noProof/>
      <w:kern w:val="0"/>
      <w:szCs w:val="22"/>
      <w14:ligatures w14:val="none"/>
    </w:rPr>
  </w:style>
  <w:style w:type="numbering" w:customStyle="1" w:styleId="Style1">
    <w:name w:val="Style1"/>
    <w:uiPriority w:val="99"/>
    <w:rsid w:val="0083039C"/>
    <w:pPr>
      <w:numPr>
        <w:numId w:val="13"/>
      </w:numPr>
    </w:pPr>
  </w:style>
  <w:style w:type="paragraph" w:styleId="TOCHeading">
    <w:name w:val="TOC Heading"/>
    <w:basedOn w:val="Heading1"/>
    <w:next w:val="Normal"/>
    <w:uiPriority w:val="39"/>
    <w:semiHidden/>
    <w:unhideWhenUsed/>
    <w:qFormat/>
    <w:rsid w:val="0083039C"/>
    <w:pPr>
      <w:spacing w:before="480" w:after="0" w:line="276" w:lineRule="auto"/>
      <w:outlineLvl w:val="9"/>
    </w:pPr>
    <w:rPr>
      <w:b w:val="0"/>
      <w:bCs w:val="0"/>
      <w:kern w:val="0"/>
      <w:sz w:val="28"/>
      <w:szCs w:val="28"/>
      <w:lang w:eastAsia="ja-JP"/>
      <w14:ligatures w14:val="none"/>
    </w:rPr>
  </w:style>
  <w:style w:type="paragraph" w:styleId="TOC1">
    <w:name w:val="toc 1"/>
    <w:basedOn w:val="Normal"/>
    <w:next w:val="Normal"/>
    <w:autoRedefine/>
    <w:uiPriority w:val="39"/>
    <w:unhideWhenUsed/>
    <w:rsid w:val="00395E0D"/>
    <w:pPr>
      <w:tabs>
        <w:tab w:val="right" w:leader="dot" w:pos="8630"/>
      </w:tabs>
      <w:spacing w:after="100"/>
      <w:ind w:firstLine="0"/>
    </w:pPr>
    <w:rPr>
      <w:b/>
      <w:bCs/>
      <w:noProof/>
      <w:kern w:val="0"/>
      <w:szCs w:val="22"/>
      <w14:ligatures w14:val="none"/>
    </w:rPr>
  </w:style>
  <w:style w:type="paragraph" w:styleId="TOC2">
    <w:name w:val="toc 2"/>
    <w:basedOn w:val="Normal"/>
    <w:next w:val="Normal"/>
    <w:autoRedefine/>
    <w:uiPriority w:val="39"/>
    <w:unhideWhenUsed/>
    <w:rsid w:val="009463F5"/>
    <w:pPr>
      <w:tabs>
        <w:tab w:val="left" w:pos="880"/>
        <w:tab w:val="right" w:leader="dot" w:pos="8630"/>
      </w:tabs>
      <w:spacing w:after="100"/>
      <w:ind w:firstLine="0"/>
    </w:pPr>
    <w:rPr>
      <w:kern w:val="0"/>
      <w:szCs w:val="22"/>
      <w14:ligatures w14:val="none"/>
    </w:rPr>
  </w:style>
  <w:style w:type="paragraph" w:styleId="TOC3">
    <w:name w:val="toc 3"/>
    <w:basedOn w:val="Normal"/>
    <w:next w:val="Normal"/>
    <w:autoRedefine/>
    <w:uiPriority w:val="39"/>
    <w:unhideWhenUsed/>
    <w:rsid w:val="009463F5"/>
    <w:pPr>
      <w:tabs>
        <w:tab w:val="right" w:leader="dot" w:pos="8630"/>
      </w:tabs>
      <w:spacing w:after="100"/>
      <w:ind w:firstLine="360"/>
    </w:pPr>
    <w:rPr>
      <w:kern w:val="0"/>
      <w:szCs w:val="22"/>
      <w14:ligatures w14:val="none"/>
    </w:rPr>
  </w:style>
  <w:style w:type="character" w:styleId="LineNumber">
    <w:name w:val="line number"/>
    <w:basedOn w:val="DefaultParagraphFont"/>
    <w:uiPriority w:val="99"/>
    <w:semiHidden/>
    <w:unhideWhenUsed/>
    <w:rsid w:val="0083039C"/>
  </w:style>
  <w:style w:type="paragraph" w:styleId="Revision">
    <w:name w:val="Revision"/>
    <w:hidden/>
    <w:uiPriority w:val="99"/>
    <w:semiHidden/>
    <w:rsid w:val="00D57E77"/>
    <w:pPr>
      <w:spacing w:after="0" w:line="240" w:lineRule="auto"/>
    </w:pPr>
  </w:style>
  <w:style w:type="character" w:styleId="UnresolvedMention">
    <w:name w:val="Unresolved Mention"/>
    <w:basedOn w:val="DefaultParagraphFont"/>
    <w:uiPriority w:val="99"/>
    <w:semiHidden/>
    <w:unhideWhenUsed/>
    <w:rsid w:val="00CA4294"/>
    <w:rPr>
      <w:color w:val="605E5C"/>
      <w:shd w:val="clear" w:color="auto" w:fill="E1DFDD"/>
    </w:rPr>
  </w:style>
  <w:style w:type="table" w:styleId="PlainTable5">
    <w:name w:val="Plain Table 5"/>
    <w:basedOn w:val="TableNormal"/>
    <w:uiPriority w:val="45"/>
    <w:pPr>
      <w:spacing w:after="0" w:line="240" w:lineRule="auto"/>
    </w:pPr>
    <w:tblPr>
      <w:tblStyleRowBandSize w:val="1"/>
      <w:tblStyleColBandSize w:val="1"/>
    </w:tblPr>
    <w:tcPr>
      <w:tcBorders>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FollowedHyperlink">
    <w:name w:val="FollowedHyperlink"/>
    <w:basedOn w:val="DefaultParagraphFont"/>
    <w:uiPriority w:val="99"/>
    <w:semiHidden/>
    <w:unhideWhenUsed/>
    <w:rsid w:val="005A1184"/>
    <w:rPr>
      <w:color w:val="96607D" w:themeColor="followedHyperlink"/>
      <w:u w:val="single"/>
    </w:rPr>
  </w:style>
  <w:style w:type="table" w:styleId="PlainTable1">
    <w:name w:val="Plain Table 1"/>
    <w:basedOn w:val="TableNormal"/>
    <w:uiPriority w:val="41"/>
    <w:rsid w:val="00F342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AD016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FB66C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4B3D0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
    <w:name w:val="Grid Table 3"/>
    <w:basedOn w:val="TableNormal"/>
    <w:uiPriority w:val="48"/>
    <w:rsid w:val="004B3D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Strong">
    <w:name w:val="Strong"/>
    <w:basedOn w:val="DefaultParagraphFont"/>
    <w:uiPriority w:val="22"/>
    <w:qFormat/>
    <w:rsid w:val="00477850"/>
    <w:rPr>
      <w:b/>
      <w:bCs/>
    </w:rPr>
  </w:style>
  <w:style w:type="paragraph" w:customStyle="1" w:styleId="font-claude-response-body">
    <w:name w:val="font-claude-response-body"/>
    <w:basedOn w:val="Normal"/>
    <w:rsid w:val="00097CE7"/>
    <w:pPr>
      <w:autoSpaceDE/>
      <w:autoSpaceDN/>
      <w:adjustRightInd/>
      <w:spacing w:before="100" w:beforeAutospacing="1" w:after="100" w:afterAutospacing="1" w:line="240" w:lineRule="auto"/>
      <w:ind w:firstLine="0"/>
      <w:jc w:val="left"/>
    </w:pPr>
    <w:rPr>
      <w:rFonts w:eastAsia="Times New Roman"/>
      <w:kern w:val="0"/>
      <w:lang w:val="en-PH" w:eastAsia="en-PH"/>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7709">
      <w:bodyDiv w:val="1"/>
      <w:marLeft w:val="0"/>
      <w:marRight w:val="0"/>
      <w:marTop w:val="0"/>
      <w:marBottom w:val="0"/>
      <w:divBdr>
        <w:top w:val="none" w:sz="0" w:space="0" w:color="auto"/>
        <w:left w:val="none" w:sz="0" w:space="0" w:color="auto"/>
        <w:bottom w:val="none" w:sz="0" w:space="0" w:color="auto"/>
        <w:right w:val="none" w:sz="0" w:space="0" w:color="auto"/>
      </w:divBdr>
      <w:divsChild>
        <w:div w:id="30738937">
          <w:marLeft w:val="0"/>
          <w:marRight w:val="0"/>
          <w:marTop w:val="0"/>
          <w:marBottom w:val="0"/>
          <w:divBdr>
            <w:top w:val="none" w:sz="0" w:space="0" w:color="auto"/>
            <w:left w:val="none" w:sz="0" w:space="0" w:color="auto"/>
            <w:bottom w:val="none" w:sz="0" w:space="0" w:color="auto"/>
            <w:right w:val="none" w:sz="0" w:space="0" w:color="auto"/>
          </w:divBdr>
        </w:div>
        <w:div w:id="42486929">
          <w:marLeft w:val="0"/>
          <w:marRight w:val="0"/>
          <w:marTop w:val="0"/>
          <w:marBottom w:val="0"/>
          <w:divBdr>
            <w:top w:val="none" w:sz="0" w:space="0" w:color="auto"/>
            <w:left w:val="none" w:sz="0" w:space="0" w:color="auto"/>
            <w:bottom w:val="none" w:sz="0" w:space="0" w:color="auto"/>
            <w:right w:val="none" w:sz="0" w:space="0" w:color="auto"/>
          </w:divBdr>
        </w:div>
        <w:div w:id="72902065">
          <w:marLeft w:val="0"/>
          <w:marRight w:val="0"/>
          <w:marTop w:val="0"/>
          <w:marBottom w:val="0"/>
          <w:divBdr>
            <w:top w:val="none" w:sz="0" w:space="0" w:color="auto"/>
            <w:left w:val="none" w:sz="0" w:space="0" w:color="auto"/>
            <w:bottom w:val="none" w:sz="0" w:space="0" w:color="auto"/>
            <w:right w:val="none" w:sz="0" w:space="0" w:color="auto"/>
          </w:divBdr>
        </w:div>
        <w:div w:id="85351217">
          <w:marLeft w:val="0"/>
          <w:marRight w:val="0"/>
          <w:marTop w:val="0"/>
          <w:marBottom w:val="0"/>
          <w:divBdr>
            <w:top w:val="none" w:sz="0" w:space="0" w:color="auto"/>
            <w:left w:val="none" w:sz="0" w:space="0" w:color="auto"/>
            <w:bottom w:val="none" w:sz="0" w:space="0" w:color="auto"/>
            <w:right w:val="none" w:sz="0" w:space="0" w:color="auto"/>
          </w:divBdr>
        </w:div>
        <w:div w:id="188181805">
          <w:marLeft w:val="0"/>
          <w:marRight w:val="0"/>
          <w:marTop w:val="0"/>
          <w:marBottom w:val="0"/>
          <w:divBdr>
            <w:top w:val="none" w:sz="0" w:space="0" w:color="auto"/>
            <w:left w:val="none" w:sz="0" w:space="0" w:color="auto"/>
            <w:bottom w:val="none" w:sz="0" w:space="0" w:color="auto"/>
            <w:right w:val="none" w:sz="0" w:space="0" w:color="auto"/>
          </w:divBdr>
        </w:div>
        <w:div w:id="224487236">
          <w:marLeft w:val="0"/>
          <w:marRight w:val="0"/>
          <w:marTop w:val="0"/>
          <w:marBottom w:val="0"/>
          <w:divBdr>
            <w:top w:val="none" w:sz="0" w:space="0" w:color="auto"/>
            <w:left w:val="none" w:sz="0" w:space="0" w:color="auto"/>
            <w:bottom w:val="none" w:sz="0" w:space="0" w:color="auto"/>
            <w:right w:val="none" w:sz="0" w:space="0" w:color="auto"/>
          </w:divBdr>
        </w:div>
        <w:div w:id="232742475">
          <w:marLeft w:val="0"/>
          <w:marRight w:val="0"/>
          <w:marTop w:val="0"/>
          <w:marBottom w:val="0"/>
          <w:divBdr>
            <w:top w:val="none" w:sz="0" w:space="0" w:color="auto"/>
            <w:left w:val="none" w:sz="0" w:space="0" w:color="auto"/>
            <w:bottom w:val="none" w:sz="0" w:space="0" w:color="auto"/>
            <w:right w:val="none" w:sz="0" w:space="0" w:color="auto"/>
          </w:divBdr>
        </w:div>
        <w:div w:id="340475637">
          <w:marLeft w:val="0"/>
          <w:marRight w:val="0"/>
          <w:marTop w:val="0"/>
          <w:marBottom w:val="0"/>
          <w:divBdr>
            <w:top w:val="none" w:sz="0" w:space="0" w:color="auto"/>
            <w:left w:val="none" w:sz="0" w:space="0" w:color="auto"/>
            <w:bottom w:val="none" w:sz="0" w:space="0" w:color="auto"/>
            <w:right w:val="none" w:sz="0" w:space="0" w:color="auto"/>
          </w:divBdr>
        </w:div>
        <w:div w:id="533884181">
          <w:marLeft w:val="0"/>
          <w:marRight w:val="0"/>
          <w:marTop w:val="0"/>
          <w:marBottom w:val="0"/>
          <w:divBdr>
            <w:top w:val="none" w:sz="0" w:space="0" w:color="auto"/>
            <w:left w:val="none" w:sz="0" w:space="0" w:color="auto"/>
            <w:bottom w:val="none" w:sz="0" w:space="0" w:color="auto"/>
            <w:right w:val="none" w:sz="0" w:space="0" w:color="auto"/>
          </w:divBdr>
        </w:div>
        <w:div w:id="794521093">
          <w:marLeft w:val="0"/>
          <w:marRight w:val="0"/>
          <w:marTop w:val="0"/>
          <w:marBottom w:val="0"/>
          <w:divBdr>
            <w:top w:val="none" w:sz="0" w:space="0" w:color="auto"/>
            <w:left w:val="none" w:sz="0" w:space="0" w:color="auto"/>
            <w:bottom w:val="none" w:sz="0" w:space="0" w:color="auto"/>
            <w:right w:val="none" w:sz="0" w:space="0" w:color="auto"/>
          </w:divBdr>
        </w:div>
        <w:div w:id="853761677">
          <w:marLeft w:val="0"/>
          <w:marRight w:val="0"/>
          <w:marTop w:val="0"/>
          <w:marBottom w:val="0"/>
          <w:divBdr>
            <w:top w:val="none" w:sz="0" w:space="0" w:color="auto"/>
            <w:left w:val="none" w:sz="0" w:space="0" w:color="auto"/>
            <w:bottom w:val="none" w:sz="0" w:space="0" w:color="auto"/>
            <w:right w:val="none" w:sz="0" w:space="0" w:color="auto"/>
          </w:divBdr>
        </w:div>
        <w:div w:id="962537228">
          <w:marLeft w:val="0"/>
          <w:marRight w:val="0"/>
          <w:marTop w:val="0"/>
          <w:marBottom w:val="0"/>
          <w:divBdr>
            <w:top w:val="none" w:sz="0" w:space="0" w:color="auto"/>
            <w:left w:val="none" w:sz="0" w:space="0" w:color="auto"/>
            <w:bottom w:val="none" w:sz="0" w:space="0" w:color="auto"/>
            <w:right w:val="none" w:sz="0" w:space="0" w:color="auto"/>
          </w:divBdr>
        </w:div>
        <w:div w:id="1338849571">
          <w:marLeft w:val="0"/>
          <w:marRight w:val="0"/>
          <w:marTop w:val="0"/>
          <w:marBottom w:val="0"/>
          <w:divBdr>
            <w:top w:val="none" w:sz="0" w:space="0" w:color="auto"/>
            <w:left w:val="none" w:sz="0" w:space="0" w:color="auto"/>
            <w:bottom w:val="none" w:sz="0" w:space="0" w:color="auto"/>
            <w:right w:val="none" w:sz="0" w:space="0" w:color="auto"/>
          </w:divBdr>
        </w:div>
        <w:div w:id="1428303812">
          <w:marLeft w:val="0"/>
          <w:marRight w:val="0"/>
          <w:marTop w:val="0"/>
          <w:marBottom w:val="0"/>
          <w:divBdr>
            <w:top w:val="none" w:sz="0" w:space="0" w:color="auto"/>
            <w:left w:val="none" w:sz="0" w:space="0" w:color="auto"/>
            <w:bottom w:val="none" w:sz="0" w:space="0" w:color="auto"/>
            <w:right w:val="none" w:sz="0" w:space="0" w:color="auto"/>
          </w:divBdr>
        </w:div>
        <w:div w:id="1774857738">
          <w:marLeft w:val="0"/>
          <w:marRight w:val="0"/>
          <w:marTop w:val="0"/>
          <w:marBottom w:val="0"/>
          <w:divBdr>
            <w:top w:val="none" w:sz="0" w:space="0" w:color="auto"/>
            <w:left w:val="none" w:sz="0" w:space="0" w:color="auto"/>
            <w:bottom w:val="none" w:sz="0" w:space="0" w:color="auto"/>
            <w:right w:val="none" w:sz="0" w:space="0" w:color="auto"/>
          </w:divBdr>
        </w:div>
        <w:div w:id="1804536210">
          <w:marLeft w:val="0"/>
          <w:marRight w:val="0"/>
          <w:marTop w:val="0"/>
          <w:marBottom w:val="0"/>
          <w:divBdr>
            <w:top w:val="none" w:sz="0" w:space="0" w:color="auto"/>
            <w:left w:val="none" w:sz="0" w:space="0" w:color="auto"/>
            <w:bottom w:val="none" w:sz="0" w:space="0" w:color="auto"/>
            <w:right w:val="none" w:sz="0" w:space="0" w:color="auto"/>
          </w:divBdr>
        </w:div>
        <w:div w:id="1896770271">
          <w:marLeft w:val="0"/>
          <w:marRight w:val="0"/>
          <w:marTop w:val="0"/>
          <w:marBottom w:val="0"/>
          <w:divBdr>
            <w:top w:val="none" w:sz="0" w:space="0" w:color="auto"/>
            <w:left w:val="none" w:sz="0" w:space="0" w:color="auto"/>
            <w:bottom w:val="none" w:sz="0" w:space="0" w:color="auto"/>
            <w:right w:val="none" w:sz="0" w:space="0" w:color="auto"/>
          </w:divBdr>
        </w:div>
      </w:divsChild>
    </w:div>
    <w:div w:id="91122177">
      <w:bodyDiv w:val="1"/>
      <w:marLeft w:val="0"/>
      <w:marRight w:val="0"/>
      <w:marTop w:val="0"/>
      <w:marBottom w:val="0"/>
      <w:divBdr>
        <w:top w:val="none" w:sz="0" w:space="0" w:color="auto"/>
        <w:left w:val="none" w:sz="0" w:space="0" w:color="auto"/>
        <w:bottom w:val="none" w:sz="0" w:space="0" w:color="auto"/>
        <w:right w:val="none" w:sz="0" w:space="0" w:color="auto"/>
      </w:divBdr>
    </w:div>
    <w:div w:id="634528555">
      <w:bodyDiv w:val="1"/>
      <w:marLeft w:val="0"/>
      <w:marRight w:val="0"/>
      <w:marTop w:val="0"/>
      <w:marBottom w:val="0"/>
      <w:divBdr>
        <w:top w:val="none" w:sz="0" w:space="0" w:color="auto"/>
        <w:left w:val="none" w:sz="0" w:space="0" w:color="auto"/>
        <w:bottom w:val="none" w:sz="0" w:space="0" w:color="auto"/>
        <w:right w:val="none" w:sz="0" w:space="0" w:color="auto"/>
      </w:divBdr>
    </w:div>
    <w:div w:id="641664679">
      <w:bodyDiv w:val="1"/>
      <w:marLeft w:val="0"/>
      <w:marRight w:val="0"/>
      <w:marTop w:val="0"/>
      <w:marBottom w:val="0"/>
      <w:divBdr>
        <w:top w:val="none" w:sz="0" w:space="0" w:color="auto"/>
        <w:left w:val="none" w:sz="0" w:space="0" w:color="auto"/>
        <w:bottom w:val="none" w:sz="0" w:space="0" w:color="auto"/>
        <w:right w:val="none" w:sz="0" w:space="0" w:color="auto"/>
      </w:divBdr>
    </w:div>
    <w:div w:id="798307395">
      <w:bodyDiv w:val="1"/>
      <w:marLeft w:val="0"/>
      <w:marRight w:val="0"/>
      <w:marTop w:val="0"/>
      <w:marBottom w:val="0"/>
      <w:divBdr>
        <w:top w:val="none" w:sz="0" w:space="0" w:color="auto"/>
        <w:left w:val="none" w:sz="0" w:space="0" w:color="auto"/>
        <w:bottom w:val="none" w:sz="0" w:space="0" w:color="auto"/>
        <w:right w:val="none" w:sz="0" w:space="0" w:color="auto"/>
      </w:divBdr>
    </w:div>
    <w:div w:id="815728085">
      <w:bodyDiv w:val="1"/>
      <w:marLeft w:val="0"/>
      <w:marRight w:val="0"/>
      <w:marTop w:val="0"/>
      <w:marBottom w:val="0"/>
      <w:divBdr>
        <w:top w:val="none" w:sz="0" w:space="0" w:color="auto"/>
        <w:left w:val="none" w:sz="0" w:space="0" w:color="auto"/>
        <w:bottom w:val="none" w:sz="0" w:space="0" w:color="auto"/>
        <w:right w:val="none" w:sz="0" w:space="0" w:color="auto"/>
      </w:divBdr>
    </w:div>
    <w:div w:id="864054912">
      <w:bodyDiv w:val="1"/>
      <w:marLeft w:val="0"/>
      <w:marRight w:val="0"/>
      <w:marTop w:val="0"/>
      <w:marBottom w:val="0"/>
      <w:divBdr>
        <w:top w:val="none" w:sz="0" w:space="0" w:color="auto"/>
        <w:left w:val="none" w:sz="0" w:space="0" w:color="auto"/>
        <w:bottom w:val="none" w:sz="0" w:space="0" w:color="auto"/>
        <w:right w:val="none" w:sz="0" w:space="0" w:color="auto"/>
      </w:divBdr>
      <w:divsChild>
        <w:div w:id="153687561">
          <w:marLeft w:val="0"/>
          <w:marRight w:val="0"/>
          <w:marTop w:val="0"/>
          <w:marBottom w:val="0"/>
          <w:divBdr>
            <w:top w:val="none" w:sz="0" w:space="0" w:color="auto"/>
            <w:left w:val="none" w:sz="0" w:space="0" w:color="auto"/>
            <w:bottom w:val="none" w:sz="0" w:space="0" w:color="auto"/>
            <w:right w:val="none" w:sz="0" w:space="0" w:color="auto"/>
          </w:divBdr>
        </w:div>
        <w:div w:id="224075780">
          <w:marLeft w:val="0"/>
          <w:marRight w:val="0"/>
          <w:marTop w:val="0"/>
          <w:marBottom w:val="0"/>
          <w:divBdr>
            <w:top w:val="none" w:sz="0" w:space="0" w:color="auto"/>
            <w:left w:val="none" w:sz="0" w:space="0" w:color="auto"/>
            <w:bottom w:val="none" w:sz="0" w:space="0" w:color="auto"/>
            <w:right w:val="none" w:sz="0" w:space="0" w:color="auto"/>
          </w:divBdr>
        </w:div>
        <w:div w:id="361903280">
          <w:marLeft w:val="0"/>
          <w:marRight w:val="0"/>
          <w:marTop w:val="0"/>
          <w:marBottom w:val="0"/>
          <w:divBdr>
            <w:top w:val="none" w:sz="0" w:space="0" w:color="auto"/>
            <w:left w:val="none" w:sz="0" w:space="0" w:color="auto"/>
            <w:bottom w:val="none" w:sz="0" w:space="0" w:color="auto"/>
            <w:right w:val="none" w:sz="0" w:space="0" w:color="auto"/>
          </w:divBdr>
        </w:div>
        <w:div w:id="383650276">
          <w:marLeft w:val="0"/>
          <w:marRight w:val="0"/>
          <w:marTop w:val="0"/>
          <w:marBottom w:val="0"/>
          <w:divBdr>
            <w:top w:val="none" w:sz="0" w:space="0" w:color="auto"/>
            <w:left w:val="none" w:sz="0" w:space="0" w:color="auto"/>
            <w:bottom w:val="none" w:sz="0" w:space="0" w:color="auto"/>
            <w:right w:val="none" w:sz="0" w:space="0" w:color="auto"/>
          </w:divBdr>
        </w:div>
        <w:div w:id="456948290">
          <w:marLeft w:val="0"/>
          <w:marRight w:val="0"/>
          <w:marTop w:val="0"/>
          <w:marBottom w:val="0"/>
          <w:divBdr>
            <w:top w:val="none" w:sz="0" w:space="0" w:color="auto"/>
            <w:left w:val="none" w:sz="0" w:space="0" w:color="auto"/>
            <w:bottom w:val="none" w:sz="0" w:space="0" w:color="auto"/>
            <w:right w:val="none" w:sz="0" w:space="0" w:color="auto"/>
          </w:divBdr>
        </w:div>
        <w:div w:id="603345743">
          <w:marLeft w:val="0"/>
          <w:marRight w:val="0"/>
          <w:marTop w:val="0"/>
          <w:marBottom w:val="0"/>
          <w:divBdr>
            <w:top w:val="none" w:sz="0" w:space="0" w:color="auto"/>
            <w:left w:val="none" w:sz="0" w:space="0" w:color="auto"/>
            <w:bottom w:val="none" w:sz="0" w:space="0" w:color="auto"/>
            <w:right w:val="none" w:sz="0" w:space="0" w:color="auto"/>
          </w:divBdr>
        </w:div>
        <w:div w:id="679048048">
          <w:marLeft w:val="0"/>
          <w:marRight w:val="0"/>
          <w:marTop w:val="0"/>
          <w:marBottom w:val="0"/>
          <w:divBdr>
            <w:top w:val="none" w:sz="0" w:space="0" w:color="auto"/>
            <w:left w:val="none" w:sz="0" w:space="0" w:color="auto"/>
            <w:bottom w:val="none" w:sz="0" w:space="0" w:color="auto"/>
            <w:right w:val="none" w:sz="0" w:space="0" w:color="auto"/>
          </w:divBdr>
        </w:div>
        <w:div w:id="971205220">
          <w:marLeft w:val="0"/>
          <w:marRight w:val="0"/>
          <w:marTop w:val="0"/>
          <w:marBottom w:val="0"/>
          <w:divBdr>
            <w:top w:val="none" w:sz="0" w:space="0" w:color="auto"/>
            <w:left w:val="none" w:sz="0" w:space="0" w:color="auto"/>
            <w:bottom w:val="none" w:sz="0" w:space="0" w:color="auto"/>
            <w:right w:val="none" w:sz="0" w:space="0" w:color="auto"/>
          </w:divBdr>
        </w:div>
        <w:div w:id="1211108300">
          <w:marLeft w:val="0"/>
          <w:marRight w:val="0"/>
          <w:marTop w:val="0"/>
          <w:marBottom w:val="0"/>
          <w:divBdr>
            <w:top w:val="none" w:sz="0" w:space="0" w:color="auto"/>
            <w:left w:val="none" w:sz="0" w:space="0" w:color="auto"/>
            <w:bottom w:val="none" w:sz="0" w:space="0" w:color="auto"/>
            <w:right w:val="none" w:sz="0" w:space="0" w:color="auto"/>
          </w:divBdr>
        </w:div>
        <w:div w:id="1214197272">
          <w:marLeft w:val="0"/>
          <w:marRight w:val="0"/>
          <w:marTop w:val="0"/>
          <w:marBottom w:val="0"/>
          <w:divBdr>
            <w:top w:val="none" w:sz="0" w:space="0" w:color="auto"/>
            <w:left w:val="none" w:sz="0" w:space="0" w:color="auto"/>
            <w:bottom w:val="none" w:sz="0" w:space="0" w:color="auto"/>
            <w:right w:val="none" w:sz="0" w:space="0" w:color="auto"/>
          </w:divBdr>
        </w:div>
        <w:div w:id="1331786477">
          <w:marLeft w:val="0"/>
          <w:marRight w:val="0"/>
          <w:marTop w:val="0"/>
          <w:marBottom w:val="0"/>
          <w:divBdr>
            <w:top w:val="none" w:sz="0" w:space="0" w:color="auto"/>
            <w:left w:val="none" w:sz="0" w:space="0" w:color="auto"/>
            <w:bottom w:val="none" w:sz="0" w:space="0" w:color="auto"/>
            <w:right w:val="none" w:sz="0" w:space="0" w:color="auto"/>
          </w:divBdr>
        </w:div>
        <w:div w:id="1338189184">
          <w:marLeft w:val="0"/>
          <w:marRight w:val="0"/>
          <w:marTop w:val="0"/>
          <w:marBottom w:val="0"/>
          <w:divBdr>
            <w:top w:val="none" w:sz="0" w:space="0" w:color="auto"/>
            <w:left w:val="none" w:sz="0" w:space="0" w:color="auto"/>
            <w:bottom w:val="none" w:sz="0" w:space="0" w:color="auto"/>
            <w:right w:val="none" w:sz="0" w:space="0" w:color="auto"/>
          </w:divBdr>
        </w:div>
        <w:div w:id="1340739854">
          <w:marLeft w:val="0"/>
          <w:marRight w:val="0"/>
          <w:marTop w:val="0"/>
          <w:marBottom w:val="0"/>
          <w:divBdr>
            <w:top w:val="none" w:sz="0" w:space="0" w:color="auto"/>
            <w:left w:val="none" w:sz="0" w:space="0" w:color="auto"/>
            <w:bottom w:val="none" w:sz="0" w:space="0" w:color="auto"/>
            <w:right w:val="none" w:sz="0" w:space="0" w:color="auto"/>
          </w:divBdr>
        </w:div>
        <w:div w:id="1423599342">
          <w:marLeft w:val="0"/>
          <w:marRight w:val="0"/>
          <w:marTop w:val="0"/>
          <w:marBottom w:val="0"/>
          <w:divBdr>
            <w:top w:val="none" w:sz="0" w:space="0" w:color="auto"/>
            <w:left w:val="none" w:sz="0" w:space="0" w:color="auto"/>
            <w:bottom w:val="none" w:sz="0" w:space="0" w:color="auto"/>
            <w:right w:val="none" w:sz="0" w:space="0" w:color="auto"/>
          </w:divBdr>
        </w:div>
        <w:div w:id="1477257630">
          <w:marLeft w:val="0"/>
          <w:marRight w:val="0"/>
          <w:marTop w:val="0"/>
          <w:marBottom w:val="0"/>
          <w:divBdr>
            <w:top w:val="none" w:sz="0" w:space="0" w:color="auto"/>
            <w:left w:val="none" w:sz="0" w:space="0" w:color="auto"/>
            <w:bottom w:val="none" w:sz="0" w:space="0" w:color="auto"/>
            <w:right w:val="none" w:sz="0" w:space="0" w:color="auto"/>
          </w:divBdr>
        </w:div>
        <w:div w:id="1487668675">
          <w:marLeft w:val="0"/>
          <w:marRight w:val="0"/>
          <w:marTop w:val="0"/>
          <w:marBottom w:val="0"/>
          <w:divBdr>
            <w:top w:val="none" w:sz="0" w:space="0" w:color="auto"/>
            <w:left w:val="none" w:sz="0" w:space="0" w:color="auto"/>
            <w:bottom w:val="none" w:sz="0" w:space="0" w:color="auto"/>
            <w:right w:val="none" w:sz="0" w:space="0" w:color="auto"/>
          </w:divBdr>
        </w:div>
        <w:div w:id="1622568515">
          <w:marLeft w:val="0"/>
          <w:marRight w:val="0"/>
          <w:marTop w:val="0"/>
          <w:marBottom w:val="0"/>
          <w:divBdr>
            <w:top w:val="none" w:sz="0" w:space="0" w:color="auto"/>
            <w:left w:val="none" w:sz="0" w:space="0" w:color="auto"/>
            <w:bottom w:val="none" w:sz="0" w:space="0" w:color="auto"/>
            <w:right w:val="none" w:sz="0" w:space="0" w:color="auto"/>
          </w:divBdr>
        </w:div>
      </w:divsChild>
    </w:div>
    <w:div w:id="992679375">
      <w:bodyDiv w:val="1"/>
      <w:marLeft w:val="0"/>
      <w:marRight w:val="0"/>
      <w:marTop w:val="0"/>
      <w:marBottom w:val="0"/>
      <w:divBdr>
        <w:top w:val="none" w:sz="0" w:space="0" w:color="auto"/>
        <w:left w:val="none" w:sz="0" w:space="0" w:color="auto"/>
        <w:bottom w:val="none" w:sz="0" w:space="0" w:color="auto"/>
        <w:right w:val="none" w:sz="0" w:space="0" w:color="auto"/>
      </w:divBdr>
    </w:div>
    <w:div w:id="1170024936">
      <w:bodyDiv w:val="1"/>
      <w:marLeft w:val="0"/>
      <w:marRight w:val="0"/>
      <w:marTop w:val="0"/>
      <w:marBottom w:val="0"/>
      <w:divBdr>
        <w:top w:val="none" w:sz="0" w:space="0" w:color="auto"/>
        <w:left w:val="none" w:sz="0" w:space="0" w:color="auto"/>
        <w:bottom w:val="none" w:sz="0" w:space="0" w:color="auto"/>
        <w:right w:val="none" w:sz="0" w:space="0" w:color="auto"/>
      </w:divBdr>
    </w:div>
    <w:div w:id="1287540316">
      <w:bodyDiv w:val="1"/>
      <w:marLeft w:val="0"/>
      <w:marRight w:val="0"/>
      <w:marTop w:val="0"/>
      <w:marBottom w:val="0"/>
      <w:divBdr>
        <w:top w:val="none" w:sz="0" w:space="0" w:color="auto"/>
        <w:left w:val="none" w:sz="0" w:space="0" w:color="auto"/>
        <w:bottom w:val="none" w:sz="0" w:space="0" w:color="auto"/>
        <w:right w:val="none" w:sz="0" w:space="0" w:color="auto"/>
      </w:divBdr>
    </w:div>
    <w:div w:id="1313633816">
      <w:bodyDiv w:val="1"/>
      <w:marLeft w:val="0"/>
      <w:marRight w:val="0"/>
      <w:marTop w:val="0"/>
      <w:marBottom w:val="0"/>
      <w:divBdr>
        <w:top w:val="none" w:sz="0" w:space="0" w:color="auto"/>
        <w:left w:val="none" w:sz="0" w:space="0" w:color="auto"/>
        <w:bottom w:val="none" w:sz="0" w:space="0" w:color="auto"/>
        <w:right w:val="none" w:sz="0" w:space="0" w:color="auto"/>
      </w:divBdr>
    </w:div>
    <w:div w:id="1737705686">
      <w:bodyDiv w:val="1"/>
      <w:marLeft w:val="0"/>
      <w:marRight w:val="0"/>
      <w:marTop w:val="0"/>
      <w:marBottom w:val="0"/>
      <w:divBdr>
        <w:top w:val="none" w:sz="0" w:space="0" w:color="auto"/>
        <w:left w:val="none" w:sz="0" w:space="0" w:color="auto"/>
        <w:bottom w:val="none" w:sz="0" w:space="0" w:color="auto"/>
        <w:right w:val="none" w:sz="0" w:space="0" w:color="auto"/>
      </w:divBdr>
    </w:div>
    <w:div w:id="1793130756">
      <w:bodyDiv w:val="1"/>
      <w:marLeft w:val="0"/>
      <w:marRight w:val="0"/>
      <w:marTop w:val="0"/>
      <w:marBottom w:val="0"/>
      <w:divBdr>
        <w:top w:val="none" w:sz="0" w:space="0" w:color="auto"/>
        <w:left w:val="none" w:sz="0" w:space="0" w:color="auto"/>
        <w:bottom w:val="none" w:sz="0" w:space="0" w:color="auto"/>
        <w:right w:val="none" w:sz="0" w:space="0" w:color="auto"/>
      </w:divBdr>
    </w:div>
    <w:div w:id="1827359038">
      <w:bodyDiv w:val="1"/>
      <w:marLeft w:val="0"/>
      <w:marRight w:val="0"/>
      <w:marTop w:val="0"/>
      <w:marBottom w:val="0"/>
      <w:divBdr>
        <w:top w:val="none" w:sz="0" w:space="0" w:color="auto"/>
        <w:left w:val="none" w:sz="0" w:space="0" w:color="auto"/>
        <w:bottom w:val="none" w:sz="0" w:space="0" w:color="auto"/>
        <w:right w:val="none" w:sz="0" w:space="0" w:color="auto"/>
      </w:divBdr>
    </w:div>
    <w:div w:id="1924676365">
      <w:bodyDiv w:val="1"/>
      <w:marLeft w:val="0"/>
      <w:marRight w:val="0"/>
      <w:marTop w:val="0"/>
      <w:marBottom w:val="0"/>
      <w:divBdr>
        <w:top w:val="none" w:sz="0" w:space="0" w:color="auto"/>
        <w:left w:val="none" w:sz="0" w:space="0" w:color="auto"/>
        <w:bottom w:val="none" w:sz="0" w:space="0" w:color="auto"/>
        <w:right w:val="none" w:sz="0" w:space="0" w:color="auto"/>
      </w:divBdr>
    </w:div>
    <w:div w:id="1979995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hyperlink" Target="https://doi.org/10.1145/1007730.100773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jpeg"/><Relationship Id="rId58" Type="http://schemas.openxmlformats.org/officeDocument/2006/relationships/image" Target="media/image46.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doi.org/10.1613/jair.953" TargetMode="External"/><Relationship Id="rId19" Type="http://schemas.openxmlformats.org/officeDocument/2006/relationships/image" Target="media/image7.sv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hyperlink" Target="https://doi.org/10.1109/TKDE.2008.239" TargetMode="External"/><Relationship Id="rId8" Type="http://schemas.openxmlformats.org/officeDocument/2006/relationships/image" Target="media/image1.png"/><Relationship Id="rId51" Type="http://schemas.openxmlformats.org/officeDocument/2006/relationships/image" Target="media/image39.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5.sv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microsoft.com/office/2020/10/relationships/intelligence" Target="intelligence2.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jpeg"/><Relationship Id="rId62" Type="http://schemas.openxmlformats.org/officeDocument/2006/relationships/hyperlink" Target="https://doi.org/10.1007/11538059_91"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svg"/><Relationship Id="rId23" Type="http://schemas.openxmlformats.org/officeDocument/2006/relationships/image" Target="media/image11.png"/><Relationship Id="rId28" Type="http://schemas.openxmlformats.org/officeDocument/2006/relationships/image" Target="media/image16.sv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eader" Target="head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A12C26-0E85-4C87-B6DE-A957562B7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130</Pages>
  <Words>20802</Words>
  <Characters>118577</Characters>
  <Application>Microsoft Office Word</Application>
  <DocSecurity>0</DocSecurity>
  <Lines>988</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139101</CharactersWithSpaces>
  <SharedDoc>false</SharedDoc>
  <HLinks>
    <vt:vector size="378" baseType="variant">
      <vt:variant>
        <vt:i4>1245245</vt:i4>
      </vt:variant>
      <vt:variant>
        <vt:i4>377</vt:i4>
      </vt:variant>
      <vt:variant>
        <vt:i4>0</vt:i4>
      </vt:variant>
      <vt:variant>
        <vt:i4>5</vt:i4>
      </vt:variant>
      <vt:variant>
        <vt:lpwstr/>
      </vt:variant>
      <vt:variant>
        <vt:lpwstr>_Toc229345202</vt:lpwstr>
      </vt:variant>
      <vt:variant>
        <vt:i4>1245245</vt:i4>
      </vt:variant>
      <vt:variant>
        <vt:i4>371</vt:i4>
      </vt:variant>
      <vt:variant>
        <vt:i4>0</vt:i4>
      </vt:variant>
      <vt:variant>
        <vt:i4>5</vt:i4>
      </vt:variant>
      <vt:variant>
        <vt:lpwstr/>
      </vt:variant>
      <vt:variant>
        <vt:lpwstr>_Toc229345201</vt:lpwstr>
      </vt:variant>
      <vt:variant>
        <vt:i4>1245245</vt:i4>
      </vt:variant>
      <vt:variant>
        <vt:i4>365</vt:i4>
      </vt:variant>
      <vt:variant>
        <vt:i4>0</vt:i4>
      </vt:variant>
      <vt:variant>
        <vt:i4>5</vt:i4>
      </vt:variant>
      <vt:variant>
        <vt:lpwstr/>
      </vt:variant>
      <vt:variant>
        <vt:lpwstr>_Toc229345200</vt:lpwstr>
      </vt:variant>
      <vt:variant>
        <vt:i4>1703998</vt:i4>
      </vt:variant>
      <vt:variant>
        <vt:i4>359</vt:i4>
      </vt:variant>
      <vt:variant>
        <vt:i4>0</vt:i4>
      </vt:variant>
      <vt:variant>
        <vt:i4>5</vt:i4>
      </vt:variant>
      <vt:variant>
        <vt:lpwstr/>
      </vt:variant>
      <vt:variant>
        <vt:lpwstr>_Toc229345199</vt:lpwstr>
      </vt:variant>
      <vt:variant>
        <vt:i4>1703998</vt:i4>
      </vt:variant>
      <vt:variant>
        <vt:i4>353</vt:i4>
      </vt:variant>
      <vt:variant>
        <vt:i4>0</vt:i4>
      </vt:variant>
      <vt:variant>
        <vt:i4>5</vt:i4>
      </vt:variant>
      <vt:variant>
        <vt:lpwstr/>
      </vt:variant>
      <vt:variant>
        <vt:lpwstr>_Toc229345198</vt:lpwstr>
      </vt:variant>
      <vt:variant>
        <vt:i4>1703998</vt:i4>
      </vt:variant>
      <vt:variant>
        <vt:i4>347</vt:i4>
      </vt:variant>
      <vt:variant>
        <vt:i4>0</vt:i4>
      </vt:variant>
      <vt:variant>
        <vt:i4>5</vt:i4>
      </vt:variant>
      <vt:variant>
        <vt:lpwstr/>
      </vt:variant>
      <vt:variant>
        <vt:lpwstr>_Toc229345197</vt:lpwstr>
      </vt:variant>
      <vt:variant>
        <vt:i4>1703998</vt:i4>
      </vt:variant>
      <vt:variant>
        <vt:i4>341</vt:i4>
      </vt:variant>
      <vt:variant>
        <vt:i4>0</vt:i4>
      </vt:variant>
      <vt:variant>
        <vt:i4>5</vt:i4>
      </vt:variant>
      <vt:variant>
        <vt:lpwstr/>
      </vt:variant>
      <vt:variant>
        <vt:lpwstr>_Toc229345196</vt:lpwstr>
      </vt:variant>
      <vt:variant>
        <vt:i4>1703998</vt:i4>
      </vt:variant>
      <vt:variant>
        <vt:i4>335</vt:i4>
      </vt:variant>
      <vt:variant>
        <vt:i4>0</vt:i4>
      </vt:variant>
      <vt:variant>
        <vt:i4>5</vt:i4>
      </vt:variant>
      <vt:variant>
        <vt:lpwstr/>
      </vt:variant>
      <vt:variant>
        <vt:lpwstr>_Toc229345195</vt:lpwstr>
      </vt:variant>
      <vt:variant>
        <vt:i4>1703998</vt:i4>
      </vt:variant>
      <vt:variant>
        <vt:i4>329</vt:i4>
      </vt:variant>
      <vt:variant>
        <vt:i4>0</vt:i4>
      </vt:variant>
      <vt:variant>
        <vt:i4>5</vt:i4>
      </vt:variant>
      <vt:variant>
        <vt:lpwstr/>
      </vt:variant>
      <vt:variant>
        <vt:lpwstr>_Toc229345194</vt:lpwstr>
      </vt:variant>
      <vt:variant>
        <vt:i4>1703998</vt:i4>
      </vt:variant>
      <vt:variant>
        <vt:i4>323</vt:i4>
      </vt:variant>
      <vt:variant>
        <vt:i4>0</vt:i4>
      </vt:variant>
      <vt:variant>
        <vt:i4>5</vt:i4>
      </vt:variant>
      <vt:variant>
        <vt:lpwstr/>
      </vt:variant>
      <vt:variant>
        <vt:lpwstr>_Toc229345193</vt:lpwstr>
      </vt:variant>
      <vt:variant>
        <vt:i4>1703998</vt:i4>
      </vt:variant>
      <vt:variant>
        <vt:i4>317</vt:i4>
      </vt:variant>
      <vt:variant>
        <vt:i4>0</vt:i4>
      </vt:variant>
      <vt:variant>
        <vt:i4>5</vt:i4>
      </vt:variant>
      <vt:variant>
        <vt:lpwstr/>
      </vt:variant>
      <vt:variant>
        <vt:lpwstr>_Toc229345192</vt:lpwstr>
      </vt:variant>
      <vt:variant>
        <vt:i4>1703998</vt:i4>
      </vt:variant>
      <vt:variant>
        <vt:i4>311</vt:i4>
      </vt:variant>
      <vt:variant>
        <vt:i4>0</vt:i4>
      </vt:variant>
      <vt:variant>
        <vt:i4>5</vt:i4>
      </vt:variant>
      <vt:variant>
        <vt:lpwstr/>
      </vt:variant>
      <vt:variant>
        <vt:lpwstr>_Toc229345191</vt:lpwstr>
      </vt:variant>
      <vt:variant>
        <vt:i4>1703998</vt:i4>
      </vt:variant>
      <vt:variant>
        <vt:i4>305</vt:i4>
      </vt:variant>
      <vt:variant>
        <vt:i4>0</vt:i4>
      </vt:variant>
      <vt:variant>
        <vt:i4>5</vt:i4>
      </vt:variant>
      <vt:variant>
        <vt:lpwstr/>
      </vt:variant>
      <vt:variant>
        <vt:lpwstr>_Toc229345190</vt:lpwstr>
      </vt:variant>
      <vt:variant>
        <vt:i4>1769534</vt:i4>
      </vt:variant>
      <vt:variant>
        <vt:i4>299</vt:i4>
      </vt:variant>
      <vt:variant>
        <vt:i4>0</vt:i4>
      </vt:variant>
      <vt:variant>
        <vt:i4>5</vt:i4>
      </vt:variant>
      <vt:variant>
        <vt:lpwstr/>
      </vt:variant>
      <vt:variant>
        <vt:lpwstr>_Toc229345189</vt:lpwstr>
      </vt:variant>
      <vt:variant>
        <vt:i4>1376318</vt:i4>
      </vt:variant>
      <vt:variant>
        <vt:i4>290</vt:i4>
      </vt:variant>
      <vt:variant>
        <vt:i4>0</vt:i4>
      </vt:variant>
      <vt:variant>
        <vt:i4>5</vt:i4>
      </vt:variant>
      <vt:variant>
        <vt:lpwstr/>
      </vt:variant>
      <vt:variant>
        <vt:lpwstr>_Toc229345166</vt:lpwstr>
      </vt:variant>
      <vt:variant>
        <vt:i4>1376318</vt:i4>
      </vt:variant>
      <vt:variant>
        <vt:i4>284</vt:i4>
      </vt:variant>
      <vt:variant>
        <vt:i4>0</vt:i4>
      </vt:variant>
      <vt:variant>
        <vt:i4>5</vt:i4>
      </vt:variant>
      <vt:variant>
        <vt:lpwstr/>
      </vt:variant>
      <vt:variant>
        <vt:lpwstr>_Toc229345165</vt:lpwstr>
      </vt:variant>
      <vt:variant>
        <vt:i4>1376318</vt:i4>
      </vt:variant>
      <vt:variant>
        <vt:i4>278</vt:i4>
      </vt:variant>
      <vt:variant>
        <vt:i4>0</vt:i4>
      </vt:variant>
      <vt:variant>
        <vt:i4>5</vt:i4>
      </vt:variant>
      <vt:variant>
        <vt:lpwstr/>
      </vt:variant>
      <vt:variant>
        <vt:lpwstr>_Toc229345164</vt:lpwstr>
      </vt:variant>
      <vt:variant>
        <vt:i4>1376318</vt:i4>
      </vt:variant>
      <vt:variant>
        <vt:i4>272</vt:i4>
      </vt:variant>
      <vt:variant>
        <vt:i4>0</vt:i4>
      </vt:variant>
      <vt:variant>
        <vt:i4>5</vt:i4>
      </vt:variant>
      <vt:variant>
        <vt:lpwstr/>
      </vt:variant>
      <vt:variant>
        <vt:lpwstr>_Toc229345163</vt:lpwstr>
      </vt:variant>
      <vt:variant>
        <vt:i4>1376318</vt:i4>
      </vt:variant>
      <vt:variant>
        <vt:i4>266</vt:i4>
      </vt:variant>
      <vt:variant>
        <vt:i4>0</vt:i4>
      </vt:variant>
      <vt:variant>
        <vt:i4>5</vt:i4>
      </vt:variant>
      <vt:variant>
        <vt:lpwstr/>
      </vt:variant>
      <vt:variant>
        <vt:lpwstr>_Toc229345162</vt:lpwstr>
      </vt:variant>
      <vt:variant>
        <vt:i4>1376318</vt:i4>
      </vt:variant>
      <vt:variant>
        <vt:i4>260</vt:i4>
      </vt:variant>
      <vt:variant>
        <vt:i4>0</vt:i4>
      </vt:variant>
      <vt:variant>
        <vt:i4>5</vt:i4>
      </vt:variant>
      <vt:variant>
        <vt:lpwstr/>
      </vt:variant>
      <vt:variant>
        <vt:lpwstr>_Toc229345161</vt:lpwstr>
      </vt:variant>
      <vt:variant>
        <vt:i4>1376318</vt:i4>
      </vt:variant>
      <vt:variant>
        <vt:i4>254</vt:i4>
      </vt:variant>
      <vt:variant>
        <vt:i4>0</vt:i4>
      </vt:variant>
      <vt:variant>
        <vt:i4>5</vt:i4>
      </vt:variant>
      <vt:variant>
        <vt:lpwstr/>
      </vt:variant>
      <vt:variant>
        <vt:lpwstr>_Toc229345160</vt:lpwstr>
      </vt:variant>
      <vt:variant>
        <vt:i4>1441854</vt:i4>
      </vt:variant>
      <vt:variant>
        <vt:i4>248</vt:i4>
      </vt:variant>
      <vt:variant>
        <vt:i4>0</vt:i4>
      </vt:variant>
      <vt:variant>
        <vt:i4>5</vt:i4>
      </vt:variant>
      <vt:variant>
        <vt:lpwstr/>
      </vt:variant>
      <vt:variant>
        <vt:lpwstr>_Toc229345159</vt:lpwstr>
      </vt:variant>
      <vt:variant>
        <vt:i4>1441854</vt:i4>
      </vt:variant>
      <vt:variant>
        <vt:i4>242</vt:i4>
      </vt:variant>
      <vt:variant>
        <vt:i4>0</vt:i4>
      </vt:variant>
      <vt:variant>
        <vt:i4>5</vt:i4>
      </vt:variant>
      <vt:variant>
        <vt:lpwstr/>
      </vt:variant>
      <vt:variant>
        <vt:lpwstr>_Toc229345158</vt:lpwstr>
      </vt:variant>
      <vt:variant>
        <vt:i4>1441854</vt:i4>
      </vt:variant>
      <vt:variant>
        <vt:i4>236</vt:i4>
      </vt:variant>
      <vt:variant>
        <vt:i4>0</vt:i4>
      </vt:variant>
      <vt:variant>
        <vt:i4>5</vt:i4>
      </vt:variant>
      <vt:variant>
        <vt:lpwstr/>
      </vt:variant>
      <vt:variant>
        <vt:lpwstr>_Toc229345157</vt:lpwstr>
      </vt:variant>
      <vt:variant>
        <vt:i4>1441854</vt:i4>
      </vt:variant>
      <vt:variant>
        <vt:i4>230</vt:i4>
      </vt:variant>
      <vt:variant>
        <vt:i4>0</vt:i4>
      </vt:variant>
      <vt:variant>
        <vt:i4>5</vt:i4>
      </vt:variant>
      <vt:variant>
        <vt:lpwstr/>
      </vt:variant>
      <vt:variant>
        <vt:lpwstr>_Toc229345156</vt:lpwstr>
      </vt:variant>
      <vt:variant>
        <vt:i4>1441854</vt:i4>
      </vt:variant>
      <vt:variant>
        <vt:i4>224</vt:i4>
      </vt:variant>
      <vt:variant>
        <vt:i4>0</vt:i4>
      </vt:variant>
      <vt:variant>
        <vt:i4>5</vt:i4>
      </vt:variant>
      <vt:variant>
        <vt:lpwstr/>
      </vt:variant>
      <vt:variant>
        <vt:lpwstr>_Toc229345155</vt:lpwstr>
      </vt:variant>
      <vt:variant>
        <vt:i4>1441854</vt:i4>
      </vt:variant>
      <vt:variant>
        <vt:i4>218</vt:i4>
      </vt:variant>
      <vt:variant>
        <vt:i4>0</vt:i4>
      </vt:variant>
      <vt:variant>
        <vt:i4>5</vt:i4>
      </vt:variant>
      <vt:variant>
        <vt:lpwstr/>
      </vt:variant>
      <vt:variant>
        <vt:lpwstr>_Toc229345154</vt:lpwstr>
      </vt:variant>
      <vt:variant>
        <vt:i4>1441854</vt:i4>
      </vt:variant>
      <vt:variant>
        <vt:i4>212</vt:i4>
      </vt:variant>
      <vt:variant>
        <vt:i4>0</vt:i4>
      </vt:variant>
      <vt:variant>
        <vt:i4>5</vt:i4>
      </vt:variant>
      <vt:variant>
        <vt:lpwstr/>
      </vt:variant>
      <vt:variant>
        <vt:lpwstr>_Toc229345153</vt:lpwstr>
      </vt:variant>
      <vt:variant>
        <vt:i4>1441854</vt:i4>
      </vt:variant>
      <vt:variant>
        <vt:i4>206</vt:i4>
      </vt:variant>
      <vt:variant>
        <vt:i4>0</vt:i4>
      </vt:variant>
      <vt:variant>
        <vt:i4>5</vt:i4>
      </vt:variant>
      <vt:variant>
        <vt:lpwstr/>
      </vt:variant>
      <vt:variant>
        <vt:lpwstr>_Toc229345152</vt:lpwstr>
      </vt:variant>
      <vt:variant>
        <vt:i4>1441854</vt:i4>
      </vt:variant>
      <vt:variant>
        <vt:i4>200</vt:i4>
      </vt:variant>
      <vt:variant>
        <vt:i4>0</vt:i4>
      </vt:variant>
      <vt:variant>
        <vt:i4>5</vt:i4>
      </vt:variant>
      <vt:variant>
        <vt:lpwstr/>
      </vt:variant>
      <vt:variant>
        <vt:lpwstr>_Toc229345151</vt:lpwstr>
      </vt:variant>
      <vt:variant>
        <vt:i4>1441854</vt:i4>
      </vt:variant>
      <vt:variant>
        <vt:i4>194</vt:i4>
      </vt:variant>
      <vt:variant>
        <vt:i4>0</vt:i4>
      </vt:variant>
      <vt:variant>
        <vt:i4>5</vt:i4>
      </vt:variant>
      <vt:variant>
        <vt:lpwstr/>
      </vt:variant>
      <vt:variant>
        <vt:lpwstr>_Toc229345150</vt:lpwstr>
      </vt:variant>
      <vt:variant>
        <vt:i4>1507390</vt:i4>
      </vt:variant>
      <vt:variant>
        <vt:i4>188</vt:i4>
      </vt:variant>
      <vt:variant>
        <vt:i4>0</vt:i4>
      </vt:variant>
      <vt:variant>
        <vt:i4>5</vt:i4>
      </vt:variant>
      <vt:variant>
        <vt:lpwstr/>
      </vt:variant>
      <vt:variant>
        <vt:lpwstr>_Toc229345149</vt:lpwstr>
      </vt:variant>
      <vt:variant>
        <vt:i4>1507390</vt:i4>
      </vt:variant>
      <vt:variant>
        <vt:i4>182</vt:i4>
      </vt:variant>
      <vt:variant>
        <vt:i4>0</vt:i4>
      </vt:variant>
      <vt:variant>
        <vt:i4>5</vt:i4>
      </vt:variant>
      <vt:variant>
        <vt:lpwstr/>
      </vt:variant>
      <vt:variant>
        <vt:lpwstr>_Toc229345148</vt:lpwstr>
      </vt:variant>
      <vt:variant>
        <vt:i4>1507390</vt:i4>
      </vt:variant>
      <vt:variant>
        <vt:i4>176</vt:i4>
      </vt:variant>
      <vt:variant>
        <vt:i4>0</vt:i4>
      </vt:variant>
      <vt:variant>
        <vt:i4>5</vt:i4>
      </vt:variant>
      <vt:variant>
        <vt:lpwstr/>
      </vt:variant>
      <vt:variant>
        <vt:lpwstr>_Toc229345147</vt:lpwstr>
      </vt:variant>
      <vt:variant>
        <vt:i4>1507390</vt:i4>
      </vt:variant>
      <vt:variant>
        <vt:i4>170</vt:i4>
      </vt:variant>
      <vt:variant>
        <vt:i4>0</vt:i4>
      </vt:variant>
      <vt:variant>
        <vt:i4>5</vt:i4>
      </vt:variant>
      <vt:variant>
        <vt:lpwstr/>
      </vt:variant>
      <vt:variant>
        <vt:lpwstr>_Toc229345146</vt:lpwstr>
      </vt:variant>
      <vt:variant>
        <vt:i4>1507390</vt:i4>
      </vt:variant>
      <vt:variant>
        <vt:i4>164</vt:i4>
      </vt:variant>
      <vt:variant>
        <vt:i4>0</vt:i4>
      </vt:variant>
      <vt:variant>
        <vt:i4>5</vt:i4>
      </vt:variant>
      <vt:variant>
        <vt:lpwstr/>
      </vt:variant>
      <vt:variant>
        <vt:lpwstr>_Toc229345145</vt:lpwstr>
      </vt:variant>
      <vt:variant>
        <vt:i4>1507390</vt:i4>
      </vt:variant>
      <vt:variant>
        <vt:i4>158</vt:i4>
      </vt:variant>
      <vt:variant>
        <vt:i4>0</vt:i4>
      </vt:variant>
      <vt:variant>
        <vt:i4>5</vt:i4>
      </vt:variant>
      <vt:variant>
        <vt:lpwstr/>
      </vt:variant>
      <vt:variant>
        <vt:lpwstr>_Toc229345144</vt:lpwstr>
      </vt:variant>
      <vt:variant>
        <vt:i4>1507390</vt:i4>
      </vt:variant>
      <vt:variant>
        <vt:i4>152</vt:i4>
      </vt:variant>
      <vt:variant>
        <vt:i4>0</vt:i4>
      </vt:variant>
      <vt:variant>
        <vt:i4>5</vt:i4>
      </vt:variant>
      <vt:variant>
        <vt:lpwstr/>
      </vt:variant>
      <vt:variant>
        <vt:lpwstr>_Toc229345143</vt:lpwstr>
      </vt:variant>
      <vt:variant>
        <vt:i4>1507390</vt:i4>
      </vt:variant>
      <vt:variant>
        <vt:i4>146</vt:i4>
      </vt:variant>
      <vt:variant>
        <vt:i4>0</vt:i4>
      </vt:variant>
      <vt:variant>
        <vt:i4>5</vt:i4>
      </vt:variant>
      <vt:variant>
        <vt:lpwstr/>
      </vt:variant>
      <vt:variant>
        <vt:lpwstr>_Toc229345142</vt:lpwstr>
      </vt:variant>
      <vt:variant>
        <vt:i4>1507390</vt:i4>
      </vt:variant>
      <vt:variant>
        <vt:i4>140</vt:i4>
      </vt:variant>
      <vt:variant>
        <vt:i4>0</vt:i4>
      </vt:variant>
      <vt:variant>
        <vt:i4>5</vt:i4>
      </vt:variant>
      <vt:variant>
        <vt:lpwstr/>
      </vt:variant>
      <vt:variant>
        <vt:lpwstr>_Toc229345141</vt:lpwstr>
      </vt:variant>
      <vt:variant>
        <vt:i4>1507390</vt:i4>
      </vt:variant>
      <vt:variant>
        <vt:i4>134</vt:i4>
      </vt:variant>
      <vt:variant>
        <vt:i4>0</vt:i4>
      </vt:variant>
      <vt:variant>
        <vt:i4>5</vt:i4>
      </vt:variant>
      <vt:variant>
        <vt:lpwstr/>
      </vt:variant>
      <vt:variant>
        <vt:lpwstr>_Toc229345140</vt:lpwstr>
      </vt:variant>
      <vt:variant>
        <vt:i4>1048638</vt:i4>
      </vt:variant>
      <vt:variant>
        <vt:i4>128</vt:i4>
      </vt:variant>
      <vt:variant>
        <vt:i4>0</vt:i4>
      </vt:variant>
      <vt:variant>
        <vt:i4>5</vt:i4>
      </vt:variant>
      <vt:variant>
        <vt:lpwstr/>
      </vt:variant>
      <vt:variant>
        <vt:lpwstr>_Toc229345139</vt:lpwstr>
      </vt:variant>
      <vt:variant>
        <vt:i4>1048638</vt:i4>
      </vt:variant>
      <vt:variant>
        <vt:i4>122</vt:i4>
      </vt:variant>
      <vt:variant>
        <vt:i4>0</vt:i4>
      </vt:variant>
      <vt:variant>
        <vt:i4>5</vt:i4>
      </vt:variant>
      <vt:variant>
        <vt:lpwstr/>
      </vt:variant>
      <vt:variant>
        <vt:lpwstr>_Toc229345138</vt:lpwstr>
      </vt:variant>
      <vt:variant>
        <vt:i4>1048638</vt:i4>
      </vt:variant>
      <vt:variant>
        <vt:i4>116</vt:i4>
      </vt:variant>
      <vt:variant>
        <vt:i4>0</vt:i4>
      </vt:variant>
      <vt:variant>
        <vt:i4>5</vt:i4>
      </vt:variant>
      <vt:variant>
        <vt:lpwstr/>
      </vt:variant>
      <vt:variant>
        <vt:lpwstr>_Toc229345137</vt:lpwstr>
      </vt:variant>
      <vt:variant>
        <vt:i4>1048638</vt:i4>
      </vt:variant>
      <vt:variant>
        <vt:i4>110</vt:i4>
      </vt:variant>
      <vt:variant>
        <vt:i4>0</vt:i4>
      </vt:variant>
      <vt:variant>
        <vt:i4>5</vt:i4>
      </vt:variant>
      <vt:variant>
        <vt:lpwstr/>
      </vt:variant>
      <vt:variant>
        <vt:lpwstr>_Toc229345136</vt:lpwstr>
      </vt:variant>
      <vt:variant>
        <vt:i4>1048638</vt:i4>
      </vt:variant>
      <vt:variant>
        <vt:i4>104</vt:i4>
      </vt:variant>
      <vt:variant>
        <vt:i4>0</vt:i4>
      </vt:variant>
      <vt:variant>
        <vt:i4>5</vt:i4>
      </vt:variant>
      <vt:variant>
        <vt:lpwstr/>
      </vt:variant>
      <vt:variant>
        <vt:lpwstr>_Toc229345135</vt:lpwstr>
      </vt:variant>
      <vt:variant>
        <vt:i4>1048638</vt:i4>
      </vt:variant>
      <vt:variant>
        <vt:i4>98</vt:i4>
      </vt:variant>
      <vt:variant>
        <vt:i4>0</vt:i4>
      </vt:variant>
      <vt:variant>
        <vt:i4>5</vt:i4>
      </vt:variant>
      <vt:variant>
        <vt:lpwstr/>
      </vt:variant>
      <vt:variant>
        <vt:lpwstr>_Toc229345134</vt:lpwstr>
      </vt:variant>
      <vt:variant>
        <vt:i4>1048638</vt:i4>
      </vt:variant>
      <vt:variant>
        <vt:i4>92</vt:i4>
      </vt:variant>
      <vt:variant>
        <vt:i4>0</vt:i4>
      </vt:variant>
      <vt:variant>
        <vt:i4>5</vt:i4>
      </vt:variant>
      <vt:variant>
        <vt:lpwstr/>
      </vt:variant>
      <vt:variant>
        <vt:lpwstr>_Toc229345133</vt:lpwstr>
      </vt:variant>
      <vt:variant>
        <vt:i4>1048638</vt:i4>
      </vt:variant>
      <vt:variant>
        <vt:i4>86</vt:i4>
      </vt:variant>
      <vt:variant>
        <vt:i4>0</vt:i4>
      </vt:variant>
      <vt:variant>
        <vt:i4>5</vt:i4>
      </vt:variant>
      <vt:variant>
        <vt:lpwstr/>
      </vt:variant>
      <vt:variant>
        <vt:lpwstr>_Toc229345132</vt:lpwstr>
      </vt:variant>
      <vt:variant>
        <vt:i4>1048638</vt:i4>
      </vt:variant>
      <vt:variant>
        <vt:i4>80</vt:i4>
      </vt:variant>
      <vt:variant>
        <vt:i4>0</vt:i4>
      </vt:variant>
      <vt:variant>
        <vt:i4>5</vt:i4>
      </vt:variant>
      <vt:variant>
        <vt:lpwstr/>
      </vt:variant>
      <vt:variant>
        <vt:lpwstr>_Toc229345131</vt:lpwstr>
      </vt:variant>
      <vt:variant>
        <vt:i4>1048638</vt:i4>
      </vt:variant>
      <vt:variant>
        <vt:i4>74</vt:i4>
      </vt:variant>
      <vt:variant>
        <vt:i4>0</vt:i4>
      </vt:variant>
      <vt:variant>
        <vt:i4>5</vt:i4>
      </vt:variant>
      <vt:variant>
        <vt:lpwstr/>
      </vt:variant>
      <vt:variant>
        <vt:lpwstr>_Toc229345130</vt:lpwstr>
      </vt:variant>
      <vt:variant>
        <vt:i4>1114174</vt:i4>
      </vt:variant>
      <vt:variant>
        <vt:i4>68</vt:i4>
      </vt:variant>
      <vt:variant>
        <vt:i4>0</vt:i4>
      </vt:variant>
      <vt:variant>
        <vt:i4>5</vt:i4>
      </vt:variant>
      <vt:variant>
        <vt:lpwstr/>
      </vt:variant>
      <vt:variant>
        <vt:lpwstr>_Toc229345129</vt:lpwstr>
      </vt:variant>
      <vt:variant>
        <vt:i4>1114174</vt:i4>
      </vt:variant>
      <vt:variant>
        <vt:i4>62</vt:i4>
      </vt:variant>
      <vt:variant>
        <vt:i4>0</vt:i4>
      </vt:variant>
      <vt:variant>
        <vt:i4>5</vt:i4>
      </vt:variant>
      <vt:variant>
        <vt:lpwstr/>
      </vt:variant>
      <vt:variant>
        <vt:lpwstr>_Toc229345128</vt:lpwstr>
      </vt:variant>
      <vt:variant>
        <vt:i4>1114174</vt:i4>
      </vt:variant>
      <vt:variant>
        <vt:i4>56</vt:i4>
      </vt:variant>
      <vt:variant>
        <vt:i4>0</vt:i4>
      </vt:variant>
      <vt:variant>
        <vt:i4>5</vt:i4>
      </vt:variant>
      <vt:variant>
        <vt:lpwstr/>
      </vt:variant>
      <vt:variant>
        <vt:lpwstr>_Toc229345127</vt:lpwstr>
      </vt:variant>
      <vt:variant>
        <vt:i4>1114174</vt:i4>
      </vt:variant>
      <vt:variant>
        <vt:i4>50</vt:i4>
      </vt:variant>
      <vt:variant>
        <vt:i4>0</vt:i4>
      </vt:variant>
      <vt:variant>
        <vt:i4>5</vt:i4>
      </vt:variant>
      <vt:variant>
        <vt:lpwstr/>
      </vt:variant>
      <vt:variant>
        <vt:lpwstr>_Toc229345126</vt:lpwstr>
      </vt:variant>
      <vt:variant>
        <vt:i4>1114174</vt:i4>
      </vt:variant>
      <vt:variant>
        <vt:i4>44</vt:i4>
      </vt:variant>
      <vt:variant>
        <vt:i4>0</vt:i4>
      </vt:variant>
      <vt:variant>
        <vt:i4>5</vt:i4>
      </vt:variant>
      <vt:variant>
        <vt:lpwstr/>
      </vt:variant>
      <vt:variant>
        <vt:lpwstr>_Toc229345125</vt:lpwstr>
      </vt:variant>
      <vt:variant>
        <vt:i4>1114174</vt:i4>
      </vt:variant>
      <vt:variant>
        <vt:i4>38</vt:i4>
      </vt:variant>
      <vt:variant>
        <vt:i4>0</vt:i4>
      </vt:variant>
      <vt:variant>
        <vt:i4>5</vt:i4>
      </vt:variant>
      <vt:variant>
        <vt:lpwstr/>
      </vt:variant>
      <vt:variant>
        <vt:lpwstr>_Toc229345124</vt:lpwstr>
      </vt:variant>
      <vt:variant>
        <vt:i4>1114174</vt:i4>
      </vt:variant>
      <vt:variant>
        <vt:i4>32</vt:i4>
      </vt:variant>
      <vt:variant>
        <vt:i4>0</vt:i4>
      </vt:variant>
      <vt:variant>
        <vt:i4>5</vt:i4>
      </vt:variant>
      <vt:variant>
        <vt:lpwstr/>
      </vt:variant>
      <vt:variant>
        <vt:lpwstr>_Toc229345123</vt:lpwstr>
      </vt:variant>
      <vt:variant>
        <vt:i4>1114174</vt:i4>
      </vt:variant>
      <vt:variant>
        <vt:i4>26</vt:i4>
      </vt:variant>
      <vt:variant>
        <vt:i4>0</vt:i4>
      </vt:variant>
      <vt:variant>
        <vt:i4>5</vt:i4>
      </vt:variant>
      <vt:variant>
        <vt:lpwstr/>
      </vt:variant>
      <vt:variant>
        <vt:lpwstr>_Toc229345122</vt:lpwstr>
      </vt:variant>
      <vt:variant>
        <vt:i4>1114174</vt:i4>
      </vt:variant>
      <vt:variant>
        <vt:i4>20</vt:i4>
      </vt:variant>
      <vt:variant>
        <vt:i4>0</vt:i4>
      </vt:variant>
      <vt:variant>
        <vt:i4>5</vt:i4>
      </vt:variant>
      <vt:variant>
        <vt:lpwstr/>
      </vt:variant>
      <vt:variant>
        <vt:lpwstr>_Toc229345121</vt:lpwstr>
      </vt:variant>
      <vt:variant>
        <vt:i4>1114174</vt:i4>
      </vt:variant>
      <vt:variant>
        <vt:i4>14</vt:i4>
      </vt:variant>
      <vt:variant>
        <vt:i4>0</vt:i4>
      </vt:variant>
      <vt:variant>
        <vt:i4>5</vt:i4>
      </vt:variant>
      <vt:variant>
        <vt:lpwstr/>
      </vt:variant>
      <vt:variant>
        <vt:lpwstr>_Toc229345120</vt:lpwstr>
      </vt:variant>
      <vt:variant>
        <vt:i4>1179710</vt:i4>
      </vt:variant>
      <vt:variant>
        <vt:i4>8</vt:i4>
      </vt:variant>
      <vt:variant>
        <vt:i4>0</vt:i4>
      </vt:variant>
      <vt:variant>
        <vt:i4>5</vt:i4>
      </vt:variant>
      <vt:variant>
        <vt:lpwstr/>
      </vt:variant>
      <vt:variant>
        <vt:lpwstr>_Toc229345119</vt:lpwstr>
      </vt:variant>
      <vt:variant>
        <vt:i4>1179710</vt:i4>
      </vt:variant>
      <vt:variant>
        <vt:i4>2</vt:i4>
      </vt:variant>
      <vt:variant>
        <vt:i4>0</vt:i4>
      </vt:variant>
      <vt:variant>
        <vt:i4>5</vt:i4>
      </vt:variant>
      <vt:variant>
        <vt:lpwstr/>
      </vt:variant>
      <vt:variant>
        <vt:lpwstr>_Toc229345118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Julliane Reyes</dc:creator>
  <cp:keywords/>
  <dc:description/>
  <cp:lastModifiedBy>RJ Beley</cp:lastModifiedBy>
  <cp:revision>6</cp:revision>
  <cp:lastPrinted>2026-05-10T18:41:00Z</cp:lastPrinted>
  <dcterms:created xsi:type="dcterms:W3CDTF">2026-06-27T12:35:00Z</dcterms:created>
  <dcterms:modified xsi:type="dcterms:W3CDTF">2026-06-28T16:32:00Z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df37cfc5-166b-4948-bc1d-c8ad89c094af</vt:lpwstr>
  </property>
</Properties>
</file>