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[8]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[5] demonstrated that statistical learning methods such as logistic regression can predict late payment of sales invoices with actionable discrimination. At the customer level, Cheong [29] and Appel et al. [28] showed that ensemble models trained on transaction histories can reduce unnecessary collection interventions, and Abbas and Hussein [12]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[8]</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[5]</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[29]</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w:t>
      </w:r>
      <w:r w:rsidR="003B2172" w:rsidRPr="00FD0F64">
        <w:t xml:space="preserve">, 5, </w:t>
      </w:r>
      <w:r w:rsidRPr="00FD0F64">
        <w:t xml:space="preserve">6],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[7]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8].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[9]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[7],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[8]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[47].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[7].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[10] created an intelligent optimization model that showcases how predictive analytics can lessen financial pressure by foreseeing potential late payments. Similarly, Ramkumar and Karthick [11] found that machine learning techniques significantly outperform traditional methods in predicting how and when payments will be made. More recent studies, such as Abbas and Hussein [12],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[7], which bars schools from denying students access to examinations due to unpaid tuition. While the law promotes educational equity, it also removes one of the primary reinforcement mechanisms schools previously relied on to ensure timely payments. Respicio and Co. Law [13]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[14] emphasized that non-payment or partial payment of school fees disrupts budget execution and undermines institutional goals, while Naicker [15] found that fluctuating fee payments complicate financial planning and threaten sustainability. The Education Policy and Data Center [16] similarly documented implementation gaps in fee collection policies, where unclear guidelines led to inconsistent and delayed payments. MRI Software TPN [17] also noted that unpaid fees force reductions in staff and infrastructure investment. Broader reports by the Associated Press [18] and the World Bank [19]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[20]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[21] revealed that low levels of financial literacy contribute to poor debt management among students, while Mencias-Tabernilla [22]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[7, 13, 23]. While these regulations promote fairness, they amplify the financial challenges faced by private schools, making receivable predictions all the more critical.</w:t>
      </w:r>
    </w:p>
    <w:p>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[24] benchmarked leading classification algorithms for credit scoring and discovered that ML models, like gradient boosting and random forests, markedly enhance predictive accuracy compared to traditional methods such as logistic regression. Baesens et al. (2003) [25] highlighted the interpretability of neural networks when combined with rule extraction, bridging the gap between predictive power and decision transparency. Recent developments by Xu et al. (2024) [26]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lastRenderedPageBreak/>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[27]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[28] developed ML models to predict account receivables, emphasizing the importance of transaction histories and customer segmentation. Cheong [29]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[8]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[5]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[6] reviewed ML applications in supply chain management, highlighting the role of digitization and transaction-level granularity in improving payment behavior analysis.</w:t>
      </w:r>
    </w:p>
    <w:p>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[30]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[21, 22].</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[7, 14, 15, 16, 17, 20].</w:t>
      </w:r>
      <w:r w:rsidR="00A8011D" w:rsidRPr="00FD0F64">
        <w:t xml:space="preserve"> </w:t>
      </w:r>
      <w:r w:rsidR="00A8011D" w:rsidRPr="00FD0F64">
        <w:rPr>
          <w:b/>
          <w:bCs/>
        </w:rPr>
        <w:t>(c)</w:t>
      </w:r>
      <w:r w:rsidRPr="00FD0F64">
        <w:t xml:space="preserve"> Behavioral and transactional variables: historical arrears, frequency of late payments [3, 7, </w:t>
      </w:r>
      <w:r w:rsidRPr="00FD0F64">
        <w:lastRenderedPageBreak/>
        <w:t>13].</w:t>
      </w:r>
      <w:r w:rsidR="00042C36" w:rsidRPr="00FD0F64">
        <w:t xml:space="preserve"> </w:t>
      </w:r>
      <w:r w:rsidR="00042C36" w:rsidRPr="00FD0F64">
        <w:rPr>
          <w:b/>
          <w:bCs/>
        </w:rPr>
        <w:t>(d)</w:t>
      </w:r>
      <w:r w:rsidRPr="00FD0F64">
        <w:t xml:space="preserve"> Policy and contextual variables: RA 11984 compliance, macroeconomic shocks [7, 18, 19, 23].</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[31]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pPr>
        <w:pStyle w:val="ThesisParagraphText"/>
      </w:pPr>
      <w:r>
        <w:t>Philippine evidence sharpens this picture at the household level. Carvajal et al. [21]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[22]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[7, 13, 23]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[32, 33].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[33, 34]. Some institutions complement these with incentives such as early-payment discounts or sibling rebates to reward timely settlement [32]. These practices, consistent with the tuition collection literature [32, 33, 34], remain the dominant standard operating procedures in many schools, including the partner institution. Their common weakness is that all of them, except early-payment incentives, are triggered only after an invoice has already become delinquent.</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t>The effectiveness of these strategies is procedurally constrained by RA 11984 [7, 13, 23]. The law categorically prohibits schools from denying examinations to students with outstanding balances, removing the single strongest enforcement mechanism previously available to private institutions [7].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[13, 23]. Legal commentary has warned that this combination lengthens collection cycles, extends credit exposure, and may raise accounts receivable balances unless schools adopt proactive financial management [13]. As a result, institutions are structurally bound to continue providing instruction even as receivables accumulate, which converts collections from an enforcement problem into a forecasting problem.</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[6, 24, 29, 35] demonstrate that predictive models trained on granular behavioral features consistently outperform reactive heuristics, because they convert historical payment patterns into forward-looking early-warning signals.</w:t>
      </w:r>
    </w:p>
    <w:p>
      <w:pPr/>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[29] showed that customer-level prediction reduces unnecessary intervention actions, and Schoonbee et al. [8] demonstrated decision-support value in an educational context; this study extends that logic to category-level invoices in a Philippine private school.</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[9]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[24], medical diagnosis [25], and receivables management [35], but had not previously been benchmarked at scale for the IPPP.</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[45]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[25, 35], a hypothesis this study tests directly across feature regimes.</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[29, 35]. Several gaps remain: (1) lack of granular student-product variables [3, 4, 8]; (2) limited application in private educational institutions [6, 30]; (3) few ordinal IPPP benchmarks; and (4) lack of two-stage architectures and systematic survival feature testing.</w:t>
      </w:r>
      <w:r w:rsidR="00B046CE" w:rsidRPr="00FD0F64">
        <w:br w:type="page"/>
      </w:r>
    </w:p>
    <w:p>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pPr>
        <w:pStyle w:val="Heading2"/>
      </w:pPr>
      <w:r>
        <w:t>2.13 Comparative Analysis of Existing Technologies</w:t>
      </w:r>
    </w:p>
    <w:p>
      <w:pPr>
        <w:pStyle w:val="ThesisParagraphText"/>
      </w:pPr>
      <w:r>
        <w:t>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judged. Table 2.2 consolidates the eight studies most relevant to the IPPP, spanning educational, corporate, and consumer-credit domains.</w:t>
      </w:r>
    </w:p>
    <w:p>
      <w:pPr>
        <w:pStyle w:val="Caption"/>
      </w:pPr>
      <w:r>
        <w:t>Table 2.2. Comparative analysis of existing invoice payment prediction and related studies.</w:t>
      </w:r>
    </w:p>
    <w:tbl>
      <w:tblPr>
        <w:tblStyle w:val="TableGridLight"/>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Study</w:t>
            </w:r>
          </w:p>
        </w:tc>
        <w:tc>
          <w:tcPr>
            <w:tcW w:type="dxa" w:w="1234"/>
          </w:tcPr>
          <w:p>
            <w:r>
              <w:rPr>
                <w:b/>
              </w:rPr>
              <w:t>Year</w:t>
            </w:r>
          </w:p>
        </w:tc>
        <w:tc>
          <w:tcPr>
            <w:tcW w:type="dxa" w:w="1234"/>
          </w:tcPr>
          <w:p>
            <w:r>
              <w:rPr>
                <w:b/>
              </w:rPr>
              <w:t>Domain</w:t>
            </w:r>
          </w:p>
        </w:tc>
        <w:tc>
          <w:tcPr>
            <w:tcW w:type="dxa" w:w="1234"/>
          </w:tcPr>
          <w:p>
            <w:r>
              <w:rPr>
                <w:b/>
              </w:rPr>
              <w:t>Method</w:t>
            </w:r>
          </w:p>
        </w:tc>
        <w:tc>
          <w:tcPr>
            <w:tcW w:type="dxa" w:w="1234"/>
          </w:tcPr>
          <w:p>
            <w:r>
              <w:rPr>
                <w:b/>
              </w:rPr>
              <w:t>Features Used</w:t>
            </w:r>
          </w:p>
        </w:tc>
        <w:tc>
          <w:tcPr>
            <w:tcW w:type="dxa" w:w="1234"/>
          </w:tcPr>
          <w:p>
            <w:r>
              <w:rPr>
                <w:b/>
              </w:rPr>
              <w:t>Performance Metrics</w:t>
            </w:r>
          </w:p>
        </w:tc>
        <w:tc>
          <w:tcPr>
            <w:tcW w:type="dxa" w:w="1234"/>
          </w:tcPr>
          <w:p>
            <w:r>
              <w:rPr>
                <w:b/>
              </w:rPr>
              <w:t>Limitations</w:t>
            </w:r>
          </w:p>
        </w:tc>
      </w:tr>
      <w:tr>
        <w:tc>
          <w:tcPr>
            <w:tcW w:type="dxa" w:w="1234"/>
          </w:tcPr>
          <w:p>
            <w:r>
              <w:t>Schoonbee et al. [8]</w:t>
            </w:r>
          </w:p>
        </w:tc>
        <w:tc>
          <w:tcPr>
            <w:tcW w:type="dxa" w:w="1234"/>
          </w:tcPr>
          <w:p>
            <w:r>
              <w:t>2021</w:t>
            </w:r>
          </w:p>
        </w:tc>
        <w:tc>
          <w:tcPr>
            <w:tcW w:type="dxa" w:w="1234"/>
          </w:tcPr>
          <w:p>
            <w:r>
              <w:t>Educational invoices (South Africa)</w:t>
            </w:r>
          </w:p>
        </w:tc>
        <w:tc>
          <w:tcPr>
            <w:tcW w:type="dxa" w:w="1234"/>
          </w:tcPr>
          <w:p>
            <w:r>
              <w:t>LR, RF, XGBoost, NN decision support</w:t>
            </w:r>
          </w:p>
        </w:tc>
        <w:tc>
          <w:tcPr>
            <w:tcW w:type="dxa" w:w="1234"/>
          </w:tcPr>
          <w:p>
            <w:r>
              <w:t>Student-level payment history, demographics</w:t>
            </w:r>
          </w:p>
        </w:tc>
        <w:tc>
          <w:tcPr>
            <w:tcW w:type="dxa" w:w="1234"/>
          </w:tcPr>
          <w:p>
            <w:r>
              <w:t>Accuracy ≈ 80–85%</w:t>
            </w:r>
          </w:p>
        </w:tc>
        <w:tc>
          <w:tcPr>
            <w:tcW w:type="dxa" w:w="1234"/>
          </w:tcPr>
          <w:p>
            <w:r>
              <w:t>Aggregate features; nominal targets</w:t>
            </w:r>
          </w:p>
        </w:tc>
      </w:tr>
      <w:tr>
        <w:tc>
          <w:tcPr>
            <w:tcW w:type="dxa" w:w="1234"/>
          </w:tcPr>
          <w:p>
            <w:r>
              <w:t>Moore &amp; van Vuuren [4]</w:t>
            </w:r>
          </w:p>
        </w:tc>
        <w:tc>
          <w:tcPr>
            <w:tcW w:type="dxa" w:w="1234"/>
          </w:tcPr>
          <w:p>
            <w:r>
              <w:t>2020</w:t>
            </w:r>
          </w:p>
        </w:tc>
        <w:tc>
          <w:tcPr>
            <w:tcW w:type="dxa" w:w="1234"/>
          </w:tcPr>
          <w:p>
            <w:r>
              <w:t>Customer invoices</w:t>
            </w:r>
          </w:p>
        </w:tc>
        <w:tc>
          <w:tcPr>
            <w:tcW w:type="dxa" w:w="1234"/>
          </w:tcPr>
          <w:p>
            <w:r>
              <w:t>Survival analysis + ML (MIPP)</w:t>
            </w:r>
          </w:p>
        </w:tc>
        <w:tc>
          <w:tcPr>
            <w:tcW w:type="dxa" w:w="1234"/>
          </w:tcPr>
          <w:p>
            <w:r>
              <w:t>Invoice history, customer attributes</w:t>
            </w:r>
          </w:p>
        </w:tc>
        <w:tc>
          <w:tcPr>
            <w:tcW w:type="dxa" w:w="1234"/>
          </w:tcPr>
          <w:p>
            <w:r>
              <w:t>Time-to-payment estimates</w:t>
            </w:r>
          </w:p>
        </w:tc>
        <w:tc>
          <w:tcPr>
            <w:tcW w:type="dxa" w:w="1234"/>
          </w:tcPr>
          <w:p>
            <w:r>
              <w:t>No ordinal brackets; no resampling study</w:t>
            </w:r>
          </w:p>
        </w:tc>
      </w:tr>
      <w:tr>
        <w:tc>
          <w:tcPr>
            <w:tcW w:type="dxa" w:w="1234"/>
          </w:tcPr>
          <w:p>
            <w:r>
              <w:t>Mugorobin et al. [3]</w:t>
            </w:r>
          </w:p>
        </w:tc>
        <w:tc>
          <w:tcPr>
            <w:tcW w:type="dxa" w:w="1234"/>
          </w:tcPr>
          <w:p>
            <w:r>
              <w:t>2020</w:t>
            </w:r>
          </w:p>
        </w:tc>
        <w:tc>
          <w:tcPr>
            <w:tcW w:type="dxa" w:w="1234"/>
          </w:tcPr>
          <w:p>
            <w:r>
              <w:t>School tuition (Indonesia)</w:t>
            </w:r>
          </w:p>
        </w:tc>
        <w:tc>
          <w:tcPr>
            <w:tcW w:type="dxa" w:w="1234"/>
          </w:tcPr>
          <w:p>
            <w:r>
              <w:t>Rule-based estimation with classification</w:t>
            </w:r>
          </w:p>
        </w:tc>
        <w:tc>
          <w:tcPr>
            <w:tcW w:type="dxa" w:w="1234"/>
          </w:tcPr>
          <w:p>
            <w:r>
              <w:t>Tuition payment timeliness records</w:t>
            </w:r>
          </w:p>
        </w:tc>
        <w:tc>
          <w:tcPr>
            <w:tcW w:type="dxa" w:w="1234"/>
          </w:tcPr>
          <w:p>
            <w:r>
              <w:t>Accuracy on small institutional sample</w:t>
            </w:r>
          </w:p>
        </w:tc>
        <w:tc>
          <w:tcPr>
            <w:tcW w:type="dxa" w:w="1234"/>
          </w:tcPr>
          <w:p>
            <w:r>
              <w:t>Heuristic; no ensemble benchmarking</w:t>
            </w:r>
          </w:p>
        </w:tc>
      </w:tr>
      <w:tr>
        <w:tc>
          <w:tcPr>
            <w:tcW w:type="dxa" w:w="1234"/>
          </w:tcPr>
          <w:p>
            <w:r>
              <w:t>Martikainen [5]</w:t>
            </w:r>
          </w:p>
        </w:tc>
        <w:tc>
          <w:tcPr>
            <w:tcW w:type="dxa" w:w="1234"/>
          </w:tcPr>
          <w:p>
            <w:r>
              <w:t>2023</w:t>
            </w:r>
          </w:p>
        </w:tc>
        <w:tc>
          <w:tcPr>
            <w:tcW w:type="dxa" w:w="1234"/>
          </w:tcPr>
          <w:p>
            <w:r>
              <w:t>B2B sales invoices (Finland)</w:t>
            </w:r>
          </w:p>
        </w:tc>
        <w:tc>
          <w:tcPr>
            <w:tcW w:type="dxa" w:w="1234"/>
          </w:tcPr>
          <w:p>
            <w:r>
              <w:t>Statistical learning, logistic regression</w:t>
            </w:r>
          </w:p>
        </w:tc>
        <w:tc>
          <w:tcPr>
            <w:tcW w:type="dxa" w:w="1234"/>
          </w:tcPr>
          <w:p>
            <w:r>
              <w:t>Invoice and customer attributes</w:t>
            </w:r>
          </w:p>
        </w:tc>
        <w:tc>
          <w:tcPr>
            <w:tcW w:type="dxa" w:w="1234"/>
          </w:tcPr>
          <w:p>
            <w:r>
              <w:t>Moderate AUC discrimination</w:t>
            </w:r>
          </w:p>
        </w:tc>
        <w:tc>
          <w:tcPr>
            <w:tcW w:type="dxa" w:w="1234"/>
          </w:tcPr>
          <w:p>
            <w:r>
              <w:t>Few classifiers; imbalance untreated</w:t>
            </w:r>
          </w:p>
        </w:tc>
      </w:tr>
      <w:tr>
        <w:tc>
          <w:tcPr>
            <w:tcW w:type="dxa" w:w="1234"/>
          </w:tcPr>
          <w:p>
            <w:r>
              <w:t>Cheong [29]</w:t>
            </w:r>
          </w:p>
        </w:tc>
        <w:tc>
          <w:tcPr>
            <w:tcW w:type="dxa" w:w="1234"/>
          </w:tcPr>
          <w:p>
            <w:r>
              <w:t>2022</w:t>
            </w:r>
          </w:p>
        </w:tc>
        <w:tc>
          <w:tcPr>
            <w:tcW w:type="dxa" w:w="1234"/>
          </w:tcPr>
          <w:p>
            <w:r>
              <w:t>Corporate accounts receivable</w:t>
            </w:r>
          </w:p>
        </w:tc>
        <w:tc>
          <w:tcPr>
            <w:tcW w:type="dxa" w:w="1234"/>
          </w:tcPr>
          <w:p>
            <w:r>
              <w:t>Customer-level gradient boosting</w:t>
            </w:r>
          </w:p>
        </w:tc>
        <w:tc>
          <w:tcPr>
            <w:tcW w:type="dxa" w:w="1234"/>
          </w:tcPr>
          <w:p>
            <w:r>
              <w:t>Customer payment history, segmentation</w:t>
            </w:r>
          </w:p>
        </w:tc>
        <w:tc>
          <w:tcPr>
            <w:tcW w:type="dxa" w:w="1234"/>
          </w:tcPr>
          <w:p>
            <w:r>
              <w:t>Reduction in unnecessary interventions</w:t>
            </w:r>
          </w:p>
        </w:tc>
        <w:tc>
          <w:tcPr>
            <w:tcW w:type="dxa" w:w="1234"/>
          </w:tcPr>
          <w:p>
            <w:r>
              <w:t>Customer aggregation; no line-item detail</w:t>
            </w:r>
          </w:p>
        </w:tc>
      </w:tr>
      <w:tr>
        <w:tc>
          <w:tcPr>
            <w:tcW w:type="dxa" w:w="1234"/>
          </w:tcPr>
          <w:p>
            <w:r>
              <w:t>Appel et al. [28]</w:t>
            </w:r>
          </w:p>
        </w:tc>
        <w:tc>
          <w:tcPr>
            <w:tcW w:type="dxa" w:w="1234"/>
          </w:tcPr>
          <w:p>
            <w:r>
              <w:t>2021</w:t>
            </w:r>
          </w:p>
        </w:tc>
        <w:tc>
          <w:tcPr>
            <w:tcW w:type="dxa" w:w="1234"/>
          </w:tcPr>
          <w:p>
            <w:r>
              <w:t>Corporate accounts receivable</w:t>
            </w:r>
          </w:p>
        </w:tc>
        <w:tc>
          <w:tcPr>
            <w:tcW w:type="dxa" w:w="1234"/>
          </w:tcPr>
          <w:p>
            <w:r>
              <w:t>Supervised ML on transaction histories</w:t>
            </w:r>
          </w:p>
        </w:tc>
        <w:tc>
          <w:tcPr>
            <w:tcW w:type="dxa" w:w="1234"/>
          </w:tcPr>
          <w:p>
            <w:r>
              <w:t>Transaction history, customer segmentation</w:t>
            </w:r>
          </w:p>
        </w:tc>
        <w:tc>
          <w:tcPr>
            <w:tcW w:type="dxa" w:w="1234"/>
          </w:tcPr>
          <w:p>
            <w:r>
              <w:t>Precision on overdue-account detection</w:t>
            </w:r>
          </w:p>
        </w:tc>
        <w:tc>
          <w:tcPr>
            <w:tcW w:type="dxa" w:w="1234"/>
          </w:tcPr>
          <w:p>
            <w:r>
              <w:t>Corporate context; binary target</w:t>
            </w:r>
          </w:p>
        </w:tc>
      </w:tr>
      <w:tr>
        <w:tc>
          <w:tcPr>
            <w:tcW w:type="dxa" w:w="1234"/>
          </w:tcPr>
          <w:p>
            <w:r>
              <w:t>Thuy et al. [20]</w:t>
            </w:r>
          </w:p>
        </w:tc>
        <w:tc>
          <w:tcPr>
            <w:tcW w:type="dxa" w:w="1234"/>
          </w:tcPr>
          <w:p>
            <w:r>
              <w:t>2025</w:t>
            </w:r>
          </w:p>
        </w:tc>
        <w:tc>
          <w:tcPr>
            <w:tcW w:type="dxa" w:w="1234"/>
          </w:tcPr>
          <w:p>
            <w:r>
              <w:t>Student credit scoring (Vietnam)</w:t>
            </w:r>
          </w:p>
        </w:tc>
        <w:tc>
          <w:tcPr>
            <w:tcW w:type="dxa" w:w="1234"/>
          </w:tcPr>
          <w:p>
            <w:r>
              <w:t>ML vs. deep learning comparison</w:t>
            </w:r>
          </w:p>
        </w:tc>
        <w:tc>
          <w:tcPr>
            <w:tcW w:type="dxa" w:w="1234"/>
          </w:tcPr>
          <w:p>
            <w:r>
              <w:t>Academic, demographic, financial features</w:t>
            </w:r>
          </w:p>
        </w:tc>
        <w:tc>
          <w:tcPr>
            <w:tcW w:type="dxa" w:w="1234"/>
          </w:tcPr>
          <w:p>
            <w:r>
              <w:t>ML ensembles competitive with deep learning</w:t>
            </w:r>
          </w:p>
        </w:tc>
        <w:tc>
          <w:tcPr>
            <w:tcW w:type="dxa" w:w="1234"/>
          </w:tcPr>
          <w:p>
            <w:r>
              <w:t>Credit scoring, not invoice-level prediction</w:t>
            </w:r>
          </w:p>
        </w:tc>
      </w:tr>
      <w:tr>
        <w:tc>
          <w:tcPr>
            <w:tcW w:type="dxa" w:w="1234"/>
          </w:tcPr>
          <w:p>
            <w:r>
              <w:t>Abbas &amp; Hussein [12]</w:t>
            </w:r>
          </w:p>
        </w:tc>
        <w:tc>
          <w:tcPr>
            <w:tcW w:type="dxa" w:w="1234"/>
          </w:tcPr>
          <w:p>
            <w:r>
              <w:t>2024</w:t>
            </w:r>
          </w:p>
        </w:tc>
        <w:tc>
          <w:tcPr>
            <w:tcW w:type="dxa" w:w="1234"/>
          </w:tcPr>
          <w:p>
            <w:r>
              <w:t>Consumer loan default</w:t>
            </w:r>
          </w:p>
        </w:tc>
        <w:tc>
          <w:tcPr>
            <w:tcW w:type="dxa" w:w="1234"/>
          </w:tcPr>
          <w:p>
            <w:r>
              <w:t>XGBoost, LightGBM</w:t>
            </w:r>
          </w:p>
        </w:tc>
        <w:tc>
          <w:tcPr>
            <w:tcW w:type="dxa" w:w="1234"/>
          </w:tcPr>
          <w:p>
            <w:r>
              <w:t>Borrower financial attributes</w:t>
            </w:r>
          </w:p>
        </w:tc>
        <w:tc>
          <w:tcPr>
            <w:tcW w:type="dxa" w:w="1234"/>
          </w:tcPr>
          <w:p>
            <w:r>
              <w:t>Boosting outperforms statistical baselines</w:t>
            </w:r>
          </w:p>
        </w:tc>
        <w:tc>
          <w:tcPr>
            <w:tcW w:type="dxa" w:w="1234"/>
          </w:tcPr>
          <w:p>
            <w:r>
              <w:t>Default prediction; no payment-delay granularity</w:t>
            </w:r>
          </w:p>
        </w:tc>
      </w:tr>
    </w:tbl>
    <w:p>
      <w:pPr>
        <w:pStyle w:val="ThesisParagraphText"/>
      </w:pPr>
      <w:r>
        <w:t>Four patterns emerge from Table 2.2. First, tree-based ensembles and boosting algorithms are the consistent performance leaders across every domain in which they were tested, displacing both classical statistical models and, in the most recent comparison [20],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[30]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555C201D" w14:textId="3D60433E" w:rsidR="00B66C9B" w:rsidRPr="00FD0F64" w:rsidRDefault="00B046CE" w:rsidP="002C3DB6">
      <w:pPr>
        <w:pStyle w:val="Heading2"/>
      </w:pPr>
      <w:r>
        <w:t>2.14 Theoretical Framework</w:t>
      </w:r>
    </w:p>
    <w:p>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67A2B76E" w14:textId="03E8FF55" w:rsidR="002C3DB6" w:rsidRPr="00FD0F64" w:rsidRDefault="00DB6188" w:rsidP="00DB6188">
      <w:pPr>
        <w:pStyle w:val="Caption"/>
      </w:pPr>
      <w:r>
        <w:t>Figure 2.1: Conceptual Framework.</w:t>
      </w:r>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[36] provides the foundation for data flow and preprocessing [1, 2]. Second, the Predictive Analytics and Machine Learning Paradigm (PA-MLP) supports the modeling stage [1, 2]. Third, Decision Support Systems (DSS) Theory [37, 38] justifies the analysis and interface components. Finally, Receivables Management Theory (RMT) [10, 39, 40]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pPr>
        <w:pStyle w:val="Heading2"/>
      </w:pPr>
      <w:r>
        <w:t>3.1 Research Design</w:t>
      </w:r>
    </w:p>
    <w:p w14:paraId="1A0E09DC" w14:textId="77A9CEB0"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[24].</w:t>
      </w:r>
    </w:p>
    <w:p>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57A3CB09" w14:textId="3BD3FE3C" w:rsidR="007B369A" w:rsidRPr="00FD0F64" w:rsidRDefault="007B369A" w:rsidP="007B369A">
      <w:pPr>
        <w:pStyle w:val="Heading2"/>
      </w:pPr>
      <w:r>
        <w:t>3.2 Data Acquisition and Preprocessing</w:t>
      </w:r>
    </w:p>
    <w:p w14:paraId="3A687D8B" w14:textId="4674E123"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6FDF1562" w14:textId="300199C6"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2C8ADA50" w14:textId="1E3B001F"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CF438CA" w14:textId="76ABE279" w:rsidR="0081578F" w:rsidRDefault="0081578F" w:rsidP="0081578F">
      <w:pPr>
        <w:pStyle w:val="Caption"/>
      </w:pPr>
      <w:r>
        <w:t>Figure 3.1: Entity-relationship diagram (ERD) of the institutional dataset.</w:t>
      </w:r>
    </w:p>
    <w:p>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7766B07C" w14:textId="77777777" w:rsidR="0081578F" w:rsidRPr="0081578F" w:rsidRDefault="0081578F" w:rsidP="0081578F"/>
    <w:bookmarkEnd w:id="57"/>
    <w:p>
      <w:pPr>
        <w:pStyle w:val="ThesisParagraphText"/>
      </w:pPr>
      <w:r>
        <w:t>Figure 3.2 presents the Level-1 data flow diagram (DFD) of the pre-processing component, which transforms the three raw institutional exports into the analysis-ready credit sales dataset.</w:t>
      </w:r>
    </w:p>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r>
        <w:t>Figure 3.2: Level-1 DFD of the Pre-Processing component.</w:t>
      </w:r>
    </w:p>
    <w:p>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pPr>
        <w:pStyle w:val="ThesisParagraphText"/>
      </w:pPr>
      <w:r>
        <w:t>Table 3.1 presents the data dictionary for the Transactions table, detailing each attribute's format and role in the preprocessing pipeline.</w:t>
      </w:r>
    </w:p>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 the central innovation of this study — while school_year and the pseudonymized student identifier allow behavioral features to be accumulated across a student's enrollment history.</w:t>
      </w:r>
    </w:p>
    <w:p>
      <w:pPr>
        <w:pStyle w:val="ThesisParagraphText"/>
      </w:pPr>
      <w:r>
        <w:t>Table 3.2 presents the data dictionary for the Categories table, detailing each attribute's format and role in the preprocessing pipeline.</w:t>
      </w:r>
    </w:p>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pPr>
        <w:pStyle w:val="ThesisParagraphText"/>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pPr>
        <w:pStyle w:val="ThesisParagraphText"/>
      </w:pPr>
      <w:r>
        <w:t>Table 3.3 presents the data dictionary for the Credit Sales Fact Table, the consolidated analysis-ready view produced by the preprocessing pipeline.</w:t>
      </w:r>
    </w:p>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r>
        <w:t>3.3 Granular Feature Engineering</w:t>
      </w:r>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r>
        <w:t>3.4 Survival-Analysis-Derived Features</w:t>
      </w:r>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r>
        <w:t>3.5 Model Architectures</w:t>
      </w:r>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[9]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pPr>
        <w:pStyle w:val="ThesisParagraphText"/>
      </w:pPr>
      <w:r>
        <w:t>Figure 3.3 presents the Level-1 DFD of the modelling component, covering class balancing, model training, and hyperparameter search across the three model families.</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r>
        <w:t>Figure 3.3: Level-1 DFD of the Modelling component.</w:t>
      </w:r>
    </w:p>
    <w:p>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pPr>
        <w:pStyle w:val="ThesisParagraphText"/>
      </w:pPr>
      <w:r>
        <w:t>The following table presents the hyperparameter grid searched for the base classifier configurations.</w:t>
      </w:r>
    </w:p>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[24]; and the XGBoost grid was additionally shaped by GPU memory constraints, favoring moderate depth with subsampling over exhaustive expansion.</w:t>
      </w:r>
    </w:p>
    <w:p>
      <w:pPr>
        <w:pStyle w:val="ThesisParagraphText"/>
      </w:pPr>
      <w:r>
        <w:t>The following table presents the hyperparameter grid searched for the ordinal classifier configurations.</w:t>
      </w:r>
    </w:p>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pPr>
        <w:pStyle w:val="ThesisParagraphText"/>
      </w:pPr>
      <w:r>
        <w:t>The following table presents the hyperparameter grids searched for the two-stage model configurations, covering both the binary first stage and the multi-class second stage.</w:t>
      </w:r>
    </w:p>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18AA3110"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pPr>
        <w:pStyle w:val="ThesisParagraphText"/>
      </w:pPr>
      <w:r>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r>
        <w:t>3.6 Experimental Design and Evaluation</w:t>
      </w:r>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pPr>
        <w:pStyle w:val="ThesisParagraphText"/>
      </w:pPr>
      <w:r>
        <w:t>Figure 3.4 illustrates the distribution of the four payment brackets across the 6,527 training records used in this study.</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r>
        <w:t>Figure 3.4: Distribution of payment statuses.</w:t>
      </w:r>
    </w:p>
    <w:p>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[41], Borderline-SMOTE [42], SMOTE-Tomek [43], and threshold-based hybrid undersampling — and that motivates macro-averaged F1, which weights all four classes equally, as the primary evaluation metric, consistent with standard practice in imbalanced classification [44].</w:t>
      </w:r>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r>
        <w:t>Figure 3.5: Level-1 DFD of the Analysis component.</w:t>
      </w:r>
    </w:p>
    <w:p>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pPr>
        <w:pStyle w:val="Heading2"/>
      </w:pPr>
      <w:r>
        <w:t>3.7 Ethical Considerations</w:t>
      </w:r>
    </w:p>
    <w:p>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pPr>
        <w:pStyle w:val="Heading3"/>
      </w:pPr>
      <w:r>
        <w:t>3.7.1 Data Privacy</w:t>
      </w:r>
    </w:p>
    <w:p>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[46],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pPr>
        <w:pStyle w:val="Heading3"/>
      </w:pPr>
      <w:r>
        <w:t>3.7.2 Ethical Use of Predictions</w:t>
      </w:r>
    </w:p>
    <w:p>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[7],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56DF4E3D" w14:textId="31B2FF81" w:rsidR="00C60A0D" w:rsidRPr="00FD0F64" w:rsidRDefault="00A61B0A" w:rsidP="009E2EBD">
      <w:pPr>
        <w:pStyle w:val="Heading2"/>
      </w:pPr>
      <w:r>
        <w:t>4.1 RQ1 — Performance of Ensemble Architectures vs. Base Classifiers</w:t>
      </w:r>
    </w:p>
    <w:p>
      <w:pPr>
        <w:pStyle w:val="ThesisParagraphText"/>
      </w:pPr>
      <w:r>
        <w:t>Table 4.1 presents the peak macro-F1 and ROC-AUC scores for each model family under the enhanced feature regime, identifying the best individual model and resampling strategy per family.</w:t>
      </w:r>
    </w:p>
    <w:p w14:paraId="2CD1ACA3" w14:textId="4ADAA9D1" w:rsidR="006E4711" w:rsidRPr="00FD0F64" w:rsidRDefault="009E2EBD" w:rsidP="009279BE">
      <w:pPr>
        <w:pStyle w:val="Caption"/>
        <w:spacing w:before="120"/>
        <w:ind w:firstLine="0"/>
        <w:jc w:val="center"/>
        <w:rPr>
          <w:b/>
          <w:bCs/>
        </w:rPr>
      </w:pPr>
      <w:r w:rsidRPr="00FD0F64">
        <w:rPr>
          <w:b/>
          <w:bCs/>
        </w:rPr>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r>
        <w:t>Figure 4.1: Ordinal &amp; Two-Stage Variants vs. Base Classifiers (lift in F1 and AUC metrics).</w:t>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pPr>
        <w:pStyle w:val="Heading2"/>
      </w:pPr>
      <w:r>
        <w:t>4.2 RQ2 — Impact of Survival-Analysis-Derived Features</w:t>
      </w: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7051C6A1" w14:textId="6E3EDDAA" w:rsidR="005F23C8" w:rsidRDefault="008C7907" w:rsidP="005C54DC">
      <w:pPr>
        <w:pStyle w:val="Heading2"/>
      </w:pPr>
      <w:r>
        <w:t>4.3 RQ3 — Effect of Class-Balancing Strategies on Model Performance</w:t>
      </w:r>
    </w:p>
    <w:p>
      <w:pPr>
        <w:pStyle w:val="ThesisParagraphText"/>
      </w:pPr>
      <w:r>
        <w:t>Figure 4.2 presents macro-F1 distributions across all model types and balancing strategies under the enhanced feature regime.</w:t>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r>
        <w:t>Figure 4.2: F1 Macro by Model &amp; Balance Strategy (enhanced features).</w:t>
      </w:r>
    </w:p>
    <w:p>
      <w:pPr>
        <w:pStyle w:val="ThesisParagraphText"/>
      </w:pPr>
      <w:r>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 strategy selection matters most for precisely the models least able to compensate internally.</w:t>
      </w:r>
    </w:p>
    <w:p w14:paraId="0038DAAF" w14:textId="77777777" w:rsidR="007449D1" w:rsidRPr="007449D1" w:rsidRDefault="007449D1" w:rsidP="003C0AEA">
      <w:pPr>
        <w:ind w:firstLine="0"/>
      </w:pPr>
    </w:p>
    <w:p>
      <w:pPr>
        <w:pStyle w:val="ThesisParagraphText"/>
      </w:pPr>
      <w:r>
        <w:t>Figure 4.3 presents ROC-AUC distributions across all model types and balancing strategies under the enhanced feature regime.</w:t>
      </w: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r>
        <w:t>Figure 4.3: AUC Macro by Model &amp; Balance Strategy (enhanced features).</w:t>
      </w:r>
    </w:p>
    <w:p>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300EC5AA" w14:textId="77777777" w:rsidR="00C250D5" w:rsidRPr="00FD0F64" w:rsidRDefault="00C250D5" w:rsidP="00EB1BF6">
      <w:pPr>
        <w:pStyle w:val="ThesisParagraphText"/>
        <w:ind w:firstLine="0"/>
      </w:pPr>
    </w:p>
    <w:p>
      <w:pPr>
        <w:pStyle w:val="ThesisParagraphText"/>
      </w:pPr>
      <w:r>
        <w:t>Figure 4.4 presents macro-F1 distributions by model and balancing strategy under the baseline feature regime, that is, without the five survival-analysis-derived features.</w:t>
      </w: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r>
        <w:t>Figure 4.4: F1 Macro by Model &amp; Balance Strategy (baseline features).</w:t>
      </w:r>
    </w:p>
    <w:p>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Borderline-SMOTE leads in both — indicating that resampling choice and feature regime act as largely independent levers.</w:t>
      </w:r>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01D3AF48" w14:textId="7369323A" w:rsidR="00A174DA" w:rsidRDefault="00A174DA" w:rsidP="00437D43">
      <w:pPr>
        <w:ind w:firstLine="0"/>
      </w:pPr>
    </w:p>
    <w:p w14:paraId="3F23B96A" w14:textId="11343088" w:rsidR="00550E91" w:rsidRPr="00FD0F64" w:rsidRDefault="00550E91" w:rsidP="005C54DC">
      <w:pPr>
        <w:pStyle w:val="Heading2"/>
      </w:pPr>
      <w:r>
        <w:t>4.4 Metric Convergence and Model Selection Criteria</w:t>
      </w:r>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pPr>
        <w:pStyle w:val="ThesisParagraphText"/>
      </w:pPr>
      <w:r>
        <w:t>Figure 4.7 presents ROC curves for the top-performing models, plotting the trade-off between true positive rate and false positive rate across classification thresholds.</w:t>
      </w: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r>
        <w:t>Figure 4.7: ROC Curves for Top Models.</w:t>
      </w:r>
    </w:p>
    <w:p>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525EE84C" w14:textId="77777777" w:rsidR="00A174DA" w:rsidRPr="00A174DA" w:rsidRDefault="00A174DA" w:rsidP="00A174DA"/>
    <w:p>
      <w:pPr>
        <w:pStyle w:val="ThesisParagraphText"/>
      </w:pPr>
      <w:r>
        <w:t>Figure 4.8 presents the confusion matrices of the top three models, detailing classification performance per payment bracket.</w:t>
      </w:r>
    </w:p>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r>
        <w:t>Figure 4.8: Confusion Matrices for Top 3 Models.</w:t>
      </w:r>
    </w:p>
    <w:p>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 misclassifications land one bracket away rather than at the opposite extreme — which moderates their operational cost, since an invoice flagged one bracket early still receives an intervention.</w:t>
      </w:r>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pPr>
        <w:pStyle w:val="Heading2"/>
      </w:pPr>
      <w:r>
        <w:t>4.5 RQ4 — Granular Feature Contribution</w:t>
      </w:r>
    </w:p>
    <w:p>
      <w:pPr>
        <w:pStyle w:val="ThesisParagraphText"/>
      </w:pPr>
      <w:r>
        <w:t>Figures 4.5 and 4.6 present feature importance scores aggregated across model types, revealing which variables most consistently drive payment bracket predictions.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r>
        <w:t>Figure 4.5: Feature Importance across Model Types (1 of 2).</w:t>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r>
        <w:t>Figure 4.6: Feature Importance across Model Types (2 of 2).</w:t>
      </w:r>
    </w:p>
    <w:p>
      <w:pPr>
        <w:pStyle w:val="ThesisParagraphText"/>
      </w:pPr>
      <w:r>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pPr>
        <w:pStyle w:val="Heading2"/>
      </w:pPr>
      <w:r>
        <w:t>4.6 Prototype Demonstration</w:t>
      </w:r>
    </w:p>
    <w:p>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pPr>
        <w:pStyle w:val="ThesisParagraphText"/>
      </w:pPr>
      <w:r>
        <w:t>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is the deployed model and what does the receivables mix look like — at a glance.</w:t>
      </w:r>
    </w:p>
    <w:p>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invoice_date, due_date, amount, customer_id, and paid_date — onto the input schema expected by the feature engineering pipeline. At present only the proprietary three-file institutional schema is supported; the adapter and additional data source integrations are planned for future development (Section 5.4).</w:t>
      </w:r>
    </w:p>
    <w:p>
      <w:pPr>
        <w:pStyle w:val="Heading2"/>
      </w:pPr>
      <w:r>
        <w:t>4.7 Benchmark Dataset Generalizability</w:t>
      </w:r>
    </w:p>
    <w:p>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t>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pPr>
        <w:pStyle w:val="Heading2"/>
      </w:pPr>
      <w:r>
        <w:t>5.5 Conclusion</w:t>
      </w:r>
    </w:p>
    <w:p>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pPr>
        <w:pStyle w:val="ThesisParagraphText"/>
      </w:pPr>
      <w:r>
        <w:t>Beyond the single institution, the contribution is methodological. The study leaves behind a replicable benchmarking framework — a factorial protocol over model families, balancing strategies, and feature regimes, with every experiment logged to a queryable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04BBF618" w14:textId="02D211BA" w:rsidR="004454FE" w:rsidRPr="00FD0F64" w:rsidRDefault="00B747E8" w:rsidP="00BB6FF6">
      <w:pPr>
        <w:pStyle w:val="Heading2"/>
      </w:pPr>
      <w:bookmarkStart w:id="128" w:name="_Toc229345161"/>
      <w:r w:rsidRPr="00FD0F64">
        <w:t>APPENDIX B: Days Sales Outstanding per Plan Type (calendar year 2024)</w:t>
      </w:r>
      <w:bookmarkEnd w:id="128"/>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Style w:val="Heading2"/>
      </w:pPr>
      <w:bookmarkStart w:id="129" w:name="_Toc229345162"/>
      <w:r w:rsidRPr="00FD0F64">
        <w:lastRenderedPageBreak/>
        <w:t>APPENDIX C: Days Sales Outstanding per Plan Type (calendar year 2025)</w:t>
      </w:r>
      <w:bookmarkEnd w:id="129"/>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75C01F0F" w14:textId="515A54A2" w:rsidR="00920644" w:rsidRPr="00FD0F64" w:rsidRDefault="001F7C5A" w:rsidP="00BB6FF6">
      <w:pPr>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rsidRPr="00FD0F64">
        <w:t>[1] L. Breiman. 2001. Random forests. Machine Learning 45, 1 (2001), 5-32. https://doi.org/10.1023/A:1010933404324</w:t>
      </w:r>
    </w:p>
    <w:p w14:paraId="53444A93" w14:textId="3206FC92" w:rsidR="00697D1A" w:rsidRPr="00FD0F64" w:rsidRDefault="00697D1A" w:rsidP="00BB6FF6">
      <w:pPr>
        <w:suppressLineNumbers/>
        <w:ind w:hanging="720"/>
      </w:pPr>
      <w:r w:rsidRPr="00FD0F64">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rsidRPr="00FD0F64">
        <w:t xml:space="preserve">[3] K. Mugorobin, S. Kusrini, S. </w:t>
      </w:r>
      <w:proofErr w:type="spellStart"/>
      <w:r w:rsidRPr="00FD0F64">
        <w:t>Rokhmah</w:t>
      </w:r>
      <w:proofErr w:type="spellEnd"/>
      <w:r w:rsidRPr="00FD0F64">
        <w:t xml:space="preserve">, and I. </w:t>
      </w:r>
      <w:proofErr w:type="spellStart"/>
      <w:r w:rsidRPr="00FD0F64">
        <w:t>Muslibah</w:t>
      </w:r>
      <w:proofErr w:type="spellEnd"/>
      <w:r w:rsidRPr="00FD0F64">
        <w:t>.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rsidRPr="00FD0F64">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rsidRPr="00FD0F64">
        <w:t>[5] M. Martikainen. 2023. Predicting late payment of sales invoices with statistical learning methods. Lappeenranta-Lahti University of Technology LUT, School of Engineering Science: Computational Engineering.</w:t>
      </w:r>
    </w:p>
    <w:p w14:paraId="7C53C2D5" w14:textId="15CB7C1A" w:rsidR="00697D1A" w:rsidRPr="00FD0F64" w:rsidRDefault="00697D1A" w:rsidP="00BB6FF6">
      <w:pPr>
        <w:suppressLineNumbers/>
        <w:ind w:hanging="720"/>
      </w:pPr>
      <w:r w:rsidRPr="00FD0F64">
        <w:t>[6] A. M. Khedr and R. S. Sheeja. 2024. Enhancing supply chain management with deep learning and machine learning techniques: A review. Journal of Open Innovation: Technology, Market and Complexity (2024). https://doi.org/10.1016/j.joitmc.2024.100379</w:t>
      </w:r>
    </w:p>
    <w:p w14:paraId="557F4BE1" w14:textId="542237F1" w:rsidR="00697D1A" w:rsidRPr="00FD0F64" w:rsidRDefault="00697D1A" w:rsidP="00BB6FF6">
      <w:pPr>
        <w:suppressLineNumbers/>
        <w:ind w:hanging="720"/>
      </w:pPr>
      <w:r w:rsidRPr="00FD0F64">
        <w:t>[7] Republic of the Philippines. 2024. Republic Act No. 11984: An Act Providing for the Free College Entrance Examinations Act. (Also known as No Permit, No Exam Prohibition Act). Official Gazette of the Republic of the Philippines.</w:t>
      </w:r>
    </w:p>
    <w:p w14:paraId="77C18E75" w14:textId="26DC5B33" w:rsidR="00697D1A" w:rsidRPr="00FD0F64" w:rsidRDefault="00697D1A" w:rsidP="00BB6FF6">
      <w:pPr>
        <w:suppressLineNumbers/>
        <w:ind w:hanging="720"/>
      </w:pPr>
      <w:r w:rsidRPr="00FD0F64">
        <w:lastRenderedPageBreak/>
        <w:t>[8] L. Schoonbee, W. R. Moore, and J. H. van Vuuren. 2021. A machine-learning approach towards solving the invoice payment prediction problem. Journal of Computational Finance 14, 3 (2021), 101-118.</w:t>
      </w:r>
    </w:p>
    <w:p w14:paraId="59EAD232" w14:textId="581D9417" w:rsidR="00697D1A" w:rsidRPr="00FD0F64" w:rsidRDefault="00697D1A" w:rsidP="00BB6FF6">
      <w:pPr>
        <w:suppressLineNumbers/>
        <w:ind w:hanging="720"/>
      </w:pPr>
      <w:r w:rsidRPr="00FD0F64">
        <w:t>[9] E. Frank and M. Hall. 2001. A simple approach to ordinal classification. In Proceedings of the 12th European Conference on Machine Learning (ECML 2001), Lecture Notes in Computer Science 2167, 145-156. Springer. https://doi.org/10.1007/3-540-44795-4_13</w:t>
      </w:r>
    </w:p>
    <w:p w14:paraId="1C34632A" w14:textId="65F79CA3" w:rsidR="00697D1A" w:rsidRPr="00FD0F64" w:rsidRDefault="00697D1A" w:rsidP="00BB6FF6">
      <w:pPr>
        <w:suppressLineNumbers/>
        <w:ind w:hanging="720"/>
      </w:pPr>
      <w:r w:rsidRPr="00FD0F64">
        <w:t>[10] Y. Peng and G. Tian. 2021. Intelligent optimization model of enterprise financial account receivable management. International Journal of Management Science 18, 1 (2021), 112-128. https://doi.org/10.1155/2024/4961081</w:t>
      </w:r>
    </w:p>
    <w:p w14:paraId="75A234EF" w14:textId="4BC7651C" w:rsidR="00697D1A" w:rsidRPr="00FD0F64" w:rsidRDefault="00697D1A" w:rsidP="00BB6FF6">
      <w:pPr>
        <w:suppressLineNumbers/>
        <w:ind w:hanging="720"/>
      </w:pPr>
      <w:r w:rsidRPr="00FD0F64">
        <w:t>[11] M. Ramkumar and R. Karthick. 2023. Finance forecasting using machine learning: A data-driven approach. International Journal of Data Science and Machine Learning 4, 2 (2023), 540-558.</w:t>
      </w:r>
    </w:p>
    <w:p w14:paraId="23FEBA53" w14:textId="26F2B9CD" w:rsidR="00697D1A" w:rsidRPr="00FD0F64" w:rsidRDefault="00697D1A" w:rsidP="00BB6FF6">
      <w:pPr>
        <w:suppressLineNumbers/>
        <w:ind w:hanging="720"/>
      </w:pPr>
      <w:r w:rsidRPr="00FD0F64">
        <w:t>[12] A. Abbas and A. Hussein. 2024. Data-driven loan default prediction: A machine learning approach. Systems 13, 7 (2024), 581. MDPI. https://doi.org/10.3390/systems13070581</w:t>
      </w:r>
    </w:p>
    <w:p w14:paraId="47BC284C" w14:textId="347FFE3F" w:rsidR="00697D1A" w:rsidRPr="00FD0F64" w:rsidRDefault="00697D1A" w:rsidP="00BB6FF6">
      <w:pPr>
        <w:suppressLineNumbers/>
        <w:ind w:hanging="720"/>
      </w:pPr>
      <w:r w:rsidRPr="00FD0F64">
        <w:t>[13] Respicio &amp; Co. Law. 2025. No permit, no exam policy for unpaid tuition in Philippine schools. Respicio.ph.</w:t>
      </w:r>
    </w:p>
    <w:p w14:paraId="200FA085" w14:textId="0C806A0A" w:rsidR="00697D1A" w:rsidRPr="00FD0F64" w:rsidRDefault="00697D1A" w:rsidP="00BB6FF6">
      <w:pPr>
        <w:suppressLineNumbers/>
        <w:ind w:hanging="720"/>
      </w:pPr>
      <w:r w:rsidRPr="00FD0F64">
        <w:t>[14] R. Mestry. 2020. The effective and efficient management of school fees. South African Journal of Education 40, 4 (2020).</w:t>
      </w:r>
    </w:p>
    <w:p w14:paraId="6760EB9A" w14:textId="406AED60" w:rsidR="00697D1A" w:rsidRPr="00FD0F64" w:rsidRDefault="00697D1A" w:rsidP="00BB6FF6">
      <w:pPr>
        <w:suppressLineNumbers/>
        <w:ind w:hanging="720"/>
      </w:pPr>
      <w:r w:rsidRPr="00FD0F64">
        <w:t>[15] I. Naicker. 2020. Responding to school funding challenges in no-fee and fee-paying schools: Lessons from South African principals. South African Journal of Education 40, 1 (2020).</w:t>
      </w:r>
    </w:p>
    <w:p w14:paraId="5A9305F7" w14:textId="62A72F43" w:rsidR="00697D1A" w:rsidRPr="00FD0F64" w:rsidRDefault="00697D1A" w:rsidP="00BB6FF6">
      <w:pPr>
        <w:suppressLineNumbers/>
        <w:ind w:hanging="720"/>
      </w:pPr>
      <w:r w:rsidRPr="00FD0F64">
        <w:t>[16] Education Policy and Data Center. 2012. School fees in South Africa (Case study). EPDC.</w:t>
      </w:r>
    </w:p>
    <w:p w14:paraId="487E0E12" w14:textId="3DEB9833" w:rsidR="00697D1A" w:rsidRPr="00FD0F64" w:rsidRDefault="00697D1A" w:rsidP="00BB6FF6">
      <w:pPr>
        <w:suppressLineNumbers/>
        <w:ind w:hanging="720"/>
      </w:pPr>
      <w:r w:rsidRPr="00FD0F64">
        <w:lastRenderedPageBreak/>
        <w:t>[17] MRI Software TPN Credit Bureau. 2024. The legal consequences of unpaid school fees in South Africa. MRI Software TPN.</w:t>
      </w:r>
    </w:p>
    <w:p w14:paraId="2B093E39" w14:textId="7DFC83D9" w:rsidR="00697D1A" w:rsidRPr="00FD0F64" w:rsidRDefault="00697D1A" w:rsidP="00BB6FF6">
      <w:pPr>
        <w:suppressLineNumbers/>
        <w:ind w:hanging="720"/>
      </w:pPr>
      <w:r w:rsidRPr="00FD0F64">
        <w:t>[18] The Associated Press. 2024. Parents in Africa struggle with unpredictable school fees that force children to drop out. Associated Press.</w:t>
      </w:r>
    </w:p>
    <w:p w14:paraId="7C2EA0E4" w14:textId="6316E37D" w:rsidR="00697D1A" w:rsidRPr="00FD0F64" w:rsidRDefault="00697D1A" w:rsidP="00BB6FF6">
      <w:pPr>
        <w:suppressLineNumbers/>
        <w:ind w:hanging="720"/>
      </w:pPr>
      <w:r w:rsidRPr="00FD0F64">
        <w:t>[19] World Bank. 2024. Urgent education reform key to unlocking faster, more inclusive growth in Africa. World Bank.</w:t>
      </w:r>
    </w:p>
    <w:p w14:paraId="49B2B39E" w14:textId="59EBBF5B" w:rsidR="00697D1A" w:rsidRPr="00FD0F64" w:rsidRDefault="00697D1A" w:rsidP="00BB6FF6">
      <w:pPr>
        <w:suppressLineNumbers/>
        <w:ind w:hanging="720"/>
      </w:pPr>
      <w:r w:rsidRPr="00FD0F64">
        <w:t>[20] N.T.H. Thuy, N.T.V. Ha, N.N. Trung, V.T.T. Binh, N.T. Hang, and V.T. Binh. 2025. Comparing the effectiveness of machine learning and deep learning models in student credit scoring: A case study in Vietnam. Risks 13, 5 (2025), 99. https://doi.org/10.3390/risks13050099</w:t>
      </w:r>
    </w:p>
    <w:p w14:paraId="3AFD35CA" w14:textId="274BAC18" w:rsidR="00697D1A" w:rsidRPr="00FD0F64" w:rsidRDefault="00697D1A" w:rsidP="00BB6FF6">
      <w:pPr>
        <w:suppressLineNumbers/>
        <w:ind w:hanging="720"/>
      </w:pPr>
      <w:r w:rsidRPr="00FD0F64">
        <w:t xml:space="preserve">[21] W.C. Carvajal, C.M. Baltonado, M.G. </w:t>
      </w:r>
      <w:proofErr w:type="spellStart"/>
      <w:r w:rsidRPr="00FD0F64">
        <w:t>Gocela</w:t>
      </w:r>
      <w:proofErr w:type="spellEnd"/>
      <w:r w:rsidRPr="00FD0F64">
        <w:t xml:space="preserve">, L.J. </w:t>
      </w:r>
      <w:proofErr w:type="spellStart"/>
      <w:r w:rsidRPr="00FD0F64">
        <w:t>Pajes</w:t>
      </w:r>
      <w:proofErr w:type="spellEnd"/>
      <w:r w:rsidRPr="00FD0F64">
        <w:t xml:space="preserve">, A.J. Soliman, H. Bankas, C.K.F. </w:t>
      </w:r>
      <w:proofErr w:type="spellStart"/>
      <w:r w:rsidRPr="00FD0F64">
        <w:t>Lubon</w:t>
      </w:r>
      <w:proofErr w:type="spellEnd"/>
      <w:r w:rsidRPr="00FD0F64">
        <w:t>, and M.E. Albano. 2025. Level of financial literacy and debt management: Basis for personal financial management program. Psychology and Education: A Multidisciplinary Journal 41, 2 (2025), 206-215.</w:t>
      </w:r>
    </w:p>
    <w:p w14:paraId="2DC78B2E" w14:textId="29D496A7" w:rsidR="00697D1A" w:rsidRPr="00FD0F64" w:rsidRDefault="00697D1A" w:rsidP="00BB6FF6">
      <w:pPr>
        <w:suppressLineNumbers/>
        <w:ind w:hanging="720"/>
      </w:pPr>
      <w:r w:rsidRPr="00FD0F64">
        <w:t xml:space="preserve">[22] M.C.L. Mencias-Tabernilla. 2023. Exploring teachers' expenditure patterns and debt profile. </w:t>
      </w:r>
      <w:proofErr w:type="spellStart"/>
      <w:r w:rsidRPr="00FD0F64">
        <w:t>PhilArchive</w:t>
      </w:r>
      <w:proofErr w:type="spellEnd"/>
      <w:r w:rsidRPr="00FD0F64">
        <w:t>.</w:t>
      </w:r>
    </w:p>
    <w:p w14:paraId="56154FAE" w14:textId="7A4F9DF6" w:rsidR="00697D1A" w:rsidRPr="00FD0F64" w:rsidRDefault="00697D1A" w:rsidP="00BB6FF6">
      <w:pPr>
        <w:suppressLineNumbers/>
        <w:ind w:hanging="720"/>
      </w:pPr>
      <w:r w:rsidRPr="00FD0F64">
        <w:t xml:space="preserve">[23] Presidential Communications Office. 2024. PBBM signs "No Permit, No Exam Prohibition Act" allowing students with unpaid tuition fees to take </w:t>
      </w:r>
      <w:proofErr w:type="gramStart"/>
      <w:r w:rsidRPr="00FD0F64">
        <w:t>exam</w:t>
      </w:r>
      <w:proofErr w:type="gramEnd"/>
      <w:r w:rsidRPr="00FD0F64">
        <w:t>. PCO.</w:t>
      </w:r>
    </w:p>
    <w:p w14:paraId="04DEA856" w14:textId="34770AC3" w:rsidR="00697D1A" w:rsidRPr="00FD0F64" w:rsidRDefault="00697D1A" w:rsidP="00BB6FF6">
      <w:pPr>
        <w:suppressLineNumbers/>
        <w:ind w:hanging="720"/>
      </w:pPr>
      <w:r w:rsidRPr="00FD0F64">
        <w:t>[24] S. Lessmann, B. Baesens, H. V. Seow, and L. C. Thomas. 2015. Benchmarking state-of-the-art classification algorithms for credit scoring: An update of research. European Journal of Operational Research 247, 1 (2015), 124-136. https://doi.org/10.1016/j.ejor.2015.05.030</w:t>
      </w:r>
    </w:p>
    <w:p w14:paraId="4AB77FDB" w14:textId="3B228CA7" w:rsidR="00697D1A" w:rsidRPr="00FD0F64" w:rsidRDefault="00697D1A" w:rsidP="00BB6FF6">
      <w:pPr>
        <w:suppressLineNumbers/>
        <w:ind w:hanging="720"/>
      </w:pPr>
      <w:r w:rsidRPr="00FD0F64">
        <w:lastRenderedPageBreak/>
        <w:t xml:space="preserve">[25] B. Baesens, R. </w:t>
      </w:r>
      <w:proofErr w:type="spellStart"/>
      <w:r w:rsidRPr="00FD0F64">
        <w:t>Setiono</w:t>
      </w:r>
      <w:proofErr w:type="spellEnd"/>
      <w:r w:rsidRPr="00FD0F64">
        <w:t xml:space="preserve">, C. Mues, and J. </w:t>
      </w:r>
      <w:proofErr w:type="spellStart"/>
      <w:r w:rsidRPr="00FD0F64">
        <w:t>Vanthienen</w:t>
      </w:r>
      <w:proofErr w:type="spellEnd"/>
      <w:r w:rsidRPr="00FD0F64">
        <w:t>. 2003. Using neural network rule extraction and decision tables for credit-risk evaluation. Management Science 49, 3 (2003), 312-329.</w:t>
      </w:r>
    </w:p>
    <w:p w14:paraId="2447439C" w14:textId="73C5B5B7" w:rsidR="00697D1A" w:rsidRPr="00FD0F64" w:rsidRDefault="00697D1A" w:rsidP="00BB6FF6">
      <w:pPr>
        <w:suppressLineNumbers/>
        <w:ind w:hanging="720"/>
      </w:pPr>
      <w:r w:rsidRPr="00FD0F64">
        <w:t>[26] K. Xu, Y. Wu, Z. Li, R. Zhang, and Z. Feng. 2024. Investigating financial risk behavior prediction using deep learning and big data. International Journal of Innovative Research in Engineering and Management 11, 3 (2024).</w:t>
      </w:r>
    </w:p>
    <w:p w14:paraId="6B6D35FC" w14:textId="52EB9FDD" w:rsidR="00697D1A" w:rsidRPr="00FD0F64" w:rsidRDefault="00697D1A" w:rsidP="00BB6FF6">
      <w:pPr>
        <w:suppressLineNumbers/>
        <w:ind w:hanging="720"/>
      </w:pPr>
      <w:r w:rsidRPr="00FD0F64">
        <w:t>[27] C. F. Tsai, C. W. Huang, and C. W. Chen. 2017. Credit rating by hybrid machine learning techniques. Applied Soft Computing 26 (2017), 170-182.</w:t>
      </w:r>
    </w:p>
    <w:p w14:paraId="099FC92C" w14:textId="4F696B69" w:rsidR="00697D1A" w:rsidRPr="00FD0F64" w:rsidRDefault="00697D1A" w:rsidP="00BB6FF6">
      <w:pPr>
        <w:suppressLineNumbers/>
        <w:ind w:hanging="720"/>
      </w:pPr>
      <w:r w:rsidRPr="00FD0F64">
        <w:t>[28] A. P. Appel, G. L. Malfatti, R. Cunha, B. Lima, and R. de Paula. 2021. Predicting account receivables with machine learning. Journal of Financial Technology 10, 2 (2021), 88-102.</w:t>
      </w:r>
    </w:p>
    <w:p w14:paraId="4C7860E4" w14:textId="679828D5" w:rsidR="00697D1A" w:rsidRPr="00FD0F64" w:rsidRDefault="00697D1A" w:rsidP="00BB6FF6">
      <w:pPr>
        <w:suppressLineNumbers/>
        <w:ind w:hanging="720"/>
      </w:pPr>
      <w:r w:rsidRPr="00FD0F64">
        <w:t>[29] M. Cheong. 2022. Customer level predictive modeling for accounts receivable to reduce intervention actions. Journal of Business Analytics 15, 3 (2022), 45-60.</w:t>
      </w:r>
    </w:p>
    <w:p w14:paraId="7F27E670" w14:textId="51D80921" w:rsidR="00697D1A" w:rsidRPr="00FD0F64" w:rsidRDefault="00697D1A" w:rsidP="00BB6FF6">
      <w:pPr>
        <w:suppressLineNumbers/>
        <w:ind w:hanging="720"/>
      </w:pPr>
      <w:r w:rsidRPr="00FD0F64">
        <w:t>[30] X.-S. Wei, Q. Cui, L. Yang, P. Wang, L. Liu, and J. Yang. 2022. RPC: A large-scale and fine-grained retail product checkout dataset. Science China Information Sciences 65, 197101 (2022).</w:t>
      </w:r>
    </w:p>
    <w:p w14:paraId="4317B9ED" w14:textId="1DE3C4FD" w:rsidR="00697D1A" w:rsidRPr="00FD0F64" w:rsidRDefault="00697D1A" w:rsidP="00BB6FF6">
      <w:pPr>
        <w:suppressLineNumbers/>
        <w:ind w:hanging="720"/>
      </w:pPr>
      <w:r w:rsidRPr="00FD0F64">
        <w:t xml:space="preserve">[31] H. Voghouei, M. A. Jamali, and S. B. </w:t>
      </w:r>
      <w:proofErr w:type="spellStart"/>
      <w:r w:rsidRPr="00FD0F64">
        <w:t>Pormehr</w:t>
      </w:r>
      <w:proofErr w:type="spellEnd"/>
      <w:r w:rsidRPr="00FD0F64">
        <w:t>. 2020. The effect of political factors on financial development. IOSR Journal of Economics and Finance 11, 3 (2020), 41-55.</w:t>
      </w:r>
    </w:p>
    <w:p w14:paraId="624CECC7" w14:textId="6438C089" w:rsidR="00697D1A" w:rsidRPr="00FD0F64" w:rsidRDefault="00697D1A" w:rsidP="00BB6FF6">
      <w:pPr>
        <w:suppressLineNumbers/>
        <w:ind w:hanging="720"/>
      </w:pPr>
      <w:r w:rsidRPr="00FD0F64">
        <w:t>[32] Varthana. 2023. 5 Ways to Improve School Fee Collections. Varthana School Finance.</w:t>
      </w:r>
    </w:p>
    <w:p w14:paraId="61226234" w14:textId="5222C2B0" w:rsidR="00697D1A" w:rsidRPr="00FD0F64" w:rsidRDefault="00697D1A" w:rsidP="00BB6FF6">
      <w:pPr>
        <w:suppressLineNumbers/>
        <w:ind w:hanging="720"/>
      </w:pPr>
      <w:r w:rsidRPr="00FD0F64">
        <w:t xml:space="preserve">[33] </w:t>
      </w:r>
      <w:proofErr w:type="spellStart"/>
      <w:r w:rsidRPr="00FD0F64">
        <w:t>Finalsite</w:t>
      </w:r>
      <w:proofErr w:type="spellEnd"/>
      <w:r w:rsidRPr="00FD0F64">
        <w:t xml:space="preserve">. 2023. 5 Ways to Increase Your School's Tuition Collection Rates. </w:t>
      </w:r>
      <w:proofErr w:type="spellStart"/>
      <w:r w:rsidRPr="00FD0F64">
        <w:t>Finalsite</w:t>
      </w:r>
      <w:proofErr w:type="spellEnd"/>
      <w:r w:rsidRPr="00FD0F64">
        <w:t xml:space="preserve"> Blog.</w:t>
      </w:r>
    </w:p>
    <w:p w14:paraId="4775F0CD" w14:textId="1AF6D015" w:rsidR="00697D1A" w:rsidRPr="00FD0F64" w:rsidRDefault="00697D1A" w:rsidP="00BB6FF6">
      <w:pPr>
        <w:suppressLineNumbers/>
        <w:ind w:hanging="720"/>
      </w:pPr>
      <w:r w:rsidRPr="00FD0F64">
        <w:t>[34] Frontline Collections. 2024. Debt Collection in the Education Sector: Tuition Fee Recovery Strategies. Frontline Collections.</w:t>
      </w:r>
    </w:p>
    <w:p w14:paraId="316D7133" w14:textId="2E4884C3" w:rsidR="00697D1A" w:rsidRPr="00FD0F64" w:rsidRDefault="00697D1A" w:rsidP="00BB6FF6">
      <w:pPr>
        <w:suppressLineNumbers/>
        <w:ind w:hanging="720"/>
      </w:pPr>
      <w:r w:rsidRPr="00FD0F64">
        <w:lastRenderedPageBreak/>
        <w:t xml:space="preserve">[35] J. </w:t>
      </w:r>
      <w:proofErr w:type="spellStart"/>
      <w:r w:rsidRPr="00FD0F64">
        <w:t>Olamijuwon</w:t>
      </w:r>
      <w:proofErr w:type="spellEnd"/>
      <w:r w:rsidRPr="00FD0F64">
        <w:t xml:space="preserve"> and S. J. C. </w:t>
      </w:r>
      <w:proofErr w:type="spellStart"/>
      <w:r w:rsidRPr="00FD0F64">
        <w:t>Zouo</w:t>
      </w:r>
      <w:proofErr w:type="spellEnd"/>
      <w:r w:rsidRPr="00FD0F64">
        <w:t>. 2024. Machine learning in budget forecasting for corporate finance: A conceptual model for improving financial planning. Open Access Research Journal of Multidisciplinary Studies 8, 2 (2024).</w:t>
      </w:r>
    </w:p>
    <w:p w14:paraId="635F8C10" w14:textId="68A548F5" w:rsidR="00697D1A" w:rsidRPr="00FD0F64" w:rsidRDefault="00697D1A" w:rsidP="00BB6FF6">
      <w:pPr>
        <w:suppressLineNumbers/>
        <w:ind w:hanging="720"/>
      </w:pPr>
      <w:r w:rsidRPr="00FD0F64">
        <w:t xml:space="preserve">[36] I. Goldstein, A. </w:t>
      </w:r>
      <w:proofErr w:type="spellStart"/>
      <w:r w:rsidRPr="00FD0F64">
        <w:t>Ozdenoren</w:t>
      </w:r>
      <w:proofErr w:type="spellEnd"/>
      <w:r w:rsidRPr="00FD0F64">
        <w:t>, and K. Yuan. 2013. Trading frenzies and their impact on real investment. Journal of Financial Economics 109, 2 (2013), 566-582.</w:t>
      </w:r>
    </w:p>
    <w:p w14:paraId="3CBD2A0A" w14:textId="23BD4CA3" w:rsidR="00697D1A" w:rsidRPr="00FD0F64" w:rsidRDefault="00697D1A" w:rsidP="00BB6FF6">
      <w:pPr>
        <w:suppressLineNumbers/>
        <w:ind w:hanging="720"/>
      </w:pPr>
      <w:r w:rsidRPr="00FD0F64">
        <w:t xml:space="preserve">[37] </w:t>
      </w:r>
      <w:proofErr w:type="spellStart"/>
      <w:r w:rsidRPr="00FD0F64">
        <w:t>FasterCapital</w:t>
      </w:r>
      <w:proofErr w:type="spellEnd"/>
      <w:r w:rsidRPr="00FD0F64">
        <w:t xml:space="preserve">. 2023. Decision Support Systems: Empowering Financial Decisions with AI-Driven Support Systems. </w:t>
      </w:r>
      <w:proofErr w:type="spellStart"/>
      <w:r w:rsidRPr="00FD0F64">
        <w:t>FasterCapital</w:t>
      </w:r>
      <w:proofErr w:type="spellEnd"/>
      <w:r w:rsidRPr="00FD0F64">
        <w:t>.</w:t>
      </w:r>
    </w:p>
    <w:p w14:paraId="3F7ABDF9" w14:textId="3507A97C" w:rsidR="00697D1A" w:rsidRPr="00FD0F64" w:rsidRDefault="00697D1A" w:rsidP="00BB6FF6">
      <w:pPr>
        <w:suppressLineNumbers/>
        <w:ind w:hanging="720"/>
      </w:pPr>
      <w:r w:rsidRPr="00FD0F64">
        <w:t>[38] Caine &amp; Weiner. 2023. Accounts Receivable Management in Education: Key Aspects and Strategies. Caine &amp; Weiner.</w:t>
      </w:r>
    </w:p>
    <w:p w14:paraId="67271443" w14:textId="4832C353" w:rsidR="00697D1A" w:rsidRPr="00FD0F64" w:rsidRDefault="00697D1A" w:rsidP="00BB6FF6">
      <w:pPr>
        <w:suppressLineNumbers/>
        <w:ind w:hanging="720"/>
      </w:pPr>
      <w:r w:rsidRPr="00FD0F64">
        <w:t>[39] Higher Ed Dive. 2023. 3 Reasons Accounts Receivable Management in Higher Education Suffers -- and How to Fix It. Higher Ed Dive.</w:t>
      </w:r>
    </w:p>
    <w:p w14:paraId="1D9228A9" w14:textId="2425DD4A" w:rsidR="00697D1A" w:rsidRPr="00FD0F64" w:rsidRDefault="00697D1A" w:rsidP="00BB6FF6">
      <w:pPr>
        <w:suppressLineNumbers/>
        <w:ind w:hanging="720"/>
      </w:pPr>
      <w:r w:rsidRPr="00FD0F64">
        <w:t xml:space="preserve">[40] A. Caparros. 2023. Effects of Students Extracurricular Activities </w:t>
      </w:r>
      <w:proofErr w:type="gramStart"/>
      <w:r w:rsidRPr="00FD0F64">
        <w:t>to</w:t>
      </w:r>
      <w:proofErr w:type="gramEnd"/>
      <w:r w:rsidRPr="00FD0F64">
        <w:t xml:space="preserve"> Schools Internal Efficiency: Basis for School Improvement Management Plan. Psychology and Education: A Multidisciplinary Journal 7, 10 (2023), 1-1.</w:t>
      </w:r>
    </w:p>
    <w:p w14:paraId="13D59691" w14:textId="712F09F5" w:rsidR="00697D1A" w:rsidRPr="00FD0F64" w:rsidRDefault="00697D1A" w:rsidP="00BB6FF6">
      <w:pPr>
        <w:suppressLineNumbers/>
        <w:ind w:hanging="720"/>
      </w:pPr>
      <w:r w:rsidRPr="00FD0F64">
        <w:t>[41] O. Olawale Awe. Computational Strategies for Handling Imbalanced Data in Machine Learning.</w:t>
      </w:r>
    </w:p>
    <w:p w14:paraId="408FD7DF" w14:textId="02C1A16D" w:rsidR="00697D1A" w:rsidRPr="00FD0F64" w:rsidRDefault="00697D1A" w:rsidP="00BB6FF6">
      <w:pPr>
        <w:suppressLineNumbers/>
        <w:ind w:hanging="720"/>
      </w:pPr>
      <w:r w:rsidRPr="00FD0F64">
        <w:t>[42] 5 Effective Ways to Handle Imbalanced Data in Machine Learning. MachineLearningMastery.com.</w:t>
      </w:r>
    </w:p>
    <w:p w14:paraId="781661B4" w14:textId="69596EAF" w:rsidR="34B28536" w:rsidRPr="004223BA" w:rsidRDefault="00697D1A" w:rsidP="00BB6FF6">
      <w:pPr>
        <w:suppressLineNumbers/>
        <w:ind w:hanging="720"/>
      </w:pPr>
      <w:r w:rsidRPr="00FD0F64">
        <w:t xml:space="preserve">[43] Handling Imbalanced Data for Classification. </w:t>
      </w:r>
      <w:proofErr w:type="spellStart"/>
      <w:r w:rsidRPr="00FD0F64">
        <w:t>GeeksforGeeks</w:t>
      </w:r>
      <w:proofErr w:type="spellEnd"/>
      <w:r w:rsidRPr="00FD0F64">
        <w:t>.</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