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20000"/>
          <w:sz w:val="48"/>
        </w:rPr>
        <w:t>KI-GESTÜTZTER NACHHALTIGKEITSBERICHT</w:t>
      </w:r>
    </w:p>
    <w:p>
      <w:pPr>
        <w:jc w:val="center"/>
      </w:pPr>
      <w:r>
        <w:rPr>
          <w:b/>
          <w:color w:val="374148"/>
          <w:sz w:val="24"/>
        </w:rPr>
        <w:t>Zwischenstand · 12 Steuerungsbereiche · 30–60–90-Tage-Transfer</w:t>
      </w:r>
    </w:p>
    <w:p>
      <w:pPr>
        <w:jc w:val="center"/>
      </w:pPr>
      <w:r>
        <w:drawing>
          <wp:inline xmlns:a="http://schemas.openxmlformats.org/drawingml/2006/main" xmlns:pic="http://schemas.openxmlformats.org/drawingml/2006/picture">
            <wp:extent cx="9612000" cy="5409624"/>
            <wp:docPr id="1" name="Picture 1"/>
            <wp:cNvGraphicFramePr>
              <a:graphicFrameLocks noChangeAspect="1"/>
            </wp:cNvGraphicFramePr>
            <a:graphic>
              <a:graphicData uri="http://schemas.openxmlformats.org/drawingml/2006/picture">
                <pic:pic>
                  <pic:nvPicPr>
                    <pic:cNvPr id="0" name="exec-e99c1490-ef74-43cf-8388-cece665a5e20.png"/>
                    <pic:cNvPicPr/>
                  </pic:nvPicPr>
                  <pic:blipFill>
                    <a:blip r:embed="rId9"/>
                    <a:stretch>
                      <a:fillRect/>
                    </a:stretch>
                  </pic:blipFill>
                  <pic:spPr>
                    <a:xfrm>
                      <a:off x="0" y="0"/>
                      <a:ext cx="9612000" cy="5409624"/>
                    </a:xfrm>
                    <a:prstGeom prst="rect"/>
                  </pic:spPr>
                </pic:pic>
              </a:graphicData>
            </a:graphic>
          </wp:inline>
        </w:drawing>
      </w:r>
    </w:p>
    <w:p>
      <w:r>
        <w:br w:type="page"/>
      </w:r>
    </w:p>
    <w:p>
      <w:pPr>
        <w:pStyle w:val="Heading1"/>
      </w:pPr>
      <w:r>
        <w:t>Präsentationstext – ca. 2 bis 3 Minuten</w:t>
      </w:r>
    </w:p>
    <w:p>
      <w:pPr>
        <w:spacing w:after="140" w:line="259" w:lineRule="auto"/>
      </w:pPr>
      <w:r>
        <w:t>Meine Vision ist ein KI-gestützter Nachhaltigkeitsbericht, der Daten automatisiert aus den Banksystemen übernimmt, regulatorische Anforderungen aus verifizierten Quellen aktuell hält und einen nachvollziehbaren Berichtsentwurf erstellt. Damit adressiere ich ein konkretes Problem: Heute binden Datensilos, Medienbrüche und viele Abstimmungsschleifen zahlreiche Fachabteilungen und Führungskräfte. Gleichzeitig bleiben Prüfung, Nachweisführung und regulatorische Anpassungen anspruchsvoll.</w:t>
      </w:r>
    </w:p>
    <w:p>
      <w:pPr>
        <w:spacing w:after="140" w:line="259" w:lineRule="auto"/>
      </w:pPr>
      <w:r>
        <w:t>Was habe ich gemacht? Ich habe das Problem und das Zielbild geschärft, die relevanten Stakeholder und Risiken strukturiert und einen durchgängigen Prozess vom Datenzugriff bis zum prüfsicheren Bericht entwickelt. Dabei habe ich mich an zwölf Steuerungsbereichen orientiert: von Problem Framing, Teammodell und Priorisierung über Datenschutz, Tool- und Wissensarchitektur bis zu Workflow, Integration, Agentenlogik, Qualitätssicherung, Business Case und Governance.</w:t>
      </w:r>
    </w:p>
    <w:p>
      <w:pPr>
        <w:spacing w:after="140" w:line="259" w:lineRule="auto"/>
      </w:pPr>
      <w:r>
        <w:t>Wie habe ich es gemacht? Durch Dokumentenanalyse, Prozess- und Datenmapping, die Arbeit mit verifizierten Quellen sowie Prompt- und Agentendesign. Der rote Faden lautet: Datenquellen anbinden, Regeln übersetzen, einen KI-Entwurf erzeugen, Qualität prüfen und menschlich freigeben. QA-Gates kontrollieren Daten, Quellen, Regulatorik und Plausibilität. Human-in-the-Loop stellt sicher, dass Fachabteilungen, Vorstand und Kontrollorgane entscheiden und Verantwortung tragen. Die KI unterstützt – sie veröffentlicht nicht autonom.</w:t>
      </w:r>
    </w:p>
    <w:p>
      <w:pPr>
        <w:spacing w:after="140" w:line="259" w:lineRule="auto"/>
      </w:pPr>
      <w:r>
        <w:t>Der Mehrwert liegt in weniger manuellem Aufwand, konsistenteren Daten, schnelleren Abstimmungen, nachvollziehbaren Quellen und höherer Prüfbereitschaft. Dieser Ansatz ist für Bankenverbände, Banken, Vorstände, Führungskräfte sowie Verwaltungs- und Aufsichtsräte relevant, weil er Effizienz mit Governance verbindet.</w:t>
      </w:r>
    </w:p>
    <w:p>
      <w:pPr>
        <w:spacing w:after="140" w:line="259" w:lineRule="auto"/>
      </w:pPr>
      <w:r>
        <w:t>Als KI-Beraterin positioniere ich mich als Übersetzerin zwischen Strategie, Regulatorik, Fachbereichen und Technologie. Ich liefere nicht nur ein Tool, sondern strukturiere den Use Case, entwickle das sichere Zielbild, begleite den MVP und befähige die Organisation zur eigenständigen Nutzung.</w:t>
      </w:r>
    </w:p>
    <w:p>
      <w:pPr>
        <w:spacing w:after="140" w:line="259" w:lineRule="auto"/>
      </w:pPr>
      <w:r>
        <w:t>Die nächsten Schritte folgen einem 30–60–90-Tage-Plan: In den ersten 30 Tagen wählen wir einen Pilotbereich, erfassen Prozess, Daten, Rollen und Erfolgskennzahlen. Bis Tag 60 bauen und testen wir einen MVP-Agenten mit versioniertem Regelwerk, QA-Gates und Team-Enablement. Bis Tag 90 messen wir Qualität, Zeitersparnis und Risiken und treffen eine fundierte Skalierungsentscheidung. Mein Vorschlag: Starten wir jetzt mit einem klar abgegrenzten Berichtsteil als Pilot.</w:t>
      </w:r>
    </w:p>
    <w:tbl>
      <w:tblPr>
        <w:tblW w:type="auto" w:w="0"/>
        <w:jc w:val="center"/>
        <w:tblLook w:firstColumn="1" w:firstRow="1" w:lastColumn="0" w:lastRow="0" w:noHBand="0" w:noVBand="1" w:val="04A0"/>
      </w:tblPr>
      <w:tblGrid>
        <w:gridCol w:w="15420"/>
      </w:tblGrid>
      <w:tr>
        <w:tc>
          <w:tcPr>
            <w:tcW w:type="dxa" w:w="15420"/>
            <w:shd w:fill="FDE7E7"/>
            <w:tcMar>
              <w:top w:w="140" w:type="dxa"/>
              <w:start w:w="180" w:type="dxa"/>
              <w:bottom w:w="140" w:type="dxa"/>
              <w:end w:w="180" w:type="dxa"/>
            </w:tcMar>
          </w:tcPr>
          <w:p>
            <w:pPr>
              <w:jc w:val="center"/>
            </w:pPr>
            <w:r>
              <w:rPr>
                <w:b/>
                <w:color w:val="AA0000"/>
              </w:rPr>
              <w:t>Kernpositionierung: Ich verbinde Strategie, Regulatorik, Technologie und Menschen – von der Analyse bis zur sicheren Skalierung.</w:t>
            </w:r>
          </w:p>
        </w:tc>
      </w:tr>
    </w:tbl>
    <w:p>
      <w:r>
        <w:br w:type="page"/>
      </w:r>
    </w:p>
    <w:p>
      <w:pPr>
        <w:pStyle w:val="Heading1"/>
      </w:pPr>
      <w:r>
        <w:t>Die 12 Steuerungsbereiche – mein Beratungsbeitrag</w:t>
      </w:r>
    </w:p>
    <w:tbl>
      <w:tblPr>
        <w:tblW w:type="auto" w:w="0"/>
        <w:jc w:val="center"/>
        <w:tblLayout w:type="fixed"/>
        <w:tblLook w:firstColumn="1" w:firstRow="1" w:lastColumn="0" w:lastRow="0" w:noHBand="0" w:noVBand="1" w:val="04A0"/>
      </w:tblPr>
      <w:tblGrid>
        <w:gridCol w:w="5140"/>
        <w:gridCol w:w="5140"/>
        <w:gridCol w:w="5140"/>
      </w:tblGrid>
      <w:tr>
        <w:tc>
          <w:tcPr>
            <w:tcW w:type="dxa" w:w="680"/>
            <w:shd w:fill="D00000"/>
            <w:tcMar>
              <w:top w:w="100" w:type="dxa"/>
              <w:start w:w="120" w:type="dxa"/>
              <w:bottom w:w="100" w:type="dxa"/>
              <w:end w:w="120" w:type="dxa"/>
            </w:tcMar>
          </w:tcPr>
          <w:p>
            <w:r>
              <w:rPr>
                <w:b/>
                <w:color w:val="FFFFFF"/>
              </w:rPr>
              <w:t>Nr.</w:t>
            </w:r>
          </w:p>
        </w:tc>
        <w:tc>
          <w:tcPr>
            <w:tcW w:type="dxa" w:w="3855"/>
            <w:shd w:fill="D00000"/>
            <w:tcMar>
              <w:top w:w="100" w:type="dxa"/>
              <w:start w:w="120" w:type="dxa"/>
              <w:bottom w:w="100" w:type="dxa"/>
              <w:end w:w="120" w:type="dxa"/>
            </w:tcMar>
          </w:tcPr>
          <w:p>
            <w:r>
              <w:rPr>
                <w:b/>
                <w:color w:val="FFFFFF"/>
              </w:rPr>
              <w:t>Steuerungsbereich</w:t>
            </w:r>
          </w:p>
        </w:tc>
        <w:tc>
          <w:tcPr>
            <w:tcW w:type="dxa" w:w="10431"/>
            <w:shd w:fill="D00000"/>
            <w:tcMar>
              <w:top w:w="100" w:type="dxa"/>
              <w:start w:w="120" w:type="dxa"/>
              <w:bottom w:w="100" w:type="dxa"/>
              <w:end w:w="120" w:type="dxa"/>
            </w:tcMar>
          </w:tcPr>
          <w:p>
            <w:r>
              <w:rPr>
                <w:b/>
                <w:color w:val="FFFFFF"/>
              </w:rPr>
              <w:t>Was ich als KI-Beraterin geleistet habe</w:t>
            </w:r>
          </w:p>
        </w:tc>
      </w:tr>
      <w:tr>
        <w:tc>
          <w:tcPr>
            <w:tcW w:type="dxa" w:w="680"/>
            <w:vAlign w:val="center"/>
            <w:tcMar>
              <w:top w:w="80" w:type="dxa"/>
              <w:start w:w="110" w:type="dxa"/>
              <w:bottom w:w="80" w:type="dxa"/>
              <w:end w:w="110" w:type="dxa"/>
            </w:tcMar>
          </w:tcPr>
          <w:p>
            <w:r>
              <w:rPr>
                <w:sz w:val="18"/>
              </w:rPr>
              <w:t>1</w:t>
            </w:r>
          </w:p>
        </w:tc>
        <w:tc>
          <w:tcPr>
            <w:tcW w:type="dxa" w:w="3855"/>
            <w:vAlign w:val="center"/>
            <w:tcMar>
              <w:top w:w="80" w:type="dxa"/>
              <w:start w:w="110" w:type="dxa"/>
              <w:bottom w:w="80" w:type="dxa"/>
              <w:end w:w="110" w:type="dxa"/>
            </w:tcMar>
          </w:tcPr>
          <w:p>
            <w:r>
              <w:rPr>
                <w:sz w:val="18"/>
              </w:rPr>
              <w:t>Problem Framing &amp; Discovery</w:t>
            </w:r>
          </w:p>
        </w:tc>
        <w:tc>
          <w:tcPr>
            <w:tcW w:type="dxa" w:w="10431"/>
            <w:vAlign w:val="center"/>
            <w:tcMar>
              <w:top w:w="80" w:type="dxa"/>
              <w:start w:w="110" w:type="dxa"/>
              <w:bottom w:w="80" w:type="dxa"/>
              <w:end w:w="110" w:type="dxa"/>
            </w:tcMar>
          </w:tcPr>
          <w:p>
            <w:r>
              <w:rPr>
                <w:sz w:val="18"/>
              </w:rPr>
              <w:t>Ausgangslage, Engpässe und Zielbild präzisiert.</w:t>
            </w:r>
          </w:p>
        </w:tc>
      </w:tr>
      <w:tr>
        <w:tc>
          <w:tcPr>
            <w:tcW w:type="dxa" w:w="680"/>
            <w:vAlign w:val="center"/>
            <w:tcMar>
              <w:top w:w="80" w:type="dxa"/>
              <w:start w:w="110" w:type="dxa"/>
              <w:bottom w:w="80" w:type="dxa"/>
              <w:end w:w="110" w:type="dxa"/>
            </w:tcMar>
            <w:shd w:fill="F4F5F6"/>
          </w:tcPr>
          <w:p>
            <w:r>
              <w:rPr>
                <w:sz w:val="18"/>
              </w:rPr>
              <w:t>2</w:t>
            </w:r>
          </w:p>
        </w:tc>
        <w:tc>
          <w:tcPr>
            <w:tcW w:type="dxa" w:w="3855"/>
            <w:vAlign w:val="center"/>
            <w:tcMar>
              <w:top w:w="80" w:type="dxa"/>
              <w:start w:w="110" w:type="dxa"/>
              <w:bottom w:w="80" w:type="dxa"/>
              <w:end w:w="110" w:type="dxa"/>
            </w:tcMar>
            <w:shd w:fill="F4F5F6"/>
          </w:tcPr>
          <w:p>
            <w:r>
              <w:rPr>
                <w:sz w:val="18"/>
              </w:rPr>
              <w:t>Stakeholder &amp; Teammodell</w:t>
            </w:r>
          </w:p>
        </w:tc>
        <w:tc>
          <w:tcPr>
            <w:tcW w:type="dxa" w:w="10431"/>
            <w:vAlign w:val="center"/>
            <w:tcMar>
              <w:top w:w="80" w:type="dxa"/>
              <w:start w:w="110" w:type="dxa"/>
              <w:bottom w:w="80" w:type="dxa"/>
              <w:end w:w="110" w:type="dxa"/>
            </w:tcMar>
            <w:shd w:fill="F4F5F6"/>
          </w:tcPr>
          <w:p>
            <w:r>
              <w:rPr>
                <w:sz w:val="18"/>
              </w:rPr>
              <w:t>Fachbereiche, Führung, Vorstand und Kontrollorgane mit Rollen verknüpft.</w:t>
            </w:r>
          </w:p>
        </w:tc>
      </w:tr>
      <w:tr>
        <w:tc>
          <w:tcPr>
            <w:tcW w:type="dxa" w:w="680"/>
            <w:vAlign w:val="center"/>
            <w:tcMar>
              <w:top w:w="80" w:type="dxa"/>
              <w:start w:w="110" w:type="dxa"/>
              <w:bottom w:w="80" w:type="dxa"/>
              <w:end w:w="110" w:type="dxa"/>
            </w:tcMar>
          </w:tcPr>
          <w:p>
            <w:r>
              <w:rPr>
                <w:sz w:val="18"/>
              </w:rPr>
              <w:t>3</w:t>
            </w:r>
          </w:p>
        </w:tc>
        <w:tc>
          <w:tcPr>
            <w:tcW w:type="dxa" w:w="3855"/>
            <w:vAlign w:val="center"/>
            <w:tcMar>
              <w:top w:w="80" w:type="dxa"/>
              <w:start w:w="110" w:type="dxa"/>
              <w:bottom w:w="80" w:type="dxa"/>
              <w:end w:w="110" w:type="dxa"/>
            </w:tcMar>
          </w:tcPr>
          <w:p>
            <w:r>
              <w:rPr>
                <w:sz w:val="18"/>
              </w:rPr>
              <w:t>Use-Case-Portfolio &amp; Priorisierung</w:t>
            </w:r>
          </w:p>
        </w:tc>
        <w:tc>
          <w:tcPr>
            <w:tcW w:type="dxa" w:w="10431"/>
            <w:vAlign w:val="center"/>
            <w:tcMar>
              <w:top w:w="80" w:type="dxa"/>
              <w:start w:w="110" w:type="dxa"/>
              <w:bottom w:w="80" w:type="dxa"/>
              <w:end w:w="110" w:type="dxa"/>
            </w:tcMar>
          </w:tcPr>
          <w:p>
            <w:r>
              <w:rPr>
                <w:sz w:val="18"/>
              </w:rPr>
              <w:t>Pilot nach Nutzen, Risiko, Aufwand und Datenreife eingegrenzt.</w:t>
            </w:r>
          </w:p>
        </w:tc>
      </w:tr>
      <w:tr>
        <w:tc>
          <w:tcPr>
            <w:tcW w:type="dxa" w:w="680"/>
            <w:vAlign w:val="center"/>
            <w:tcMar>
              <w:top w:w="80" w:type="dxa"/>
              <w:start w:w="110" w:type="dxa"/>
              <w:bottom w:w="80" w:type="dxa"/>
              <w:end w:w="110" w:type="dxa"/>
            </w:tcMar>
            <w:shd w:fill="F4F5F6"/>
          </w:tcPr>
          <w:p>
            <w:r>
              <w:rPr>
                <w:sz w:val="18"/>
              </w:rPr>
              <w:t>4</w:t>
            </w:r>
          </w:p>
        </w:tc>
        <w:tc>
          <w:tcPr>
            <w:tcW w:type="dxa" w:w="3855"/>
            <w:vAlign w:val="center"/>
            <w:tcMar>
              <w:top w:w="80" w:type="dxa"/>
              <w:start w:w="110" w:type="dxa"/>
              <w:bottom w:w="80" w:type="dxa"/>
              <w:end w:w="110" w:type="dxa"/>
            </w:tcMar>
            <w:shd w:fill="F4F5F6"/>
          </w:tcPr>
          <w:p>
            <w:r>
              <w:rPr>
                <w:sz w:val="18"/>
              </w:rPr>
              <w:t>Datenbereitschaft &amp; Datenschutz</w:t>
            </w:r>
          </w:p>
        </w:tc>
        <w:tc>
          <w:tcPr>
            <w:tcW w:type="dxa" w:w="10431"/>
            <w:vAlign w:val="center"/>
            <w:tcMar>
              <w:top w:w="80" w:type="dxa"/>
              <w:start w:w="110" w:type="dxa"/>
              <w:bottom w:w="80" w:type="dxa"/>
              <w:end w:w="110" w:type="dxa"/>
            </w:tcMar>
            <w:shd w:fill="F4F5F6"/>
          </w:tcPr>
          <w:p>
            <w:r>
              <w:rPr>
                <w:sz w:val="18"/>
              </w:rPr>
              <w:t>Datenquellen, Qualität, Zugriffe, Schutzbedarf und Rechtsrahmen betrachtet.</w:t>
            </w:r>
          </w:p>
        </w:tc>
      </w:tr>
      <w:tr>
        <w:tc>
          <w:tcPr>
            <w:tcW w:type="dxa" w:w="680"/>
            <w:vAlign w:val="center"/>
            <w:tcMar>
              <w:top w:w="80" w:type="dxa"/>
              <w:start w:w="110" w:type="dxa"/>
              <w:bottom w:w="80" w:type="dxa"/>
              <w:end w:w="110" w:type="dxa"/>
            </w:tcMar>
          </w:tcPr>
          <w:p>
            <w:r>
              <w:rPr>
                <w:sz w:val="18"/>
              </w:rPr>
              <w:t>5</w:t>
            </w:r>
          </w:p>
        </w:tc>
        <w:tc>
          <w:tcPr>
            <w:tcW w:type="dxa" w:w="3855"/>
            <w:vAlign w:val="center"/>
            <w:tcMar>
              <w:top w:w="80" w:type="dxa"/>
              <w:start w:w="110" w:type="dxa"/>
              <w:bottom w:w="80" w:type="dxa"/>
              <w:end w:w="110" w:type="dxa"/>
            </w:tcMar>
          </w:tcPr>
          <w:p>
            <w:r>
              <w:rPr>
                <w:sz w:val="18"/>
              </w:rPr>
              <w:t>Modell- &amp; Toolauswahl</w:t>
            </w:r>
          </w:p>
        </w:tc>
        <w:tc>
          <w:tcPr>
            <w:tcW w:type="dxa" w:w="10431"/>
            <w:vAlign w:val="center"/>
            <w:tcMar>
              <w:top w:w="80" w:type="dxa"/>
              <w:start w:w="110" w:type="dxa"/>
              <w:bottom w:w="80" w:type="dxa"/>
              <w:end w:w="110" w:type="dxa"/>
            </w:tcMar>
          </w:tcPr>
          <w:p>
            <w:r>
              <w:rPr>
                <w:sz w:val="18"/>
              </w:rPr>
              <w:t>Auswahlkriterien für sichere, geeignete und wirtschaftliche Werkzeuge definiert.</w:t>
            </w:r>
          </w:p>
        </w:tc>
      </w:tr>
      <w:tr>
        <w:tc>
          <w:tcPr>
            <w:tcW w:type="dxa" w:w="680"/>
            <w:vAlign w:val="center"/>
            <w:tcMar>
              <w:top w:w="80" w:type="dxa"/>
              <w:start w:w="110" w:type="dxa"/>
              <w:bottom w:w="80" w:type="dxa"/>
              <w:end w:w="110" w:type="dxa"/>
            </w:tcMar>
            <w:shd w:fill="F4F5F6"/>
          </w:tcPr>
          <w:p>
            <w:r>
              <w:rPr>
                <w:sz w:val="18"/>
              </w:rPr>
              <w:t>6</w:t>
            </w:r>
          </w:p>
        </w:tc>
        <w:tc>
          <w:tcPr>
            <w:tcW w:type="dxa" w:w="3855"/>
            <w:vAlign w:val="center"/>
            <w:tcMar>
              <w:top w:w="80" w:type="dxa"/>
              <w:start w:w="110" w:type="dxa"/>
              <w:bottom w:w="80" w:type="dxa"/>
              <w:end w:w="110" w:type="dxa"/>
            </w:tcMar>
            <w:shd w:fill="F4F5F6"/>
          </w:tcPr>
          <w:p>
            <w:r>
              <w:rPr>
                <w:sz w:val="18"/>
              </w:rPr>
              <w:t>Prompt-, GPT- &amp; Wissensarchitektur</w:t>
            </w:r>
          </w:p>
        </w:tc>
        <w:tc>
          <w:tcPr>
            <w:tcW w:type="dxa" w:w="10431"/>
            <w:vAlign w:val="center"/>
            <w:tcMar>
              <w:top w:w="80" w:type="dxa"/>
              <w:start w:w="110" w:type="dxa"/>
              <w:bottom w:w="80" w:type="dxa"/>
              <w:end w:w="110" w:type="dxa"/>
            </w:tcMar>
            <w:shd w:fill="F4F5F6"/>
          </w:tcPr>
          <w:p>
            <w:r>
              <w:rPr>
                <w:sz w:val="18"/>
              </w:rPr>
              <w:t>Rollen, Aufgaben, Quellen und Ausgabeformate als Prompt- und Wissenslogik entworfen.</w:t>
            </w:r>
          </w:p>
        </w:tc>
      </w:tr>
      <w:tr>
        <w:tc>
          <w:tcPr>
            <w:tcW w:type="dxa" w:w="680"/>
            <w:vAlign w:val="center"/>
            <w:tcMar>
              <w:top w:w="80" w:type="dxa"/>
              <w:start w:w="110" w:type="dxa"/>
              <w:bottom w:w="80" w:type="dxa"/>
              <w:end w:w="110" w:type="dxa"/>
            </w:tcMar>
          </w:tcPr>
          <w:p>
            <w:r>
              <w:rPr>
                <w:sz w:val="18"/>
              </w:rPr>
              <w:t>7</w:t>
            </w:r>
          </w:p>
        </w:tc>
        <w:tc>
          <w:tcPr>
            <w:tcW w:type="dxa" w:w="3855"/>
            <w:vAlign w:val="center"/>
            <w:tcMar>
              <w:top w:w="80" w:type="dxa"/>
              <w:start w:w="110" w:type="dxa"/>
              <w:bottom w:w="80" w:type="dxa"/>
              <w:end w:w="110" w:type="dxa"/>
            </w:tcMar>
          </w:tcPr>
          <w:p>
            <w:r>
              <w:rPr>
                <w:sz w:val="18"/>
              </w:rPr>
              <w:t>Workflow- &amp; Automatisierungsdesign</w:t>
            </w:r>
          </w:p>
        </w:tc>
        <w:tc>
          <w:tcPr>
            <w:tcW w:type="dxa" w:w="10431"/>
            <w:vAlign w:val="center"/>
            <w:tcMar>
              <w:top w:w="80" w:type="dxa"/>
              <w:start w:w="110" w:type="dxa"/>
              <w:bottom w:w="80" w:type="dxa"/>
              <w:end w:w="110" w:type="dxa"/>
            </w:tcMar>
          </w:tcPr>
          <w:p>
            <w:r>
              <w:rPr>
                <w:sz w:val="18"/>
              </w:rPr>
              <w:t>End-to-End-Prozess von Daten bis Freigabe gestaltet.</w:t>
            </w:r>
          </w:p>
        </w:tc>
      </w:tr>
      <w:tr>
        <w:tc>
          <w:tcPr>
            <w:tcW w:type="dxa" w:w="680"/>
            <w:vAlign w:val="center"/>
            <w:tcMar>
              <w:top w:w="80" w:type="dxa"/>
              <w:start w:w="110" w:type="dxa"/>
              <w:bottom w:w="80" w:type="dxa"/>
              <w:end w:w="110" w:type="dxa"/>
            </w:tcMar>
            <w:shd w:fill="F4F5F6"/>
          </w:tcPr>
          <w:p>
            <w:r>
              <w:rPr>
                <w:sz w:val="18"/>
              </w:rPr>
              <w:t>8</w:t>
            </w:r>
          </w:p>
        </w:tc>
        <w:tc>
          <w:tcPr>
            <w:tcW w:type="dxa" w:w="3855"/>
            <w:vAlign w:val="center"/>
            <w:tcMar>
              <w:top w:w="80" w:type="dxa"/>
              <w:start w:w="110" w:type="dxa"/>
              <w:bottom w:w="80" w:type="dxa"/>
              <w:end w:w="110" w:type="dxa"/>
            </w:tcMar>
            <w:shd w:fill="F4F5F6"/>
          </w:tcPr>
          <w:p>
            <w:r>
              <w:rPr>
                <w:sz w:val="18"/>
              </w:rPr>
              <w:t>Integration, APIs &amp; Sicherheit</w:t>
            </w:r>
          </w:p>
        </w:tc>
        <w:tc>
          <w:tcPr>
            <w:tcW w:type="dxa" w:w="10431"/>
            <w:vAlign w:val="center"/>
            <w:tcMar>
              <w:top w:w="80" w:type="dxa"/>
              <w:start w:w="110" w:type="dxa"/>
              <w:bottom w:w="80" w:type="dxa"/>
              <w:end w:w="110" w:type="dxa"/>
            </w:tcMar>
            <w:shd w:fill="F4F5F6"/>
          </w:tcPr>
          <w:p>
            <w:r>
              <w:rPr>
                <w:sz w:val="18"/>
              </w:rPr>
              <w:t>Anbindung von Systemen, Regelquellen, Berechtigungen und Protokollierung vorgesehen.</w:t>
            </w:r>
          </w:p>
        </w:tc>
      </w:tr>
      <w:tr>
        <w:tc>
          <w:tcPr>
            <w:tcW w:type="dxa" w:w="680"/>
            <w:vAlign w:val="center"/>
            <w:tcMar>
              <w:top w:w="80" w:type="dxa"/>
              <w:start w:w="110" w:type="dxa"/>
              <w:bottom w:w="80" w:type="dxa"/>
              <w:end w:w="110" w:type="dxa"/>
            </w:tcMar>
          </w:tcPr>
          <w:p>
            <w:r>
              <w:rPr>
                <w:sz w:val="18"/>
              </w:rPr>
              <w:t>9</w:t>
            </w:r>
          </w:p>
        </w:tc>
        <w:tc>
          <w:tcPr>
            <w:tcW w:type="dxa" w:w="3855"/>
            <w:vAlign w:val="center"/>
            <w:tcMar>
              <w:top w:w="80" w:type="dxa"/>
              <w:start w:w="110" w:type="dxa"/>
              <w:bottom w:w="80" w:type="dxa"/>
              <w:end w:w="110" w:type="dxa"/>
            </w:tcMar>
          </w:tcPr>
          <w:p>
            <w:r>
              <w:rPr>
                <w:sz w:val="18"/>
              </w:rPr>
              <w:t>Agenten &amp; Orchestrierung</w:t>
            </w:r>
          </w:p>
        </w:tc>
        <w:tc>
          <w:tcPr>
            <w:tcW w:type="dxa" w:w="10431"/>
            <w:vAlign w:val="center"/>
            <w:tcMar>
              <w:top w:w="80" w:type="dxa"/>
              <w:start w:w="110" w:type="dxa"/>
              <w:bottom w:w="80" w:type="dxa"/>
              <w:end w:w="110" w:type="dxa"/>
            </w:tcMar>
          </w:tcPr>
          <w:p>
            <w:r>
              <w:rPr>
                <w:sz w:val="18"/>
              </w:rPr>
              <w:t>MVP-Agent und Zusammenspiel von Recherche, Prüfung und Texterstellung konzipiert.</w:t>
            </w:r>
          </w:p>
        </w:tc>
      </w:tr>
      <w:tr>
        <w:tc>
          <w:tcPr>
            <w:tcW w:type="dxa" w:w="680"/>
            <w:vAlign w:val="center"/>
            <w:tcMar>
              <w:top w:w="80" w:type="dxa"/>
              <w:start w:w="110" w:type="dxa"/>
              <w:bottom w:w="80" w:type="dxa"/>
              <w:end w:w="110" w:type="dxa"/>
            </w:tcMar>
            <w:shd w:fill="F4F5F6"/>
          </w:tcPr>
          <w:p>
            <w:r>
              <w:rPr>
                <w:sz w:val="18"/>
              </w:rPr>
              <w:t>10</w:t>
            </w:r>
          </w:p>
        </w:tc>
        <w:tc>
          <w:tcPr>
            <w:tcW w:type="dxa" w:w="3855"/>
            <w:vAlign w:val="center"/>
            <w:tcMar>
              <w:top w:w="80" w:type="dxa"/>
              <w:start w:w="110" w:type="dxa"/>
              <w:bottom w:w="80" w:type="dxa"/>
              <w:end w:w="110" w:type="dxa"/>
            </w:tcMar>
            <w:shd w:fill="F4F5F6"/>
          </w:tcPr>
          <w:p>
            <w:r>
              <w:rPr>
                <w:sz w:val="18"/>
              </w:rPr>
              <w:t>Evaluation, QA &amp; Release-Gates</w:t>
            </w:r>
          </w:p>
        </w:tc>
        <w:tc>
          <w:tcPr>
            <w:tcW w:type="dxa" w:w="10431"/>
            <w:vAlign w:val="center"/>
            <w:tcMar>
              <w:top w:w="80" w:type="dxa"/>
              <w:start w:w="110" w:type="dxa"/>
              <w:bottom w:w="80" w:type="dxa"/>
              <w:end w:w="110" w:type="dxa"/>
            </w:tcMar>
            <w:shd w:fill="F4F5F6"/>
          </w:tcPr>
          <w:p>
            <w:r>
              <w:rPr>
                <w:sz w:val="18"/>
              </w:rPr>
              <w:t>Daten-, Quellen-, Regulatorik-, Plausibilitäts- und Freigabeprüfungen definiert.</w:t>
            </w:r>
          </w:p>
        </w:tc>
      </w:tr>
      <w:tr>
        <w:tc>
          <w:tcPr>
            <w:tcW w:type="dxa" w:w="680"/>
            <w:vAlign w:val="center"/>
            <w:tcMar>
              <w:top w:w="80" w:type="dxa"/>
              <w:start w:w="110" w:type="dxa"/>
              <w:bottom w:w="80" w:type="dxa"/>
              <w:end w:w="110" w:type="dxa"/>
            </w:tcMar>
          </w:tcPr>
          <w:p>
            <w:r>
              <w:rPr>
                <w:sz w:val="18"/>
              </w:rPr>
              <w:t>11</w:t>
            </w:r>
          </w:p>
        </w:tc>
        <w:tc>
          <w:tcPr>
            <w:tcW w:type="dxa" w:w="3855"/>
            <w:vAlign w:val="center"/>
            <w:tcMar>
              <w:top w:w="80" w:type="dxa"/>
              <w:start w:w="110" w:type="dxa"/>
              <w:bottom w:w="80" w:type="dxa"/>
              <w:end w:w="110" w:type="dxa"/>
            </w:tcMar>
          </w:tcPr>
          <w:p>
            <w:r>
              <w:rPr>
                <w:sz w:val="18"/>
              </w:rPr>
              <w:t>Business Case &amp; Projektmanagement</w:t>
            </w:r>
          </w:p>
        </w:tc>
        <w:tc>
          <w:tcPr>
            <w:tcW w:type="dxa" w:w="10431"/>
            <w:vAlign w:val="center"/>
            <w:tcMar>
              <w:top w:w="80" w:type="dxa"/>
              <w:start w:w="110" w:type="dxa"/>
              <w:bottom w:w="80" w:type="dxa"/>
              <w:end w:w="110" w:type="dxa"/>
            </w:tcMar>
          </w:tcPr>
          <w:p>
            <w:r>
              <w:rPr>
                <w:sz w:val="18"/>
              </w:rPr>
              <w:t>KPIs für Zeit, Qualität, Risiko und Skalierbarkeit sowie Roadmap entwickelt.</w:t>
            </w:r>
          </w:p>
        </w:tc>
      </w:tr>
      <w:tr>
        <w:tc>
          <w:tcPr>
            <w:tcW w:type="dxa" w:w="680"/>
            <w:vAlign w:val="center"/>
            <w:tcMar>
              <w:top w:w="80" w:type="dxa"/>
              <w:start w:w="110" w:type="dxa"/>
              <w:bottom w:w="80" w:type="dxa"/>
              <w:end w:w="110" w:type="dxa"/>
            </w:tcMar>
            <w:shd w:fill="F4F5F6"/>
          </w:tcPr>
          <w:p>
            <w:r>
              <w:rPr>
                <w:sz w:val="18"/>
              </w:rPr>
              <w:t>12</w:t>
            </w:r>
          </w:p>
        </w:tc>
        <w:tc>
          <w:tcPr>
            <w:tcW w:type="dxa" w:w="3855"/>
            <w:vAlign w:val="center"/>
            <w:tcMar>
              <w:top w:w="80" w:type="dxa"/>
              <w:start w:w="110" w:type="dxa"/>
              <w:bottom w:w="80" w:type="dxa"/>
              <w:end w:w="110" w:type="dxa"/>
            </w:tcMar>
            <w:shd w:fill="F4F5F6"/>
          </w:tcPr>
          <w:p>
            <w:r>
              <w:rPr>
                <w:sz w:val="18"/>
              </w:rPr>
              <w:t>Governance, AI Leadership &amp; Skalierung</w:t>
            </w:r>
          </w:p>
        </w:tc>
        <w:tc>
          <w:tcPr>
            <w:tcW w:type="dxa" w:w="10431"/>
            <w:vAlign w:val="center"/>
            <w:tcMar>
              <w:top w:w="80" w:type="dxa"/>
              <w:start w:w="110" w:type="dxa"/>
              <w:bottom w:w="80" w:type="dxa"/>
              <w:end w:w="110" w:type="dxa"/>
            </w:tcMar>
            <w:shd w:fill="F4F5F6"/>
          </w:tcPr>
          <w:p>
            <w:r>
              <w:rPr>
                <w:sz w:val="18"/>
              </w:rPr>
              <w:t>Human-in-the-Loop, Verantwortung, Enablement und kontrollierte Skalierung verankert.</w:t>
            </w:r>
          </w:p>
        </w:tc>
      </w:tr>
    </w:tbl>
    <w:p/>
    <w:p>
      <w:pPr>
        <w:pStyle w:val="Heading2"/>
      </w:pPr>
      <w:r>
        <w:t>30–60–90-Tage-Transfer</w:t>
      </w:r>
    </w:p>
    <w:tbl>
      <w:tblPr>
        <w:tblW w:type="auto" w:w="0"/>
        <w:jc w:val="center"/>
        <w:tblLook w:firstColumn="1" w:firstRow="1" w:lastColumn="0" w:lastRow="0" w:noHBand="0" w:noVBand="1" w:val="04A0"/>
      </w:tblPr>
      <w:tblGrid>
        <w:gridCol w:w="5140"/>
        <w:gridCol w:w="5140"/>
        <w:gridCol w:w="5140"/>
      </w:tblGrid>
      <w:tr>
        <w:tc>
          <w:tcPr>
            <w:tcW w:type="dxa" w:w="5140"/>
            <w:shd w:fill="D00000"/>
            <w:tcMar>
              <w:top w:w="100" w:type="dxa"/>
              <w:start w:w="120" w:type="dxa"/>
              <w:bottom w:w="100" w:type="dxa"/>
              <w:end w:w="120" w:type="dxa"/>
            </w:tcMar>
          </w:tcPr>
          <w:p>
            <w:r>
              <w:rPr>
                <w:b/>
                <w:color w:val="FFFFFF"/>
              </w:rPr>
              <w:t>0–30 TAGE</w:t>
            </w:r>
          </w:p>
        </w:tc>
        <w:tc>
          <w:tcPr>
            <w:tcW w:type="dxa" w:w="5140"/>
            <w:shd w:fill="D00000"/>
            <w:tcMar>
              <w:top w:w="100" w:type="dxa"/>
              <w:start w:w="120" w:type="dxa"/>
              <w:bottom w:w="100" w:type="dxa"/>
              <w:end w:w="120" w:type="dxa"/>
            </w:tcMar>
          </w:tcPr>
          <w:p>
            <w:r>
              <w:rPr>
                <w:b/>
                <w:color w:val="FFFFFF"/>
              </w:rPr>
              <w:t>31–60 TAGE</w:t>
            </w:r>
          </w:p>
        </w:tc>
        <w:tc>
          <w:tcPr>
            <w:tcW w:type="dxa" w:w="5140"/>
            <w:shd w:fill="D00000"/>
            <w:tcMar>
              <w:top w:w="100" w:type="dxa"/>
              <w:start w:w="120" w:type="dxa"/>
              <w:bottom w:w="100" w:type="dxa"/>
              <w:end w:w="120" w:type="dxa"/>
            </w:tcMar>
          </w:tcPr>
          <w:p>
            <w:r>
              <w:rPr>
                <w:b/>
                <w:color w:val="FFFFFF"/>
              </w:rPr>
              <w:t>61–90 TAGE</w:t>
            </w:r>
          </w:p>
        </w:tc>
      </w:tr>
      <w:tr>
        <w:tc>
          <w:tcPr>
            <w:tcW w:type="dxa" w:w="5140"/>
            <w:tcMar>
              <w:top w:w="120" w:type="dxa"/>
              <w:start w:w="140" w:type="dxa"/>
              <w:bottom w:w="120" w:type="dxa"/>
              <w:end w:w="140" w:type="dxa"/>
            </w:tcMar>
          </w:tcPr>
          <w:p>
            <w:r>
              <w:t>Pilotbereich wählen; Ist-Prozess, Daten, Rollen und KPIs aufnehmen.</w:t>
            </w:r>
          </w:p>
        </w:tc>
        <w:tc>
          <w:tcPr>
            <w:tcW w:type="dxa" w:w="5140"/>
            <w:tcMar>
              <w:top w:w="120" w:type="dxa"/>
              <w:start w:w="140" w:type="dxa"/>
              <w:bottom w:w="120" w:type="dxa"/>
              <w:end w:w="140" w:type="dxa"/>
            </w:tcMar>
          </w:tcPr>
          <w:p>
            <w:r>
              <w:t>MVP-Agent bauen; Regelwerk und QA-Gates testen; Team befähigen.</w:t>
            </w:r>
          </w:p>
        </w:tc>
        <w:tc>
          <w:tcPr>
            <w:tcW w:type="dxa" w:w="5140"/>
            <w:tcMar>
              <w:top w:w="120" w:type="dxa"/>
              <w:start w:w="140" w:type="dxa"/>
              <w:bottom w:w="120" w:type="dxa"/>
              <w:end w:w="140" w:type="dxa"/>
            </w:tcMar>
          </w:tcPr>
          <w:p>
            <w:r>
              <w:t>Pilot messen; Nutzen und Risiken bewerten; Skalierungsentscheidung treffen.</w:t>
            </w:r>
          </w:p>
        </w:tc>
      </w:tr>
    </w:tbl>
    <w:p/>
    <w:p>
      <w:pPr>
        <w:jc w:val="center"/>
      </w:pPr>
      <w:r>
        <w:rPr>
          <w:b/>
          <w:color w:val="D20000"/>
          <w:sz w:val="28"/>
        </w:rPr>
        <w:t>Call to Action: Jetzt mit einem abgegrenzten Berichtsteil als Pilot starten.</w:t>
      </w:r>
    </w:p>
    <w:sectPr w:rsidR="00FC693F" w:rsidRPr="0006063C" w:rsidSect="00034616">
      <w:pgSz w:w="16838" w:h="11906" w:orient="landscape"/>
      <w:pgMar w:top="652" w:right="709" w:bottom="652"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2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373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