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AEBE029"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elaphas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27B2AF24"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meat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0"/>
      <w:r w:rsidR="002835A5" w:rsidRPr="00A27F93">
        <w:t xml:space="preserve">We have no evidence that wild boar have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w:t>
      </w:r>
      <w:r w:rsidRPr="00A27F93">
        <w:lastRenderedPageBreak/>
        <w:t>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E515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2" w:name="_Hlk485302597"/>
      <w:r w:rsidR="006D61F6" w:rsidRPr="00A27F93">
        <w:t>It is extremely rugged and difficult to walk on, with small crevasses and holes throughout.</w:t>
      </w:r>
    </w:p>
    <w:bookmarkEnd w:id="1"/>
    <w:bookmarkEnd w:id="2"/>
    <w:p w14:paraId="53A3278F" w14:textId="7C9E833A"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3"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w:t>
      </w:r>
      <w:r w:rsidR="00525047" w:rsidRPr="00A27F93">
        <w:lastRenderedPageBreak/>
        <w:t>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r w:rsidR="009F4D04">
        <w:t>scat</w:t>
      </w:r>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3"/>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D8791AE" w:rsidR="008C6C8D" w:rsidRPr="00A27F93" w:rsidRDefault="008C6C8D" w:rsidP="00446B8D">
      <w:pPr>
        <w:spacing w:line="480" w:lineRule="auto"/>
      </w:pPr>
      <w:r w:rsidRPr="00A27F93">
        <w:tab/>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rsidRPr="00A27F93">
        <w:t xml:space="preserve"> </w:t>
      </w:r>
      <w:bookmarkStart w:id="4" w:name="_Hlk483912156"/>
      <w:r w:rsidR="0061793A" w:rsidRPr="00A27F93">
        <w:t xml:space="preserve">Since the </w:t>
      </w:r>
      <w:r w:rsidR="00B35246" w:rsidRPr="00A27F93">
        <w:t xml:space="preserve">paired </w:t>
      </w:r>
      <w:r w:rsidR="0061793A" w:rsidRPr="00A27F93">
        <w:t xml:space="preserve">plots were adjacent, very little differed between them in canopy composition and cover. </w:t>
      </w:r>
      <w:r w:rsidR="00B35246" w:rsidRPr="00A27F93">
        <w:t>We also</w:t>
      </w:r>
      <w:r w:rsidR="0061793A" w:rsidRPr="00A27F93">
        <w:t xml:space="preserve"> consciously avoid</w:t>
      </w:r>
      <w:r w:rsidR="00144F19" w:rsidRPr="00A27F93">
        <w:t>ed large gaps in canopy cover,</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4"/>
      <w:r w:rsidR="0061793A" w:rsidRPr="00A27F93">
        <w:t xml:space="preserve"> </w:t>
      </w:r>
    </w:p>
    <w:p w14:paraId="5932026E" w14:textId="5571B9E8"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r w:rsidRPr="00A27F93">
        <w:rPr>
          <w:i/>
          <w:iCs/>
        </w:rPr>
        <w:t>Carica papaya</w:t>
      </w:r>
      <w:r w:rsidRPr="00A27F93">
        <w:t xml:space="preserve">, </w:t>
      </w:r>
      <w:r w:rsidRPr="00A27F93">
        <w:rPr>
          <w:i/>
          <w:iCs/>
        </w:rPr>
        <w:t>Morinda</w:t>
      </w:r>
      <w:r w:rsidR="00DE5606" w:rsidRPr="00A27F93">
        <w:rPr>
          <w:i/>
          <w:iCs/>
        </w:rPr>
        <w:t xml:space="preserve"> </w:t>
      </w:r>
      <w:r w:rsidRPr="00A27F93">
        <w:rPr>
          <w:i/>
          <w:iCs/>
        </w:rPr>
        <w:t>citrifolia</w:t>
      </w:r>
      <w:r w:rsidRPr="00A27F93">
        <w:t xml:space="preserve">, </w:t>
      </w:r>
      <w:r w:rsidR="00B2445F" w:rsidRPr="00A27F93">
        <w:rPr>
          <w:i/>
          <w:iCs/>
        </w:rPr>
        <w:t>Ochrosia</w:t>
      </w:r>
      <w:r w:rsidR="00DE5606" w:rsidRPr="00A27F93">
        <w:rPr>
          <w:i/>
          <w:iCs/>
        </w:rPr>
        <w:t xml:space="preserve"> </w:t>
      </w:r>
      <w:r w:rsidRPr="00A27F93">
        <w:rPr>
          <w:i/>
          <w:iCs/>
        </w:rPr>
        <w:t>oppositifolia</w:t>
      </w:r>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r w:rsidR="00DE5606" w:rsidRPr="00A27F93">
        <w:rPr>
          <w:i/>
          <w:iCs/>
        </w:rPr>
        <w:t>Neisosperma oppositifolia</w:t>
      </w:r>
      <w:r w:rsidR="00DE5606" w:rsidRPr="00A27F93">
        <w:rPr>
          <w:iCs/>
        </w:rPr>
        <w:t>)</w:t>
      </w:r>
      <w:r w:rsidRPr="00A27F93">
        <w:t xml:space="preserve">, </w:t>
      </w:r>
      <w:r w:rsidRPr="00A27F93">
        <w:rPr>
          <w:i/>
          <w:iCs/>
        </w:rPr>
        <w:t>Aglaia mariannensis</w:t>
      </w:r>
      <w:r w:rsidRPr="00A27F93">
        <w:t xml:space="preserve">, </w:t>
      </w:r>
      <w:r w:rsidRPr="00A27F93">
        <w:rPr>
          <w:i/>
          <w:iCs/>
        </w:rPr>
        <w:t>Premna</w:t>
      </w:r>
      <w:r w:rsidR="00DE5606" w:rsidRPr="00A27F93">
        <w:rPr>
          <w:i/>
          <w:iCs/>
        </w:rPr>
        <w:t xml:space="preserve"> </w:t>
      </w:r>
      <w:r w:rsidR="00846D05" w:rsidRPr="00A27F93">
        <w:rPr>
          <w:i/>
          <w:iCs/>
        </w:rPr>
        <w:t>serratifolia</w:t>
      </w:r>
      <w:r w:rsidRPr="00A27F93">
        <w:t xml:space="preserve">, and </w:t>
      </w:r>
      <w:r w:rsidRPr="00A27F93">
        <w:rPr>
          <w:i/>
          <w:iCs/>
        </w:rPr>
        <w:t>Psychotria</w:t>
      </w:r>
      <w:r w:rsidR="00DE5606" w:rsidRPr="00A27F93">
        <w:rPr>
          <w:i/>
          <w:iCs/>
        </w:rPr>
        <w:t xml:space="preserve"> </w:t>
      </w:r>
      <w:r w:rsidRPr="00A27F93">
        <w:rPr>
          <w:i/>
          <w:iCs/>
        </w:rPr>
        <w:t>mariannensis</w:t>
      </w:r>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61793A" w:rsidRPr="00A27F93">
        <w:rPr>
          <w:i/>
        </w:rPr>
        <w:t>P. mariannensis</w:t>
      </w:r>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shadecloth at a nursery in Guam</w:t>
      </w:r>
      <w:r w:rsidR="00BF267D" w:rsidRPr="00A27F93">
        <w:t xml:space="preserve"> and allowed </w:t>
      </w:r>
      <w:r w:rsidR="00BF267D" w:rsidRPr="00A27F93">
        <w:lastRenderedPageBreak/>
        <w:t xml:space="preserve">to grow in these conditions until they had fully rooted and grown their first true leaves. </w:t>
      </w:r>
      <w:r w:rsidRPr="00A27F93">
        <w:t>At this point, the seedlings were transported to the exclosure sites for out-planting.</w:t>
      </w:r>
    </w:p>
    <w:p w14:paraId="21AAA838" w14:textId="2E151A8E"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citrifolia, </w:t>
      </w:r>
      <w:r w:rsidRPr="00A27F93">
        <w:t>and</w:t>
      </w:r>
      <w:r w:rsidR="00DE5606" w:rsidRPr="00A27F93">
        <w:rPr>
          <w:i/>
          <w:iCs/>
        </w:rPr>
        <w:t xml:space="preserve"> O</w:t>
      </w:r>
      <w:r w:rsidRPr="00A27F93">
        <w:rPr>
          <w:i/>
          <w:iCs/>
        </w:rPr>
        <w:t>. oppositifolia</w:t>
      </w:r>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r w:rsidR="00BD25B6" w:rsidRPr="00A27F93">
        <w:t>Mortality was not significantly different for seedlings that had been in seedling plots for a longer time, so final counts were used even though some seedlings had been in the ground for longer (see Results</w:t>
      </w:r>
      <w:r w:rsidR="00524BD7" w:rsidRPr="00A27F93">
        <w:t xml:space="preserve"> section</w:t>
      </w:r>
      <w:r w:rsidR="00BD25B6" w:rsidRPr="00A27F93">
        <w:t xml:space="preserve">). </w:t>
      </w:r>
    </w:p>
    <w:p w14:paraId="7404B1AA" w14:textId="26094CDC"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[32]</w:t>
      </w:r>
      <w:r w:rsidR="00872B40" w:rsidRPr="00A27F93">
        <w:fldChar w:fldCharType="end"/>
      </w:r>
      <w:r w:rsidRPr="00A27F93">
        <w:t>. Fencing was considered a fixed effect, whereas site was considered a random effect. We analysed seedling survival for each species separately. Factors were considered to have a significant effect on seedling survival if they reduced Akaike Information Criterion, corrected for smaller sample sizes (A</w:t>
      </w:r>
      <w:r w:rsidR="005775DE" w:rsidRPr="00A27F93">
        <w:t xml:space="preserve">ICc),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[33]</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4E722BC9" w:rsidR="00E56326" w:rsidRPr="00A27F93" w:rsidRDefault="008C6C8D" w:rsidP="00047698">
      <w:pPr>
        <w:spacing w:line="480" w:lineRule="auto"/>
      </w:pPr>
      <w:r w:rsidRPr="00A27F93">
        <w:lastRenderedPageBreak/>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Pr="00A27F93">
        <w:t xml:space="preserve">mixed at the surface.  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(ie.</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34A31522"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 xml:space="preserve">scat </w:t>
      </w:r>
      <w:r w:rsidR="00FB0B26" w:rsidRPr="00A27F93">
        <w:lastRenderedPageBreak/>
        <w:t>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between 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[34]</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73F882B3"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 xml:space="preserve">eer abundance and pig 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We applied for and received special use permits to conduct research on U.S. Fish and Wildlife Service (Department of Interior) Wildlife Refuge property in 2010. This was coordinated through Refuge Manager Joseph Schwagerl (</w:t>
      </w:r>
      <w:hyperlink r:id="rId13" w:history="1">
        <w:r w:rsidRPr="00A27F93">
          <w:rPr>
            <w:rStyle w:val="Hyperlink"/>
          </w:rPr>
          <w:t>Joseph_Schwagerl@fws.gov</w:t>
        </w:r>
      </w:hyperlink>
      <w:r w:rsidRPr="00A27F93">
        <w:t>) and Refuge Biologist Cari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lastRenderedPageBreak/>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670CD4" w:rsidR="008C6C8D" w:rsidRPr="00A27F93" w:rsidRDefault="008C6C8D" w:rsidP="00563C6A">
      <w:pPr>
        <w:spacing w:line="480" w:lineRule="auto"/>
      </w:pPr>
      <w:r w:rsidRPr="00A27F93">
        <w:tab/>
        <w:t>Seedling survival in seedling plots varied depending on species</w:t>
      </w:r>
      <w:r w:rsidR="00B40D2B" w:rsidRPr="00A27F93">
        <w:t xml:space="preserve"> </w:t>
      </w:r>
      <w:r w:rsidRPr="00A27F93">
        <w:t xml:space="preserve">and fencing treatment. </w:t>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 However, t</w:t>
      </w:r>
      <w:r w:rsidR="0001361E" w:rsidRPr="00A27F93">
        <w:t xml:space="preserve">he full </w:t>
      </w:r>
      <w:r w:rsidR="00B472AD" w:rsidRPr="00A27F93">
        <w:t xml:space="preserve">three-way </w:t>
      </w:r>
      <w:r w:rsidR="0001361E" w:rsidRPr="00A27F93">
        <w:t>model was not a better fit</w:t>
      </w:r>
      <w:r w:rsidR="00B472AD" w:rsidRPr="00A27F93">
        <w:t xml:space="preserve"> than the model with species and treatment with interaction</w:t>
      </w:r>
      <w:r w:rsidR="006A230C" w:rsidRPr="00A27F93">
        <w:t>, indicating that length of time did not contribute to explaining survival</w:t>
      </w:r>
      <w:r w:rsidR="00B472AD" w:rsidRPr="00A27F93">
        <w:t xml:space="preserve">. AICc for the </w:t>
      </w:r>
      <w:r w:rsidR="00182964" w:rsidRPr="00A27F93">
        <w:t>model with the three-way interaction</w:t>
      </w:r>
      <w:r w:rsidR="00B472AD" w:rsidRPr="00A27F93">
        <w:t xml:space="preserve"> was 672.12, higher than AICc of 612.89 for </w:t>
      </w:r>
      <w:r w:rsidR="00182964" w:rsidRPr="00A27F93">
        <w:t xml:space="preserve">just the </w:t>
      </w:r>
      <w:r w:rsidR="00B472AD" w:rsidRPr="00A27F93">
        <w:t>species and treatment</w:t>
      </w:r>
      <w:r w:rsidR="00182964" w:rsidRPr="00A27F93">
        <w:t xml:space="preserve"> interaction</w:t>
      </w:r>
      <w:r w:rsidR="00B472AD" w:rsidRPr="00A27F93">
        <w:t xml:space="preserve">. </w:t>
      </w:r>
      <w:r w:rsidR="00DA08FC" w:rsidRPr="00A27F93">
        <w:t>The best fit model predicting survival strongly depended on species. However, when we looked at each species specifically, we saw that</w:t>
      </w:r>
      <w:r w:rsidR="009F7F40" w:rsidRPr="00A27F93">
        <w:t xml:space="preserve"> treatment did affect survival (see Table 1 for AICc values). </w:t>
      </w: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r w:rsidR="00830B4E" w:rsidRPr="00A27F93">
        <w:t xml:space="preserve"> (Table 1)</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5" w:name="_Hlk485388296"/>
      <w:r w:rsidR="00E64CA9">
        <w:t>Almost all mortality observed in seedling plots was in the form of deer herbivory – evident by leaves and stems being cut from the seedlings – instead of disturbed by uprooting by pigs.</w:t>
      </w:r>
    </w:p>
    <w:bookmarkEnd w:id="5"/>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0F439C31" w:rsidR="008C6C8D" w:rsidRPr="00A27F93" w:rsidRDefault="008C6C8D" w:rsidP="000E18E6">
      <w:pPr>
        <w:spacing w:line="480" w:lineRule="auto"/>
        <w:ind w:firstLine="720"/>
      </w:pPr>
      <w:r w:rsidRPr="00A27F93">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Only 13 individual seedlings, from four different species of non-native plants and two unknown species germinated from 2</w:t>
      </w:r>
      <w:r w:rsidR="00182964" w:rsidRPr="00A27F93">
        <w:t>0 deer scats (Table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w:t>
      </w:r>
      <w:r w:rsidRPr="00A27F93">
        <w:lastRenderedPageBreak/>
        <w:t xml:space="preserve">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w:t>
      </w:r>
      <w:r w:rsidR="00FB7078">
        <w:t xml:space="preserve"> the soil around the deer scat</w:t>
      </w:r>
      <w:r w:rsidR="00984EAB" w:rsidRPr="00A27F93">
        <w:t xml:space="preserve">s. The </w:t>
      </w:r>
      <w:r w:rsidR="00984EAB" w:rsidRPr="00A27F93">
        <w:rPr>
          <w:i/>
        </w:rPr>
        <w:t>M. micrantha</w:t>
      </w:r>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6"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0E18E6" w:rsidRPr="00A27F93">
        <w:t>spp.</w:t>
      </w:r>
      <w:r w:rsidR="00CB4B84">
        <w:t xml:space="preserve"> (in three scats)</w:t>
      </w:r>
      <w:r w:rsidR="000E18E6" w:rsidRPr="00A27F93">
        <w:t xml:space="preserve"> and</w:t>
      </w:r>
      <w:r w:rsidR="000E18E6" w:rsidRPr="00A27F93">
        <w:rPr>
          <w:i/>
          <w:iCs/>
        </w:rPr>
        <w:t xml:space="preserve"> 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6"/>
    </w:p>
    <w:p w14:paraId="6DA2AB11" w14:textId="7AAECFDC"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bookmarkStart w:id="7" w:name="_GoBack"/>
      <w:bookmarkEnd w:id="7"/>
      <w:r w:rsidR="00290C60" w:rsidRPr="00A27F93">
        <w:t xml:space="preserve">: the total number of seedlings that germinated from pig scat for a given species was divided by the total number of seedlings of all species that germinated from pig scats. </w:t>
      </w:r>
      <w:r w:rsidRPr="00A27F93">
        <w:t xml:space="preserve">The species found in the highest proportion of scats for both deer and </w:t>
      </w:r>
      <w:r w:rsidRPr="00A27F93">
        <w:lastRenderedPageBreak/>
        <w:t>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4EB0A321"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FE1FBD">
        <w:t>numbers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the sheer number of native seeds counted germinating from pig scats came primarily from two man</w:t>
      </w:r>
      <w:r w:rsidR="002A042D" w:rsidRPr="00A27F93">
        <w:t>y</w:t>
      </w:r>
      <w:r w:rsidR="00267071" w:rsidRPr="00A27F93">
        <w:t xml:space="preserve">-seeded species of fruits: </w:t>
      </w:r>
      <w:r w:rsidR="00267071" w:rsidRPr="00A27F93">
        <w:rPr>
          <w:i/>
        </w:rPr>
        <w:t>Morinda citrifolia</w:t>
      </w:r>
      <w:r w:rsidR="00267071" w:rsidRPr="00A27F93">
        <w:t xml:space="preserve"> and </w:t>
      </w:r>
      <w:r w:rsidR="00267071" w:rsidRPr="00A27F93">
        <w:rPr>
          <w:i/>
        </w:rPr>
        <w:t>Ficus prolixa</w:t>
      </w:r>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w:t>
      </w:r>
      <w:r w:rsidR="007A4BA1" w:rsidRPr="00A27F93">
        <w:lastRenderedPageBreak/>
        <w:t xml:space="preserve">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061EFCFE"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M. citrifolia, Ficus</w:t>
      </w:r>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Both </w:t>
      </w:r>
      <w:r w:rsidRPr="00A27F93">
        <w:rPr>
          <w:i/>
          <w:sz w:val="24"/>
          <w:szCs w:val="24"/>
        </w:rPr>
        <w:t>M. citrifolia</w:t>
      </w:r>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[35,36]</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M. citrifolia</w:t>
      </w:r>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7C7C8ACF" w:rsidR="00843E95" w:rsidRPr="00A27F93" w:rsidRDefault="002F3A7E" w:rsidP="004335A2">
      <w:pPr>
        <w:pStyle w:val="CommentText"/>
        <w:spacing w:after="0" w:line="480" w:lineRule="auto"/>
        <w:ind w:firstLine="720"/>
        <w:rPr>
          <w:sz w:val="24"/>
          <w:szCs w:val="24"/>
        </w:rPr>
      </w:pPr>
      <w:bookmarkStart w:id="8"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lastRenderedPageBreak/>
        <w:t>M. citrifolia, Ficus</w:t>
      </w:r>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sweet or pungent when ripe, all 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37</w:t>
      </w:r>
      <w:r w:rsidR="00E15965" w:rsidRPr="00A27F93">
        <w:rPr>
          <w:sz w:val="24"/>
          <w:szCs w:val="24"/>
        </w:rPr>
        <w:t>].</w:t>
      </w:r>
      <w:r w:rsidR="007914E4" w:rsidRPr="00A27F93">
        <w:rPr>
          <w:sz w:val="24"/>
          <w:szCs w:val="24"/>
        </w:rPr>
        <w:t xml:space="preserve">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7F3358" w:rsidRPr="00A27F93">
        <w:rPr>
          <w:sz w:val="24"/>
          <w:szCs w:val="24"/>
        </w:rPr>
        <w:t>38,39</w:t>
      </w:r>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41</w:t>
      </w:r>
      <w:r w:rsidR="007F3358" w:rsidRPr="00A27F93">
        <w:rPr>
          <w:sz w:val="24"/>
          <w:szCs w:val="24"/>
        </w:rPr>
        <w:t>,</w:t>
      </w:r>
      <w:r w:rsidR="00296C2C" w:rsidRPr="00A27F93">
        <w:rPr>
          <w:sz w:val="24"/>
          <w:szCs w:val="24"/>
        </w:rPr>
        <w:t>42</w:t>
      </w:r>
      <w:r w:rsidR="00030265" w:rsidRPr="00A27F93">
        <w:rPr>
          <w:sz w:val="24"/>
          <w:szCs w:val="24"/>
        </w:rPr>
        <w:t xml:space="preserve">], potentially 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[27,43,44,45</w:t>
      </w:r>
      <w:r w:rsidR="004C75C9">
        <w:rPr>
          <w:sz w:val="24"/>
          <w:szCs w:val="24"/>
        </w:rPr>
        <w:t>, 46</w:t>
      </w:r>
      <w:r w:rsidR="00296C2C" w:rsidRPr="00A27F93">
        <w:rPr>
          <w:sz w:val="24"/>
          <w:szCs w:val="24"/>
        </w:rPr>
        <w:t>]</w:t>
      </w:r>
      <w:r w:rsidR="00BE1D8E" w:rsidRPr="00A27F93">
        <w:rPr>
          <w:sz w:val="24"/>
          <w:szCs w:val="24"/>
        </w:rPr>
        <w:t xml:space="preserve">, suggestive of potent chemical properties, but, in contrast, </w:t>
      </w:r>
      <w:r w:rsidR="00296C2C" w:rsidRPr="00A27F93">
        <w:rPr>
          <w:sz w:val="24"/>
          <w:szCs w:val="24"/>
        </w:rPr>
        <w:t>were all</w:t>
      </w:r>
      <w:r w:rsidR="00BE1D8E" w:rsidRPr="00A27F93">
        <w:rPr>
          <w:sz w:val="24"/>
          <w:szCs w:val="24"/>
        </w:rPr>
        <w:t xml:space="preserve"> consumed by deer in our open seedling plots instead of avoided. Since they have no visible physical defences, </w:t>
      </w:r>
      <w:r w:rsidR="00296C2C" w:rsidRPr="00A27F93">
        <w:rPr>
          <w:sz w:val="24"/>
          <w:szCs w:val="24"/>
        </w:rPr>
        <w:t>the</w:t>
      </w:r>
      <w:r w:rsidR="00BE1D8E" w:rsidRPr="00A27F93">
        <w:rPr>
          <w:sz w:val="24"/>
          <w:szCs w:val="24"/>
        </w:rPr>
        <w:t xml:space="preserve"> chemical composition of the avoided species</w:t>
      </w:r>
      <w:r w:rsidR="00296C2C" w:rsidRPr="00A27F93">
        <w:rPr>
          <w:sz w:val="24"/>
          <w:szCs w:val="24"/>
        </w:rPr>
        <w:t xml:space="preserve"> surely</w:t>
      </w:r>
      <w:r w:rsidR="00BE1D8E" w:rsidRPr="00A27F93">
        <w:rPr>
          <w:sz w:val="24"/>
          <w:szCs w:val="24"/>
        </w:rPr>
        <w:t xml:space="preserve"> contribute</w:t>
      </w:r>
      <w:r w:rsidR="00296C2C" w:rsidRPr="00A27F93">
        <w:rPr>
          <w:sz w:val="24"/>
          <w:szCs w:val="24"/>
        </w:rPr>
        <w:t>s</w:t>
      </w:r>
      <w:r w:rsidR="00BE1D8E" w:rsidRPr="00A27F93">
        <w:rPr>
          <w:sz w:val="24"/>
          <w:szCs w:val="24"/>
        </w:rPr>
        <w:t xml:space="preserve"> to their defence against herbivory. The other species that were consumed, although medicinal</w:t>
      </w:r>
      <w:r w:rsidR="00296C2C" w:rsidRPr="00A27F93">
        <w:rPr>
          <w:sz w:val="24"/>
          <w:szCs w:val="24"/>
        </w:rPr>
        <w:t xml:space="preserve">, were more palatable to deer, suggesting that deer have some tolerance of plants with antimicrobial and other medicinal uses. This, rather than just origin or status as native, contributed to their susceptibility in Guam. </w:t>
      </w:r>
    </w:p>
    <w:bookmarkEnd w:id="8"/>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w:t>
      </w:r>
      <w:r w:rsidR="008C6C8D" w:rsidRPr="00A27F93">
        <w:rPr>
          <w:sz w:val="24"/>
          <w:szCs w:val="24"/>
        </w:rPr>
        <w:lastRenderedPageBreak/>
        <w:t xml:space="preserve">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9" w:name="_Hlk485387436"/>
      <w:r w:rsidR="00A27F93" w:rsidRPr="00A27F93">
        <w:rPr>
          <w:sz w:val="24"/>
          <w:szCs w:val="24"/>
        </w:rPr>
        <w:t xml:space="preserve">Unfortunately, since both deer and pigs have been present for centuries, we had no true “ungulate-free” control. To remedy this, we used exclosures and gradients of abundance to tease apart what their effects are to plant communities. </w:t>
      </w:r>
      <w:bookmarkEnd w:id="9"/>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BDECF36"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0"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[17,47-49</w:t>
      </w:r>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10"/>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 xml:space="preserve">with </w:t>
      </w:r>
      <w:r w:rsidR="009E3889" w:rsidRPr="00A27F93">
        <w:rPr>
          <w:sz w:val="24"/>
          <w:szCs w:val="24"/>
        </w:rPr>
        <w:lastRenderedPageBreak/>
        <w:t>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75A057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[50-5</w:t>
      </w:r>
      <w:r w:rsidR="00F00ED8" w:rsidRPr="00A27F93">
        <w:t>2]</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[53,5</w:t>
      </w:r>
      <w:r w:rsidR="00F00ED8" w:rsidRPr="00A27F93">
        <w:t>4]</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[55,5</w:t>
      </w:r>
      <w:r w:rsidR="00F00ED8" w:rsidRPr="00A27F93">
        <w:t>6]</w:t>
      </w:r>
      <w:r w:rsidR="007934AD" w:rsidRPr="00A27F93">
        <w:fldChar w:fldCharType="end"/>
      </w:r>
      <w:r w:rsidRPr="00A27F93">
        <w:t xml:space="preserve">.  </w:t>
      </w:r>
      <w:bookmarkStart w:id="11" w:name="_Hlk485373908"/>
      <w:bookmarkStart w:id="12"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1"/>
      <w:r w:rsidR="00262206" w:rsidRPr="00A27F93">
        <w:t xml:space="preserve"> A similar study in the clay soils of Guam would likely produce different results. </w:t>
      </w:r>
      <w:bookmarkEnd w:id="12"/>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w:t>
      </w:r>
      <w:r w:rsidRPr="00A27F93">
        <w:lastRenderedPageBreak/>
        <w:t xml:space="preserve">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Haldre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 xml:space="preserve">Alexander Kerr aided in </w:t>
      </w:r>
      <w:r w:rsidR="007533B4" w:rsidRPr="00A27F93">
        <w:lastRenderedPageBreak/>
        <w:t>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Leanne Obra and Joseph Vinch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Haldre Rogers and Ross Miller 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24949397" w:rsidR="00F00ED8" w:rsidRPr="00A27F93"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334EC95" w:rsidR="00F00ED8" w:rsidRPr="00A27F93" w:rsidRDefault="00296C2C" w:rsidP="00F00ED8">
      <w:r w:rsidRPr="00A27F93">
        <w:t>33</w:t>
      </w:r>
      <w:r w:rsidR="00F00ED8" w:rsidRPr="00A27F93">
        <w:t>. R Core Team (2017). R: A language and environment for statistical computing. R Foundation for Statistical Computing, Vienna, Austria. URL https://www.R-project.org/.</w:t>
      </w:r>
    </w:p>
    <w:p w14:paraId="28B152ED" w14:textId="1C489F5E" w:rsidR="00F00ED8" w:rsidRPr="00A27F93" w:rsidRDefault="00296C2C" w:rsidP="00F00ED8">
      <w:r w:rsidRPr="00A27F93">
        <w:t>34</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6B9ACC2B" w:rsidR="00F00ED8" w:rsidRPr="00A27F93" w:rsidRDefault="00296C2C" w:rsidP="00F00ED8">
      <w:r w:rsidRPr="00A27F93">
        <w:t>35</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2D35FD0A" w:rsidR="00F00ED8" w:rsidRPr="00A27F93" w:rsidRDefault="00296C2C" w:rsidP="00F00ED8">
      <w:r w:rsidRPr="00A27F93">
        <w:t>36</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5589FA83" w:rsidR="00F00ED8" w:rsidRPr="00A27F93" w:rsidRDefault="00296C2C" w:rsidP="00F00ED8">
      <w:r w:rsidRPr="00A27F93">
        <w:t>37</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77777777" w:rsidR="00DC4FD7" w:rsidRDefault="00296C2C" w:rsidP="00DC4FD7">
      <w:r w:rsidRPr="00A27F93">
        <w:lastRenderedPageBreak/>
        <w:t>38</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2DC4939C" w:rsidR="005A78A8" w:rsidRPr="00A27F93" w:rsidRDefault="00296C2C" w:rsidP="00DC4FD7">
      <w:r w:rsidRPr="00A27F93">
        <w:t>39</w:t>
      </w:r>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163E126D" w:rsidR="00AD233B" w:rsidRPr="00A27F93" w:rsidRDefault="00296C2C">
      <w:r w:rsidRPr="00A27F93">
        <w:t>40</w:t>
      </w:r>
      <w:r w:rsidR="00AD233B" w:rsidRPr="00A27F93">
        <w:t>. Clauss, M., Lason, K., Gehrke, J., Lechner-Doll, M., Fickel, J., Grune, T., &amp; Stre</w:t>
      </w:r>
      <w:r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0B6E8362" w:rsidR="007F3358" w:rsidRPr="00A27F93" w:rsidRDefault="00296C2C">
      <w:r w:rsidRPr="00A27F93">
        <w:t>41</w:t>
      </w:r>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6B6739AC" w:rsidR="007F3358" w:rsidRPr="00A27F93" w:rsidRDefault="00296C2C">
      <w:r w:rsidRPr="00A27F93">
        <w:t>42</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48B07CB0" w:rsidR="00BE1D8E" w:rsidRPr="00A27F93" w:rsidRDefault="00296C2C">
      <w:r w:rsidRPr="00A27F93">
        <w:t>43</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25FC6C37" w:rsidR="00BE1D8E" w:rsidRPr="00A27F93" w:rsidRDefault="00296C2C">
      <w:r w:rsidRPr="00A27F93">
        <w:t>44</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15B1C0B3" w:rsidR="00296C2C" w:rsidRDefault="00296C2C">
      <w:r w:rsidRPr="00A27F93">
        <w:t xml:space="preserve">45.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04DDAE04" w:rsidR="00DC4FD7" w:rsidRPr="00A27F93" w:rsidRDefault="00DC4FD7">
      <w:r>
        <w:t xml:space="preserve">46.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6BD02507" w:rsidR="00F00ED8" w:rsidRPr="00A27F93" w:rsidRDefault="00DC4FD7">
      <w:r>
        <w:t>47</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26387F9B" w:rsidR="00F00ED8" w:rsidRPr="00A27F93" w:rsidRDefault="00DC4FD7">
      <w:r>
        <w:t>48</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1C960CC8" w:rsidR="00F00ED8" w:rsidRPr="00A27F93" w:rsidRDefault="00DC4FD7">
      <w:r>
        <w:t>49</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236D6703" w:rsidR="00432AB5" w:rsidRPr="00A27F93" w:rsidRDefault="00DC4FD7">
      <w:pPr>
        <w:rPr>
          <w:i/>
        </w:rPr>
      </w:pPr>
      <w:r>
        <w:t>50</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00DD1096" w:rsidR="00F00ED8" w:rsidRPr="00A27F93" w:rsidRDefault="00DC4FD7">
      <w:r>
        <w:t>51</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2028F100" w:rsidR="00F00ED8" w:rsidRPr="00A27F93" w:rsidRDefault="00DC4FD7">
      <w:r>
        <w:t>52</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745A89E0" w:rsidR="00F00ED8" w:rsidRPr="00A27F93" w:rsidRDefault="00DC4FD7">
      <w:r>
        <w:t>53</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44158A6D" w:rsidR="00F00ED8" w:rsidRPr="00A27F93" w:rsidRDefault="00DC4FD7">
      <w:r>
        <w:t>54</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38E912D" w:rsidR="00F00ED8" w:rsidRPr="00A27F93" w:rsidRDefault="00DC4FD7">
      <w:r>
        <w:lastRenderedPageBreak/>
        <w:t>55</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5CC3E23D" w:rsidR="00F00ED8" w:rsidRPr="00A27F93" w:rsidRDefault="00DC4FD7">
      <w:r>
        <w:t>56</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6DB28A36" w:rsidR="00F00ED8" w:rsidRPr="00A27F93" w:rsidRDefault="00DC4FD7">
      <w:r>
        <w:t>57</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441ABA43" w:rsidR="00432AB5" w:rsidRPr="00A27F93" w:rsidRDefault="00DC4FD7">
      <w:r>
        <w:t>58</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009A2510" w:rsidR="00F00ED8" w:rsidRPr="00A27F93" w:rsidRDefault="00DC4FD7">
      <w:r>
        <w:t>59</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3C57FCAC" w:rsidR="00F00ED8" w:rsidRPr="00A27F93" w:rsidRDefault="00DC4FD7">
      <w:r>
        <w:t>60</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723E25C2" w:rsidR="00F00ED8" w:rsidRPr="00A27F93" w:rsidRDefault="00DC4FD7">
      <w:r>
        <w:t>61</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1E6DD0C" w:rsidR="008C6C8D" w:rsidRDefault="00DC4FD7" w:rsidP="004B3F92">
      <w:r>
        <w:t>62</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(doi: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296F9" w14:textId="77777777" w:rsidR="00AD478D" w:rsidRDefault="00AD478D">
      <w:r>
        <w:separator/>
      </w:r>
    </w:p>
  </w:endnote>
  <w:endnote w:type="continuationSeparator" w:id="0">
    <w:p w14:paraId="7F7A46A5" w14:textId="77777777" w:rsidR="00AD478D" w:rsidRDefault="00AD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2507C" w14:textId="77777777" w:rsidR="00AD478D" w:rsidRDefault="00AD478D">
      <w:r>
        <w:separator/>
      </w:r>
    </w:p>
  </w:footnote>
  <w:footnote w:type="continuationSeparator" w:id="0">
    <w:p w14:paraId="1A202C3B" w14:textId="77777777" w:rsidR="00AD478D" w:rsidRDefault="00AD4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72AEB3D" w:rsidR="00CB4B84" w:rsidRDefault="00CB4B84"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B7078">
      <w:rPr>
        <w:rStyle w:val="PageNumber"/>
        <w:noProof/>
      </w:rPr>
      <w:t>11</w:t>
    </w:r>
    <w:r>
      <w:rPr>
        <w:rStyle w:val="PageNumber"/>
      </w:rPr>
      <w:fldChar w:fldCharType="end"/>
    </w:r>
  </w:p>
  <w:p w14:paraId="264C8BE4" w14:textId="77777777" w:rsidR="00CB4B84" w:rsidRDefault="00CB4B84"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0337"/>
    <w:rsid w:val="0007232A"/>
    <w:rsid w:val="00073BA0"/>
    <w:rsid w:val="00080186"/>
    <w:rsid w:val="00080464"/>
    <w:rsid w:val="00084B9F"/>
    <w:rsid w:val="00091CBC"/>
    <w:rsid w:val="00095113"/>
    <w:rsid w:val="00096DA2"/>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40A"/>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F0674"/>
    <w:rsid w:val="007F3358"/>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B0206"/>
    <w:rsid w:val="009B0F1A"/>
    <w:rsid w:val="009B294B"/>
    <w:rsid w:val="009C342C"/>
    <w:rsid w:val="009C74E3"/>
    <w:rsid w:val="009C7891"/>
    <w:rsid w:val="009D40CA"/>
    <w:rsid w:val="009D6134"/>
    <w:rsid w:val="009D73F2"/>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E0A"/>
    <w:rsid w:val="00A11F43"/>
    <w:rsid w:val="00A13A2A"/>
    <w:rsid w:val="00A15828"/>
    <w:rsid w:val="00A2031E"/>
    <w:rsid w:val="00A23E67"/>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C4FD7"/>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A63"/>
    <w:rsid w:val="00F15FA5"/>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BD735-BFA6-40E8-A364-130ACDC6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22</Pages>
  <Words>18283</Words>
  <Characters>104215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28</cp:revision>
  <cp:lastPrinted>2015-12-14T02:40:00Z</cp:lastPrinted>
  <dcterms:created xsi:type="dcterms:W3CDTF">2017-06-13T05:37:00Z</dcterms:created>
  <dcterms:modified xsi:type="dcterms:W3CDTF">2017-06-21T05:05:00Z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