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word/charts/chart1.xml" ContentType="application/vnd.openxmlformats-officedocument.drawingml.chart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A9A" w:rsidRDefault="001D2A9A"/>
    <w:p w:rsidR="00205805" w:rsidRDefault="00205805" w:rsidP="002058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3600" cy="4448810"/>
            <wp:effectExtent l="50800" t="25400" r="25400" b="215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05" w:rsidRDefault="00060C12" w:rsidP="0020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1</w:t>
      </w:r>
      <w:r w:rsidR="00205805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gramStart"/>
      <w:r w:rsidR="00205805" w:rsidRPr="004B57DD">
        <w:rPr>
          <w:rFonts w:ascii="Times New Roman" w:hAnsi="Times New Roman" w:cs="Times New Roman"/>
          <w:sz w:val="24"/>
          <w:szCs w:val="24"/>
        </w:rPr>
        <w:t>Design and dimensions of seedling plots.</w:t>
      </w:r>
      <w:proofErr w:type="gramEnd"/>
      <w:r w:rsidR="002058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5805">
        <w:rPr>
          <w:rFonts w:ascii="Times New Roman" w:hAnsi="Times New Roman" w:cs="Times New Roman"/>
          <w:sz w:val="24"/>
          <w:szCs w:val="24"/>
        </w:rPr>
        <w:t>Seedlings of six different species of trees were planted in paired plots</w:t>
      </w:r>
      <w:r w:rsidR="00205805" w:rsidRPr="00124D16">
        <w:rPr>
          <w:rFonts w:ascii="Times New Roman" w:hAnsi="Times New Roman" w:cs="Times New Roman"/>
          <w:sz w:val="24"/>
          <w:szCs w:val="24"/>
        </w:rPr>
        <w:t>. Paired plots are not</w:t>
      </w:r>
      <w:r w:rsidR="00205805">
        <w:rPr>
          <w:rFonts w:ascii="Times New Roman" w:hAnsi="Times New Roman" w:cs="Times New Roman"/>
          <w:sz w:val="24"/>
          <w:szCs w:val="24"/>
        </w:rPr>
        <w:t xml:space="preserve"> necessarily next to one another, but within 10 m of each other.</w:t>
      </w:r>
    </w:p>
    <w:p w:rsidR="00205805" w:rsidRDefault="00205805" w:rsidP="002058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205805" w:rsidRDefault="00205805" w:rsidP="002058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5805" w:rsidRDefault="00060C12" w:rsidP="002058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805" w:rsidRDefault="005421CE" w:rsidP="0020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  <w:r w:rsidR="00205805" w:rsidRPr="00124D16">
        <w:rPr>
          <w:rFonts w:ascii="Times New Roman" w:hAnsi="Times New Roman" w:cs="Times New Roman"/>
          <w:b/>
          <w:sz w:val="24"/>
          <w:szCs w:val="24"/>
        </w:rPr>
        <w:t>.</w:t>
      </w:r>
      <w:r w:rsidR="00205805" w:rsidRPr="00124D16">
        <w:rPr>
          <w:rFonts w:ascii="Times New Roman" w:hAnsi="Times New Roman" w:cs="Times New Roman"/>
          <w:sz w:val="24"/>
          <w:szCs w:val="24"/>
        </w:rPr>
        <w:t xml:space="preserve"> </w:t>
      </w:r>
      <w:r w:rsidR="00205805">
        <w:rPr>
          <w:rFonts w:ascii="Times New Roman" w:hAnsi="Times New Roman" w:cs="Times New Roman"/>
          <w:sz w:val="24"/>
          <w:szCs w:val="24"/>
        </w:rPr>
        <w:t xml:space="preserve">Design and dimensions of vegetation and ungulate-sign transects. </w:t>
      </w:r>
      <w:r w:rsidR="00205805" w:rsidRPr="00124D16">
        <w:rPr>
          <w:rFonts w:ascii="Times New Roman" w:hAnsi="Times New Roman" w:cs="Times New Roman"/>
          <w:sz w:val="24"/>
          <w:szCs w:val="24"/>
        </w:rPr>
        <w:t>Two 50-m by 1-m transects were used to survey vegetation. Scat</w:t>
      </w:r>
      <w:r w:rsidR="00205805">
        <w:rPr>
          <w:rFonts w:ascii="Times New Roman" w:hAnsi="Times New Roman" w:cs="Times New Roman"/>
          <w:sz w:val="24"/>
          <w:szCs w:val="24"/>
        </w:rPr>
        <w:t>s</w:t>
      </w:r>
      <w:r w:rsidR="00205805" w:rsidRPr="00124D16">
        <w:rPr>
          <w:rFonts w:ascii="Times New Roman" w:hAnsi="Times New Roman" w:cs="Times New Roman"/>
          <w:sz w:val="24"/>
          <w:szCs w:val="24"/>
        </w:rPr>
        <w:t xml:space="preserve"> and other ungulate sign were counted along these transects</w:t>
      </w:r>
      <w:r w:rsidR="00205805">
        <w:rPr>
          <w:rFonts w:ascii="Times New Roman" w:hAnsi="Times New Roman" w:cs="Times New Roman"/>
          <w:sz w:val="24"/>
          <w:szCs w:val="24"/>
        </w:rPr>
        <w:t xml:space="preserve"> and</w:t>
      </w:r>
      <w:r w:rsidR="00205805" w:rsidRPr="00124D16">
        <w:rPr>
          <w:rFonts w:ascii="Times New Roman" w:hAnsi="Times New Roman" w:cs="Times New Roman"/>
          <w:sz w:val="24"/>
          <w:szCs w:val="24"/>
        </w:rPr>
        <w:t xml:space="preserve"> additional walki</w:t>
      </w:r>
      <w:r w:rsidR="00205805">
        <w:rPr>
          <w:rFonts w:ascii="Times New Roman" w:hAnsi="Times New Roman" w:cs="Times New Roman"/>
          <w:sz w:val="24"/>
          <w:szCs w:val="24"/>
        </w:rPr>
        <w:t xml:space="preserve">ng transects, in approximately a 100-m by 100-m square. The opaque square in the center depicts the seedling-plot </w:t>
      </w:r>
      <w:proofErr w:type="spellStart"/>
      <w:r w:rsidR="00205805">
        <w:rPr>
          <w:rFonts w:ascii="Times New Roman" w:hAnsi="Times New Roman" w:cs="Times New Roman"/>
          <w:sz w:val="24"/>
          <w:szCs w:val="24"/>
        </w:rPr>
        <w:t>exclosure</w:t>
      </w:r>
      <w:proofErr w:type="spellEnd"/>
      <w:r w:rsidR="00205805">
        <w:rPr>
          <w:rFonts w:ascii="Times New Roman" w:hAnsi="Times New Roman" w:cs="Times New Roman"/>
          <w:sz w:val="24"/>
          <w:szCs w:val="24"/>
        </w:rPr>
        <w:t xml:space="preserve"> that was present at most, but not all, of the sites.</w:t>
      </w:r>
    </w:p>
    <w:p w:rsidR="00135A47" w:rsidRDefault="00161ECA" w:rsidP="002058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50800" t="25400" r="25400" b="1270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BFA" w:rsidRPr="00124D16" w:rsidRDefault="002F5BFA" w:rsidP="002F5B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3</w:t>
      </w:r>
      <w:r w:rsidRPr="00124D1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FD77D3">
        <w:rPr>
          <w:rFonts w:ascii="Times New Roman" w:hAnsi="Times New Roman" w:cs="Times New Roman"/>
          <w:sz w:val="24"/>
          <w:szCs w:val="24"/>
        </w:rPr>
        <w:t>Survival in seedling plots.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Treatment by fencing or removing ungulate access affected seedling survival, indicated by “proportion alive.” Error bars show one standard error of the mean. </w:t>
      </w:r>
      <w:r w:rsidR="005C08A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ignificant effect on seedling survival based on </w:t>
      </w:r>
      <w:r w:rsidR="00FF7748">
        <w:rPr>
          <w:rFonts w:ascii="Times New Roman" w:hAnsi="Times New Roman" w:cs="Times New Roman"/>
          <w:sz w:val="24"/>
          <w:szCs w:val="24"/>
        </w:rPr>
        <w:t>log likelihood ratio test of models with and without treatment.</w:t>
      </w:r>
    </w:p>
    <w:p w:rsidR="002F5BFA" w:rsidRPr="00124D16" w:rsidRDefault="002F5BFA" w:rsidP="002F5BF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F5BFA" w:rsidRPr="00124D16" w:rsidRDefault="00D21405" w:rsidP="00205805">
      <w:pPr>
        <w:rPr>
          <w:rFonts w:ascii="Times New Roman" w:hAnsi="Times New Roman" w:cs="Times New Roman"/>
          <w:sz w:val="24"/>
          <w:szCs w:val="24"/>
        </w:rPr>
      </w:pPr>
      <w:r w:rsidRPr="00D214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3213100"/>
            <wp:effectExtent l="25400" t="25400" r="12700" b="0"/>
            <wp:docPr id="12" name="C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F5BFA" w:rsidRPr="00124D16" w:rsidRDefault="005421CE" w:rsidP="002F5B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4</w:t>
      </w:r>
      <w:r w:rsidR="002F5BFA">
        <w:rPr>
          <w:rFonts w:ascii="Times New Roman" w:hAnsi="Times New Roman" w:cs="Times New Roman"/>
          <w:b/>
          <w:sz w:val="24"/>
          <w:szCs w:val="24"/>
        </w:rPr>
        <w:t>.</w:t>
      </w:r>
      <w:r w:rsidR="002F5BFA">
        <w:rPr>
          <w:rFonts w:ascii="Times New Roman" w:hAnsi="Times New Roman" w:cs="Times New Roman"/>
          <w:sz w:val="24"/>
          <w:szCs w:val="24"/>
        </w:rPr>
        <w:t xml:space="preserve"> Manly Selectivity Index values (</w:t>
      </w:r>
      <w:r w:rsidR="002F5BFA" w:rsidRPr="00025C54">
        <w:rPr>
          <w:rFonts w:ascii="Times New Roman" w:hAnsi="Times New Roman" w:cs="Times New Roman"/>
          <w:i/>
          <w:sz w:val="24"/>
          <w:szCs w:val="24"/>
        </w:rPr>
        <w:t>B</w:t>
      </w:r>
      <w:r w:rsidR="002F5BFA">
        <w:rPr>
          <w:rFonts w:ascii="Times New Roman" w:hAnsi="Times New Roman" w:cs="Times New Roman"/>
          <w:sz w:val="24"/>
          <w:szCs w:val="24"/>
        </w:rPr>
        <w:t xml:space="preserve">) for native and exotic plants. Manly Selectivity Index values were higher for native species in pig scats collected from </w:t>
      </w:r>
      <w:proofErr w:type="spellStart"/>
      <w:r w:rsidR="002F5BFA">
        <w:rPr>
          <w:rFonts w:ascii="Times New Roman" w:hAnsi="Times New Roman" w:cs="Times New Roman"/>
          <w:sz w:val="24"/>
          <w:szCs w:val="24"/>
        </w:rPr>
        <w:t>Anao</w:t>
      </w:r>
      <w:proofErr w:type="spellEnd"/>
      <w:r w:rsidR="002F5BFA">
        <w:rPr>
          <w:rFonts w:ascii="Times New Roman" w:hAnsi="Times New Roman" w:cs="Times New Roman"/>
          <w:sz w:val="24"/>
          <w:szCs w:val="24"/>
        </w:rPr>
        <w:t xml:space="preserve"> North and </w:t>
      </w:r>
      <w:proofErr w:type="spellStart"/>
      <w:r w:rsidR="002F5BFA">
        <w:rPr>
          <w:rFonts w:ascii="Times New Roman" w:hAnsi="Times New Roman" w:cs="Times New Roman"/>
          <w:sz w:val="24"/>
          <w:szCs w:val="24"/>
        </w:rPr>
        <w:t>Ritidian</w:t>
      </w:r>
      <w:proofErr w:type="spellEnd"/>
      <w:r w:rsidR="002F5BFA">
        <w:rPr>
          <w:rFonts w:ascii="Times New Roman" w:hAnsi="Times New Roman" w:cs="Times New Roman"/>
          <w:sz w:val="24"/>
          <w:szCs w:val="24"/>
        </w:rPr>
        <w:t xml:space="preserve"> Gate. Error bars represent 95% CI calculated for </w:t>
      </w:r>
      <w:r w:rsidR="002F5BFA">
        <w:rPr>
          <w:rFonts w:ascii="Times New Roman" w:hAnsi="Times New Roman" w:cs="Times New Roman"/>
          <w:i/>
          <w:sz w:val="24"/>
          <w:szCs w:val="24"/>
        </w:rPr>
        <w:t>B</w:t>
      </w:r>
      <w:r w:rsidR="002F5BFA">
        <w:rPr>
          <w:rFonts w:ascii="Times New Roman" w:hAnsi="Times New Roman" w:cs="Times New Roman"/>
          <w:sz w:val="24"/>
          <w:szCs w:val="24"/>
        </w:rPr>
        <w:t>.</w:t>
      </w:r>
      <w:r w:rsidR="002F5BFA" w:rsidRPr="00124D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5BFA" w:rsidRDefault="002F5BFA" w:rsidP="002F5BF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319FF" w:rsidRDefault="00DF66BA" w:rsidP="002F5B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57700"/>
            <wp:effectExtent l="50800" t="25400" r="25400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BFA" w:rsidRPr="00853F87" w:rsidRDefault="002F5BFA" w:rsidP="002F5BFA">
      <w:pPr>
        <w:rPr>
          <w:rFonts w:ascii="Times New Roman" w:hAnsi="Times New Roman"/>
          <w:sz w:val="24"/>
          <w:szCs w:val="24"/>
        </w:rPr>
      </w:pPr>
      <w:r w:rsidRPr="00A90639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6319F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124D16">
        <w:rPr>
          <w:rFonts w:ascii="Times New Roman" w:hAnsi="Times New Roman" w:cs="Times New Roman"/>
          <w:sz w:val="24"/>
          <w:szCs w:val="24"/>
        </w:rPr>
        <w:t xml:space="preserve"> </w:t>
      </w:r>
      <w:r w:rsidR="006319FF">
        <w:rPr>
          <w:rFonts w:ascii="Times New Roman" w:hAnsi="Times New Roman" w:cs="Times New Roman"/>
          <w:sz w:val="24"/>
          <w:szCs w:val="24"/>
        </w:rPr>
        <w:t>Native and exotic seedling abundances, vine abundance, and plant diversity, as measured by Shannon diversity (</w:t>
      </w:r>
      <w:r w:rsidR="006319FF" w:rsidRPr="006319FF">
        <w:rPr>
          <w:rFonts w:ascii="Times New Roman" w:hAnsi="Times New Roman" w:cs="Times New Roman"/>
          <w:i/>
          <w:sz w:val="24"/>
          <w:szCs w:val="24"/>
        </w:rPr>
        <w:t>H’</w:t>
      </w:r>
      <w:r w:rsidR="006319FF">
        <w:rPr>
          <w:rFonts w:ascii="Times New Roman" w:hAnsi="Times New Roman" w:cs="Times New Roman"/>
          <w:sz w:val="24"/>
          <w:szCs w:val="24"/>
        </w:rPr>
        <w:t>)</w:t>
      </w:r>
      <w:r w:rsidR="002E410F">
        <w:rPr>
          <w:rFonts w:ascii="Times New Roman" w:hAnsi="Times New Roman" w:cs="Times New Roman"/>
          <w:sz w:val="24"/>
          <w:szCs w:val="24"/>
        </w:rPr>
        <w:t xml:space="preserve"> and their relationships to deer abundances across sites, estimated using scat counts.</w:t>
      </w:r>
    </w:p>
    <w:p w:rsidR="00205805" w:rsidRDefault="00205805"/>
    <w:sectPr w:rsidR="00205805" w:rsidSect="00072545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/>
  <w:rsids>
    <w:rsidRoot w:val="00205805"/>
    <w:rsid w:val="00060C12"/>
    <w:rsid w:val="00072545"/>
    <w:rsid w:val="00135A47"/>
    <w:rsid w:val="00161ECA"/>
    <w:rsid w:val="001D2A9A"/>
    <w:rsid w:val="00205805"/>
    <w:rsid w:val="00282A0C"/>
    <w:rsid w:val="002E410F"/>
    <w:rsid w:val="002F5BFA"/>
    <w:rsid w:val="003C1831"/>
    <w:rsid w:val="003C5D19"/>
    <w:rsid w:val="005421CE"/>
    <w:rsid w:val="005C08A3"/>
    <w:rsid w:val="006319FF"/>
    <w:rsid w:val="006C4205"/>
    <w:rsid w:val="00A44A44"/>
    <w:rsid w:val="00D21405"/>
    <w:rsid w:val="00D46176"/>
    <w:rsid w:val="00D83DA2"/>
    <w:rsid w:val="00DF66BA"/>
    <w:rsid w:val="00FF7748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54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chart" Target="charts/chart1.xml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anngawel:Documents:behooves%20me:POOP%20SPROUTS%20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33"/>
  <c:chart>
    <c:plotArea>
      <c:layout/>
      <c:barChart>
        <c:barDir val="col"/>
        <c:grouping val="clustered"/>
        <c:ser>
          <c:idx val="0"/>
          <c:order val="0"/>
          <c:tx>
            <c:v>exotic</c:v>
          </c:tx>
          <c:errBars>
            <c:errBarType val="both"/>
            <c:errValType val="cust"/>
            <c:plus>
              <c:numRef>
                <c:f>(Sheet4!$P$41,Sheet4!$P$43)</c:f>
                <c:numCache>
                  <c:formatCode>General</c:formatCode>
                  <c:ptCount val="2"/>
                  <c:pt idx="0">
                    <c:v>0.0668924436637375</c:v>
                  </c:pt>
                  <c:pt idx="1">
                    <c:v>0.0967058824114206</c:v>
                  </c:pt>
                </c:numCache>
              </c:numRef>
            </c:plus>
            <c:minus>
              <c:numRef>
                <c:f>(Sheet4!$P$41,Sheet4!$P$43)</c:f>
                <c:numCache>
                  <c:formatCode>General</c:formatCode>
                  <c:ptCount val="2"/>
                  <c:pt idx="0">
                    <c:v>0.0668924436637375</c:v>
                  </c:pt>
                  <c:pt idx="1">
                    <c:v>0.0967058824114206</c:v>
                  </c:pt>
                </c:numCache>
              </c:numRef>
            </c:minus>
          </c:errBars>
          <c:cat>
            <c:strRef>
              <c:f>(Sheet4!$A$42,Sheet4!$A$44)</c:f>
              <c:strCache>
                <c:ptCount val="2"/>
                <c:pt idx="0">
                  <c:v>Anao North</c:v>
                </c:pt>
                <c:pt idx="1">
                  <c:v>Ritidian Gate</c:v>
                </c:pt>
              </c:strCache>
            </c:strRef>
          </c:cat>
          <c:val>
            <c:numRef>
              <c:f>(Sheet4!$H$41,Sheet4!$H$43)</c:f>
              <c:numCache>
                <c:formatCode>General</c:formatCode>
                <c:ptCount val="2"/>
                <c:pt idx="0">
                  <c:v>0.0510430127376777</c:v>
                </c:pt>
                <c:pt idx="1">
                  <c:v>0.17340948333112</c:v>
                </c:pt>
              </c:numCache>
            </c:numRef>
          </c:val>
        </c:ser>
        <c:ser>
          <c:idx val="1"/>
          <c:order val="1"/>
          <c:tx>
            <c:v>native</c:v>
          </c:tx>
          <c:spPr>
            <a:solidFill>
              <a:schemeClr val="bg1"/>
            </a:solidFill>
            <a:ln>
              <a:solidFill>
                <a:schemeClr val="tx1"/>
              </a:solidFill>
            </a:ln>
          </c:spPr>
          <c:errBars>
            <c:errBarType val="both"/>
            <c:errValType val="cust"/>
            <c:plus>
              <c:numRef>
                <c:f>(Sheet4!$P$42,Sheet4!$P$44)</c:f>
                <c:numCache>
                  <c:formatCode>General</c:formatCode>
                  <c:ptCount val="2"/>
                  <c:pt idx="0">
                    <c:v>0.0220333550115809</c:v>
                  </c:pt>
                  <c:pt idx="1">
                    <c:v>0.149088235384273</c:v>
                  </c:pt>
                </c:numCache>
              </c:numRef>
            </c:plus>
            <c:minus>
              <c:numRef>
                <c:f>(Sheet4!$P$42,Sheet4!$P$44)</c:f>
                <c:numCache>
                  <c:formatCode>General</c:formatCode>
                  <c:ptCount val="2"/>
                  <c:pt idx="0">
                    <c:v>0.0220333550115809</c:v>
                  </c:pt>
                  <c:pt idx="1">
                    <c:v>0.149088235384273</c:v>
                  </c:pt>
                </c:numCache>
              </c:numRef>
            </c:minus>
          </c:errBars>
          <c:cat>
            <c:strRef>
              <c:f>(Sheet4!$A$42,Sheet4!$A$44)</c:f>
              <c:strCache>
                <c:ptCount val="2"/>
                <c:pt idx="0">
                  <c:v>Anao North</c:v>
                </c:pt>
                <c:pt idx="1">
                  <c:v>Ritidian Gate</c:v>
                </c:pt>
              </c:strCache>
            </c:strRef>
          </c:cat>
          <c:val>
            <c:numRef>
              <c:f>(Sheet4!$H$42,Sheet4!$H$44)</c:f>
              <c:numCache>
                <c:formatCode>General</c:formatCode>
                <c:ptCount val="2"/>
                <c:pt idx="0">
                  <c:v>0.948956987262322</c:v>
                </c:pt>
                <c:pt idx="1">
                  <c:v>0.82659051666888</c:v>
                </c:pt>
              </c:numCache>
            </c:numRef>
          </c:val>
        </c:ser>
        <c:axId val="896162040"/>
        <c:axId val="683326136"/>
      </c:barChart>
      <c:catAx>
        <c:axId val="896162040"/>
        <c:scaling>
          <c:orientation val="minMax"/>
        </c:scaling>
        <c:axPos val="b"/>
        <c:tickLblPos val="nextTo"/>
        <c:txPr>
          <a:bodyPr/>
          <a:lstStyle/>
          <a:p>
            <a:pPr>
              <a:defRPr sz="1200">
                <a:latin typeface="Arial"/>
                <a:cs typeface="Arial"/>
              </a:defRPr>
            </a:pPr>
            <a:endParaRPr lang="en-US"/>
          </a:p>
        </c:txPr>
        <c:crossAx val="683326136"/>
        <c:crosses val="autoZero"/>
        <c:auto val="1"/>
        <c:lblAlgn val="ctr"/>
        <c:lblOffset val="100"/>
      </c:catAx>
      <c:valAx>
        <c:axId val="683326136"/>
        <c:scaling>
          <c:orientation val="minMax"/>
          <c:min val="-0.2"/>
        </c:scaling>
        <c:axPos val="l"/>
        <c:title>
          <c:tx>
            <c:rich>
              <a:bodyPr/>
              <a:lstStyle/>
              <a:p>
                <a:pPr>
                  <a:defRPr sz="1200" b="0">
                    <a:latin typeface="Arial"/>
                    <a:cs typeface="Arial"/>
                  </a:defRPr>
                </a:pPr>
                <a:r>
                  <a:rPr lang="en-US" sz="1200" b="0">
                    <a:latin typeface="Arial"/>
                    <a:cs typeface="Arial"/>
                  </a:rPr>
                  <a:t>Manly's selectivity index (B)</a:t>
                </a:r>
              </a:p>
            </c:rich>
          </c:tx>
          <c:layout/>
        </c:title>
        <c:numFmt formatCode="General" sourceLinked="1"/>
        <c:tickLblPos val="nextTo"/>
        <c:txPr>
          <a:bodyPr/>
          <a:lstStyle/>
          <a:p>
            <a:pPr>
              <a:defRPr sz="1200"/>
            </a:pPr>
            <a:endParaRPr lang="en-US"/>
          </a:p>
        </c:txPr>
        <c:crossAx val="896162040"/>
        <c:crosses val="autoZero"/>
        <c:crossBetween val="between"/>
      </c:valAx>
      <c:spPr>
        <a:noFill/>
        <a:ln>
          <a:noFill/>
        </a:ln>
      </c:spPr>
    </c:plotArea>
    <c:legend>
      <c:legendPos val="r"/>
      <c:layout/>
      <c:txPr>
        <a:bodyPr/>
        <a:lstStyle/>
        <a:p>
          <a:pPr>
            <a:defRPr sz="1200">
              <a:latin typeface="Arial"/>
              <a:cs typeface="Arial"/>
            </a:defRPr>
          </a:pPr>
          <a:endParaRPr lang="en-US"/>
        </a:p>
      </c:txPr>
    </c:legend>
    <c:plotVisOnly val="1"/>
  </c:chart>
  <c:spPr>
    <a:ln>
      <a:solidFill>
        <a:schemeClr val="tx1"/>
      </a:solidFill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218</Words>
  <Characters>1157</Characters>
  <Application>Microsoft Macintosh Word</Application>
  <DocSecurity>0</DocSecurity>
  <Lines>28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US Fish and Wildlife Service</Company>
  <LinksUpToDate>false</LinksUpToDate>
  <CharactersWithSpaces>1366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FWSLocal</dc:creator>
  <cp:keywords/>
  <dc:description/>
  <cp:lastModifiedBy>Ann Marie Gawel</cp:lastModifiedBy>
  <cp:revision>2</cp:revision>
  <dcterms:created xsi:type="dcterms:W3CDTF">2013-02-25T06:34:00Z</dcterms:created>
  <dcterms:modified xsi:type="dcterms:W3CDTF">2013-02-25T06:34:00Z</dcterms:modified>
  <cp:category/>
</cp:coreProperties>
</file>