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42" w:rsidRPr="00C64342" w:rsidRDefault="00C64342">
      <w:pPr>
        <w:rPr>
          <w:rFonts w:ascii="Times New Roman" w:hAnsi="Times New Roman" w:cs="Times New Roman"/>
          <w:sz w:val="24"/>
          <w:szCs w:val="24"/>
        </w:rPr>
      </w:pPr>
      <w:r w:rsidRPr="00C64342">
        <w:rPr>
          <w:rFonts w:ascii="Times New Roman" w:hAnsi="Times New Roman" w:cs="Times New Roman"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for generalized linear mixed models for each species planted in fenced and unfenced seedling plots. 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312"/>
        <w:gridCol w:w="1243"/>
      </w:tblGrid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4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C64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Species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C64342" w:rsidRPr="00C64342" w:rsidTr="00C64342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34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342" w:rsidRPr="00C64342" w:rsidRDefault="00C64342" w:rsidP="00C64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C64342" w:rsidRDefault="00C64342"/>
    <w:p w:rsidR="00943D21" w:rsidRDefault="00943D21">
      <w:bookmarkStart w:id="0" w:name="_GoBack"/>
      <w:bookmarkEnd w:id="0"/>
    </w:p>
    <w:p w:rsidR="00681C18" w:rsidRDefault="00842ABB">
      <w:r>
        <w:rPr>
          <w:noProof/>
        </w:rPr>
        <w:drawing>
          <wp:inline distT="0" distB="0" distL="0" distR="0">
            <wp:extent cx="5943600" cy="3695141"/>
            <wp:effectExtent l="0" t="0" r="0" b="63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21" w:rsidRDefault="00C17521">
      <w:r>
        <w:t xml:space="preserve">Figure 1. </w:t>
      </w:r>
      <w:r w:rsidR="00860809">
        <w:t xml:space="preserve">A higher proportion of seedlings remained alive in fenced versus unfenced plots for four out of six </w:t>
      </w:r>
      <w:r w:rsidR="00247D7C">
        <w:t xml:space="preserve">forest </w:t>
      </w:r>
      <w:r w:rsidR="000B0AAC">
        <w:t>species, indicated with *.</w:t>
      </w:r>
      <w:r w:rsidR="00842ABB">
        <w:t xml:space="preserve"> </w:t>
      </w:r>
      <w:r w:rsidR="000B0AAC">
        <w:t>T</w:t>
      </w:r>
      <w:r w:rsidR="00860809">
        <w:t xml:space="preserve">he best fit model for proportion alive </w:t>
      </w:r>
      <w:r w:rsidR="0028292B">
        <w:t>included treatment</w:t>
      </w:r>
      <w:r w:rsidR="00483897">
        <w:t>, and in all cases, propo</w:t>
      </w:r>
      <w:r w:rsidR="00842ABB">
        <w:t>rtion alive inside fenced plots with “No ungulates” was higher than outside fenced plots with “Ungulates</w:t>
      </w:r>
      <w:r w:rsidR="0028292B">
        <w:t>.</w:t>
      </w:r>
      <w:r w:rsidR="00842ABB">
        <w:t>”</w:t>
      </w:r>
      <w:r w:rsidR="0028292B">
        <w:t xml:space="preserve"> For </w:t>
      </w:r>
      <w:r w:rsidR="0028292B" w:rsidRPr="009B4C79">
        <w:rPr>
          <w:i/>
        </w:rPr>
        <w:t xml:space="preserve">Aglaia </w:t>
      </w:r>
      <w:proofErr w:type="spellStart"/>
      <w:r w:rsidR="0028292B" w:rsidRPr="009B4C79">
        <w:rPr>
          <w:i/>
        </w:rPr>
        <w:t>mariannensis</w:t>
      </w:r>
      <w:proofErr w:type="spellEnd"/>
      <w:r w:rsidR="0028292B">
        <w:t xml:space="preserve"> and </w:t>
      </w:r>
      <w:proofErr w:type="spellStart"/>
      <w:r w:rsidR="00483897">
        <w:rPr>
          <w:i/>
        </w:rPr>
        <w:t>Ochrosia</w:t>
      </w:r>
      <w:proofErr w:type="spellEnd"/>
      <w:r w:rsidR="0028292B" w:rsidRPr="009B4C79">
        <w:rPr>
          <w:i/>
        </w:rPr>
        <w:t xml:space="preserve"> </w:t>
      </w:r>
      <w:proofErr w:type="spellStart"/>
      <w:r w:rsidR="0028292B" w:rsidRPr="009B4C79">
        <w:rPr>
          <w:i/>
        </w:rPr>
        <w:t>oppositifolia</w:t>
      </w:r>
      <w:proofErr w:type="spellEnd"/>
      <w:r w:rsidR="0028292B">
        <w:t xml:space="preserve"> seedlings, </w:t>
      </w:r>
      <w:r w:rsidR="00483897">
        <w:t>treatment did not contribute to the</w:t>
      </w:r>
      <w:r w:rsidR="0028292B">
        <w:t xml:space="preserve"> best fit model explainin</w:t>
      </w:r>
      <w:r w:rsidR="00483897">
        <w:t>g proportion of seedlings alive, and proportion of seedlings alive did not differ significantly due to treatment.</w:t>
      </w:r>
    </w:p>
    <w:p w:rsidR="005027A7" w:rsidRDefault="005027A7"/>
    <w:p w:rsidR="00247D7C" w:rsidRDefault="00247D7C">
      <w:r>
        <w:rPr>
          <w:noProof/>
        </w:rPr>
        <w:lastRenderedPageBreak/>
        <w:drawing>
          <wp:inline distT="0" distB="0" distL="0" distR="0">
            <wp:extent cx="5943600" cy="3918941"/>
            <wp:effectExtent l="19050" t="0" r="0" b="0"/>
            <wp:docPr id="3" name="Picture 1" descr="G:\Ungulate paper\selectivity_s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gulate paper\selectivity_sc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7C" w:rsidRDefault="00247D7C">
      <w:r>
        <w:t xml:space="preserve">Figure 2. </w:t>
      </w:r>
      <w:r w:rsidR="005027A7">
        <w:t>The</w:t>
      </w:r>
      <w:r>
        <w:t xml:space="preserve"> average</w:t>
      </w:r>
      <w:r w:rsidR="005027A7">
        <w:t xml:space="preserve"> number </w:t>
      </w:r>
      <w:r w:rsidR="0008594A">
        <w:t>of seedlings</w:t>
      </w:r>
      <w:r>
        <w:t xml:space="preserve"> </w:t>
      </w:r>
      <w:r w:rsidR="005027A7">
        <w:t xml:space="preserve">that </w:t>
      </w:r>
      <w:r>
        <w:t xml:space="preserve">germinated per </w:t>
      </w:r>
      <w:proofErr w:type="spellStart"/>
      <w:r>
        <w:t>f</w:t>
      </w:r>
      <w:r w:rsidR="000B4C95">
        <w:t>a</w:t>
      </w:r>
      <w:r>
        <w:t>ecal</w:t>
      </w:r>
      <w:proofErr w:type="spellEnd"/>
      <w:r>
        <w:t xml:space="preserve"> group </w:t>
      </w:r>
      <w:r w:rsidR="005027A7">
        <w:t xml:space="preserve">was larger </w:t>
      </w:r>
      <w:r>
        <w:t xml:space="preserve">from pigs (n= 31 </w:t>
      </w:r>
      <w:proofErr w:type="spellStart"/>
      <w:r w:rsidR="000B4C95">
        <w:t>faecal</w:t>
      </w:r>
      <w:proofErr w:type="spellEnd"/>
      <w:r>
        <w:t xml:space="preserve"> groups with an average</w:t>
      </w:r>
      <w:r w:rsidR="005027A7">
        <w:t xml:space="preserve"> of</w:t>
      </w:r>
      <w:r w:rsidR="00D07CB8">
        <w:t xml:space="preserve"> 53.45 ± 9.12 seedlings per </w:t>
      </w:r>
      <w:proofErr w:type="spellStart"/>
      <w:r w:rsidR="000B4C95">
        <w:t>faecal</w:t>
      </w:r>
      <w:proofErr w:type="spellEnd"/>
      <w:r w:rsidR="00D07CB8">
        <w:t xml:space="preserve"> group</w:t>
      </w:r>
      <w:r>
        <w:t xml:space="preserve">) than from deer (n=20 </w:t>
      </w:r>
      <w:proofErr w:type="spellStart"/>
      <w:r w:rsidR="000B4C95">
        <w:t>faecal</w:t>
      </w:r>
      <w:proofErr w:type="spellEnd"/>
      <w:r>
        <w:t xml:space="preserve"> groups</w:t>
      </w:r>
      <w:r w:rsidR="00D07CB8">
        <w:t xml:space="preserve"> with an average of 0.5 ± 1.34 seedlings per </w:t>
      </w:r>
      <w:proofErr w:type="spellStart"/>
      <w:r w:rsidR="000B4C95">
        <w:t>faecal</w:t>
      </w:r>
      <w:proofErr w:type="spellEnd"/>
      <w:r w:rsidR="00D07CB8">
        <w:t xml:space="preserve"> group</w:t>
      </w:r>
      <w:r>
        <w:t>)(left panel).</w:t>
      </w:r>
      <w:r w:rsidR="00D07CB8">
        <w:t xml:space="preserve"> </w:t>
      </w:r>
      <w:proofErr w:type="spellStart"/>
      <w:r w:rsidR="00D07CB8">
        <w:t>Manly’s</w:t>
      </w:r>
      <w:proofErr w:type="spellEnd"/>
      <w:r w:rsidR="00D07CB8">
        <w:t xml:space="preserve"> Selectivity Index was calculated for pig </w:t>
      </w:r>
      <w:proofErr w:type="spellStart"/>
      <w:r w:rsidR="000B4C95">
        <w:t>faecal</w:t>
      </w:r>
      <w:proofErr w:type="spellEnd"/>
      <w:r w:rsidR="00D07CB8">
        <w:t xml:space="preserve"> groups collected during dry season, and for pig </w:t>
      </w:r>
      <w:proofErr w:type="spellStart"/>
      <w:r w:rsidR="000B4C95">
        <w:t>faecal</w:t>
      </w:r>
      <w:proofErr w:type="spellEnd"/>
      <w:r w:rsidR="00D07CB8">
        <w:t xml:space="preserve"> groups collected during wet season. While there was a small difference in selectivity during dry season, showing selection for exotic species, there was a strong selection for native species during rainy season.</w:t>
      </w:r>
      <w:r w:rsidR="0008594A">
        <w:t xml:space="preserve"> Values for this index for exotic species are equivalent to the value for native species subtracted from 1. </w:t>
      </w:r>
    </w:p>
    <w:p w:rsidR="00AF17A4" w:rsidRDefault="00362163">
      <w:r>
        <w:rPr>
          <w:noProof/>
        </w:rPr>
        <w:lastRenderedPageBreak/>
        <w:drawing>
          <wp:inline distT="0" distB="0" distL="0" distR="0">
            <wp:extent cx="4667250" cy="4686300"/>
            <wp:effectExtent l="0" t="0" r="0" b="0"/>
            <wp:docPr id="2" name="Picture 2" descr="C:\Users\annga\AppData\Local\Microsoft\Windows\INetCacheContent.Word\vegandscat multiplot 2015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vegandscat multiplot 20151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A4" w:rsidRPr="00510E63" w:rsidRDefault="00E66B9E">
      <w:r>
        <w:t xml:space="preserve">Figure 3. </w:t>
      </w:r>
      <w:r w:rsidR="002B63D3">
        <w:t>In the left-hand column, regression analysis between</w:t>
      </w:r>
      <w:r w:rsidR="00510E63">
        <w:t xml:space="preserve"> abundance of</w:t>
      </w:r>
      <w:r w:rsidR="002B63D3">
        <w:t xml:space="preserve"> pig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>abundance) showed no relationship with total seedling abundance, exotic nor native seedling abundance</w:t>
      </w:r>
      <w:r w:rsidR="00510E63">
        <w:t xml:space="preserve"> (middle row, with black line for native and gray line for exotic)</w:t>
      </w:r>
      <w:r w:rsidR="002B63D3">
        <w:t>, nor vine abundance per survey site</w:t>
      </w:r>
      <w:r w:rsidR="00510E63">
        <w:t xml:space="preserve"> in Guam</w:t>
      </w:r>
      <w:r w:rsidR="002B63D3">
        <w:t xml:space="preserve">. In the right hand column, </w:t>
      </w:r>
      <w:r w:rsidR="00510E63">
        <w:t xml:space="preserve">abundance of </w:t>
      </w:r>
      <w:r w:rsidR="002B63D3">
        <w:t xml:space="preserve">deer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>abundance) show strong negative loglinear relationship</w:t>
      </w:r>
      <w:r w:rsidR="00E31DC0">
        <w:t>s to total seedling abundance (r</w:t>
      </w:r>
      <w:r w:rsidR="00510E63">
        <w:rPr>
          <w:vertAlign w:val="superscript"/>
        </w:rPr>
        <w:t>2</w:t>
      </w:r>
      <w:r w:rsidR="002B63D3">
        <w:t xml:space="preserve"> = 0.710</w:t>
      </w:r>
      <w:r w:rsidR="00E31DC0">
        <w:t>), native seedling abundance (r</w:t>
      </w:r>
      <w:r w:rsidR="00510E63">
        <w:rPr>
          <w:vertAlign w:val="superscript"/>
        </w:rPr>
        <w:t>2</w:t>
      </w:r>
      <w:r w:rsidR="00510E63">
        <w:t xml:space="preserve"> = 0.64</w:t>
      </w:r>
      <w:r w:rsidR="00E31DC0">
        <w:t>7), exotic seedling abundance (r</w:t>
      </w:r>
      <w:r w:rsidR="00510E63">
        <w:rPr>
          <w:vertAlign w:val="superscript"/>
        </w:rPr>
        <w:t>2</w:t>
      </w:r>
      <w:r w:rsidR="00510E63">
        <w:t xml:space="preserve"> = </w:t>
      </w:r>
      <w:r w:rsidR="00E31DC0">
        <w:t>0.696), and to vine abundance (r</w:t>
      </w:r>
      <w:r w:rsidR="00510E63">
        <w:rPr>
          <w:vertAlign w:val="superscript"/>
        </w:rPr>
        <w:t>2</w:t>
      </w:r>
      <w:r w:rsidR="00510E63">
        <w:t xml:space="preserve"> = 0.751)</w:t>
      </w:r>
      <w:r w:rsidR="002C2B8F">
        <w:t>.</w:t>
      </w:r>
      <w:r w:rsidR="00510E63">
        <w:t xml:space="preserve"> </w:t>
      </w:r>
    </w:p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0AAC"/>
    <w:rsid w:val="000B4C95"/>
    <w:rsid w:val="000E270C"/>
    <w:rsid w:val="00247D7C"/>
    <w:rsid w:val="0028292B"/>
    <w:rsid w:val="002B63D3"/>
    <w:rsid w:val="002C2B8F"/>
    <w:rsid w:val="00321103"/>
    <w:rsid w:val="00362163"/>
    <w:rsid w:val="003A67B0"/>
    <w:rsid w:val="00463092"/>
    <w:rsid w:val="00483897"/>
    <w:rsid w:val="005027A7"/>
    <w:rsid w:val="00510E63"/>
    <w:rsid w:val="00681C18"/>
    <w:rsid w:val="00842ABB"/>
    <w:rsid w:val="00860809"/>
    <w:rsid w:val="00943D21"/>
    <w:rsid w:val="009B4C79"/>
    <w:rsid w:val="00AF17A4"/>
    <w:rsid w:val="00BE3377"/>
    <w:rsid w:val="00C17521"/>
    <w:rsid w:val="00C64342"/>
    <w:rsid w:val="00CA6C92"/>
    <w:rsid w:val="00D07CB8"/>
    <w:rsid w:val="00DE718E"/>
    <w:rsid w:val="00E31DC0"/>
    <w:rsid w:val="00E337B4"/>
    <w:rsid w:val="00E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3EAA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7</cp:revision>
  <dcterms:created xsi:type="dcterms:W3CDTF">2016-09-01T14:49:00Z</dcterms:created>
  <dcterms:modified xsi:type="dcterms:W3CDTF">2017-01-02T21:48:00Z</dcterms:modified>
</cp:coreProperties>
</file>