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3166" w14:textId="433F9BB0" w:rsidR="00451F13" w:rsidRPr="007D5CE7" w:rsidRDefault="003E07EF" w:rsidP="007D5CE7">
      <w:pPr>
        <w:widowControl w:val="0"/>
        <w:tabs>
          <w:tab w:val="left" w:pos="2130"/>
          <w:tab w:val="center" w:pos="4680"/>
        </w:tabs>
        <w:spacing w:before="100" w:after="100"/>
        <w:jc w:val="center"/>
        <w:rPr>
          <w:rFonts w:ascii="Georgia" w:eastAsia="Georgia" w:hAnsi="Georgia" w:cs="Georgia"/>
          <w:b/>
          <w:sz w:val="22"/>
          <w:szCs w:val="22"/>
        </w:rPr>
      </w:pPr>
      <w:r>
        <w:rPr>
          <w:rFonts w:ascii="Arial" w:eastAsia="Arial" w:hAnsi="Arial" w:cs="Arial"/>
          <w:b/>
        </w:rPr>
        <w:t>Mogoi</w:t>
      </w:r>
      <w:r w:rsidR="00F206AB">
        <w:rPr>
          <w:rFonts w:ascii="Arial" w:eastAsia="Arial" w:hAnsi="Arial" w:cs="Arial"/>
          <w:b/>
        </w:rPr>
        <w:t xml:space="preserve"> </w:t>
      </w:r>
      <w:r>
        <w:rPr>
          <w:rFonts w:ascii="Arial" w:eastAsia="Arial" w:hAnsi="Arial" w:cs="Arial"/>
          <w:b/>
        </w:rPr>
        <w:t>Matongo</w:t>
      </w:r>
    </w:p>
    <w:p w14:paraId="66310FBC" w14:textId="1A4ED139" w:rsidR="00451F13" w:rsidRPr="007D5CE7" w:rsidRDefault="003E07EF">
      <w:pPr>
        <w:widowControl w:val="0"/>
        <w:spacing w:before="100" w:after="100"/>
        <w:jc w:val="center"/>
        <w:rPr>
          <w:sz w:val="22"/>
          <w:szCs w:val="22"/>
        </w:rPr>
      </w:pPr>
      <w:r w:rsidRPr="007D5CE7">
        <w:rPr>
          <w:b/>
          <w:sz w:val="22"/>
          <w:szCs w:val="22"/>
        </w:rPr>
        <w:t>Email:</w:t>
      </w:r>
      <w:r>
        <w:rPr>
          <w:sz w:val="22"/>
          <w:szCs w:val="22"/>
        </w:rPr>
        <w:t xml:space="preserve"> mematongo@gmail.com</w:t>
      </w:r>
    </w:p>
    <w:p w14:paraId="03359EE7" w14:textId="77777777" w:rsidR="00451F13" w:rsidRPr="007D5CE7" w:rsidRDefault="00F206AB">
      <w:pPr>
        <w:rPr>
          <w:b/>
          <w:color w:val="222222"/>
          <w:sz w:val="22"/>
          <w:szCs w:val="22"/>
        </w:rPr>
      </w:pPr>
      <w:r w:rsidRPr="007D5CE7">
        <w:rPr>
          <w:b/>
          <w:color w:val="222222"/>
          <w:sz w:val="22"/>
          <w:szCs w:val="22"/>
        </w:rPr>
        <w:t>Summary</w:t>
      </w:r>
    </w:p>
    <w:p w14:paraId="3B1DC435" w14:textId="4D0ACD76" w:rsidR="00451F13" w:rsidRPr="007D5CE7" w:rsidRDefault="00640775">
      <w:pPr>
        <w:pBdr>
          <w:top w:val="nil"/>
          <w:left w:val="nil"/>
          <w:bottom w:val="nil"/>
          <w:right w:val="nil"/>
          <w:between w:val="nil"/>
        </w:pBdr>
        <w:jc w:val="both"/>
        <w:rPr>
          <w:color w:val="222222"/>
          <w:sz w:val="22"/>
          <w:szCs w:val="22"/>
        </w:rPr>
      </w:pPr>
      <w:r w:rsidRPr="007D5CE7">
        <w:rPr>
          <w:color w:val="000000"/>
          <w:sz w:val="22"/>
          <w:szCs w:val="22"/>
        </w:rPr>
        <w:t>Experienced Information Security Systems Security, Cybersecurity</w:t>
      </w:r>
      <w:r w:rsidR="00F206AB" w:rsidRPr="007D5CE7">
        <w:rPr>
          <w:color w:val="000000"/>
          <w:sz w:val="22"/>
          <w:szCs w:val="22"/>
        </w:rPr>
        <w:t xml:space="preserve"> Analyst with </w:t>
      </w:r>
      <w:r w:rsidR="003E07EF">
        <w:rPr>
          <w:color w:val="000000"/>
          <w:sz w:val="22"/>
          <w:szCs w:val="22"/>
        </w:rPr>
        <w:t>2</w:t>
      </w:r>
      <w:r w:rsidR="00F206AB" w:rsidRPr="007D5CE7">
        <w:rPr>
          <w:color w:val="000000"/>
          <w:sz w:val="22"/>
          <w:szCs w:val="22"/>
        </w:rPr>
        <w:t xml:space="preserve"> years in the IT industry with extensive knowledge in Information Security, Data Analytic and reporting, Incident Response and Software Development Lifecycle (SDCL) project within domains such as Government Healthcare, Finance, and the educational sector. </w:t>
      </w:r>
      <w:r w:rsidR="00F206AB" w:rsidRPr="007D5CE7">
        <w:rPr>
          <w:color w:val="222222"/>
          <w:sz w:val="22"/>
          <w:szCs w:val="22"/>
        </w:rPr>
        <w:t>Dynamic team player for agile project with expertise managing large enterprise software development projects that meet demanding time restraints and exceed all expectations. </w:t>
      </w:r>
    </w:p>
    <w:p w14:paraId="6CDAA3E5" w14:textId="77777777" w:rsidR="00640775" w:rsidRPr="007D5CE7" w:rsidRDefault="00640775">
      <w:pPr>
        <w:pBdr>
          <w:top w:val="nil"/>
          <w:left w:val="nil"/>
          <w:bottom w:val="nil"/>
          <w:right w:val="nil"/>
          <w:between w:val="nil"/>
        </w:pBdr>
        <w:jc w:val="both"/>
        <w:rPr>
          <w:color w:val="222222"/>
          <w:sz w:val="22"/>
          <w:szCs w:val="22"/>
          <w:u w:val="single"/>
        </w:rPr>
      </w:pPr>
    </w:p>
    <w:p w14:paraId="37DA717C" w14:textId="77777777" w:rsidR="00640775" w:rsidRPr="007D5CE7" w:rsidRDefault="00640775">
      <w:pPr>
        <w:pBdr>
          <w:top w:val="nil"/>
          <w:left w:val="nil"/>
          <w:bottom w:val="nil"/>
          <w:right w:val="nil"/>
          <w:between w:val="nil"/>
        </w:pBdr>
        <w:jc w:val="both"/>
        <w:rPr>
          <w:color w:val="222222"/>
          <w:sz w:val="22"/>
          <w:szCs w:val="22"/>
          <w:u w:val="single"/>
        </w:rPr>
      </w:pPr>
      <w:r w:rsidRPr="007D5CE7">
        <w:rPr>
          <w:b/>
          <w:bCs/>
          <w:color w:val="222222"/>
          <w:sz w:val="22"/>
          <w:szCs w:val="22"/>
          <w:u w:val="single"/>
        </w:rPr>
        <w:t>CONTROLS &amp; FRAMEWORKS</w:t>
      </w:r>
      <w:r w:rsidRPr="007D5CE7">
        <w:rPr>
          <w:color w:val="222222"/>
          <w:sz w:val="22"/>
          <w:szCs w:val="22"/>
          <w:u w:val="single"/>
        </w:rPr>
        <w:t xml:space="preserve"> </w:t>
      </w:r>
    </w:p>
    <w:p w14:paraId="007B9AA2" w14:textId="07934569" w:rsidR="00640775" w:rsidRPr="007D5CE7" w:rsidRDefault="00640775">
      <w:pPr>
        <w:pBdr>
          <w:top w:val="nil"/>
          <w:left w:val="nil"/>
          <w:bottom w:val="nil"/>
          <w:right w:val="nil"/>
          <w:between w:val="nil"/>
        </w:pBdr>
        <w:jc w:val="both"/>
        <w:rPr>
          <w:color w:val="222222"/>
          <w:sz w:val="22"/>
          <w:szCs w:val="22"/>
        </w:rPr>
      </w:pPr>
      <w:r w:rsidRPr="007D5CE7">
        <w:rPr>
          <w:color w:val="222222"/>
          <w:sz w:val="22"/>
          <w:szCs w:val="22"/>
        </w:rPr>
        <w:t>NIST RMF (FISMA), FedRAMP, NIST SP 800-53, 800-53A, 800-60, 800-18, 800-37, 800-30, 800-137, PCI DSS, ISO 27001:2013/27002:2013 SOC 1 &amp; 2, HITRUST, Third Party Risk Management.</w:t>
      </w:r>
    </w:p>
    <w:p w14:paraId="507FC594" w14:textId="77777777" w:rsidR="00640775" w:rsidRPr="007D5CE7" w:rsidRDefault="00640775">
      <w:pPr>
        <w:pBdr>
          <w:top w:val="nil"/>
          <w:left w:val="nil"/>
          <w:bottom w:val="nil"/>
          <w:right w:val="nil"/>
          <w:between w:val="nil"/>
        </w:pBdr>
        <w:jc w:val="both"/>
        <w:rPr>
          <w:color w:val="222222"/>
          <w:sz w:val="22"/>
          <w:szCs w:val="22"/>
        </w:rPr>
      </w:pPr>
    </w:p>
    <w:p w14:paraId="2EB597F4" w14:textId="77777777" w:rsidR="00640775" w:rsidRPr="007D5CE7" w:rsidRDefault="00640775">
      <w:pPr>
        <w:pBdr>
          <w:top w:val="nil"/>
          <w:left w:val="nil"/>
          <w:bottom w:val="nil"/>
          <w:right w:val="nil"/>
          <w:between w:val="nil"/>
        </w:pBdr>
        <w:jc w:val="both"/>
        <w:rPr>
          <w:color w:val="222222"/>
          <w:sz w:val="22"/>
          <w:szCs w:val="22"/>
        </w:rPr>
      </w:pPr>
    </w:p>
    <w:p w14:paraId="103A82CD" w14:textId="77777777" w:rsidR="00640775" w:rsidRPr="007D5CE7" w:rsidRDefault="00640775">
      <w:pPr>
        <w:pBdr>
          <w:top w:val="nil"/>
          <w:left w:val="nil"/>
          <w:bottom w:val="nil"/>
          <w:right w:val="nil"/>
          <w:between w:val="nil"/>
        </w:pBdr>
        <w:jc w:val="both"/>
        <w:rPr>
          <w:color w:val="222222"/>
          <w:sz w:val="22"/>
          <w:szCs w:val="22"/>
        </w:rPr>
      </w:pPr>
      <w:r w:rsidRPr="007D5CE7">
        <w:rPr>
          <w:b/>
          <w:bCs/>
          <w:color w:val="222222"/>
          <w:sz w:val="22"/>
          <w:szCs w:val="22"/>
          <w:u w:val="single"/>
        </w:rPr>
        <w:t>SOFTWARE AND PLATFORM</w:t>
      </w:r>
      <w:r w:rsidRPr="007D5CE7">
        <w:rPr>
          <w:color w:val="222222"/>
          <w:sz w:val="22"/>
          <w:szCs w:val="22"/>
        </w:rPr>
        <w:t xml:space="preserve"> </w:t>
      </w:r>
    </w:p>
    <w:p w14:paraId="7A769A4D" w14:textId="306AE75C" w:rsidR="00640775" w:rsidRPr="007D5CE7" w:rsidRDefault="00640775">
      <w:pPr>
        <w:pBdr>
          <w:top w:val="nil"/>
          <w:left w:val="nil"/>
          <w:bottom w:val="nil"/>
          <w:right w:val="nil"/>
          <w:between w:val="nil"/>
        </w:pBdr>
        <w:jc w:val="both"/>
        <w:rPr>
          <w:color w:val="222222"/>
          <w:sz w:val="22"/>
          <w:szCs w:val="22"/>
        </w:rPr>
      </w:pPr>
      <w:r w:rsidRPr="007D5CE7">
        <w:rPr>
          <w:color w:val="222222"/>
          <w:sz w:val="22"/>
          <w:szCs w:val="22"/>
        </w:rPr>
        <w:t>RSA Archer, Hiperos, OneTrust, ServiceNow, Security Scorecard, Microsoft Suite, Google Suite, Tenable Security Center, Microsoft Word, Excel, Project, Access, Power Point, SharePoint, Smartsheet. Tableau</w:t>
      </w:r>
    </w:p>
    <w:p w14:paraId="59BD6D35" w14:textId="77777777" w:rsidR="00640775" w:rsidRPr="007D5CE7" w:rsidRDefault="00640775">
      <w:pPr>
        <w:pBdr>
          <w:top w:val="nil"/>
          <w:left w:val="nil"/>
          <w:bottom w:val="nil"/>
          <w:right w:val="nil"/>
          <w:between w:val="nil"/>
        </w:pBdr>
        <w:jc w:val="both"/>
        <w:rPr>
          <w:color w:val="222222"/>
          <w:sz w:val="22"/>
          <w:szCs w:val="22"/>
        </w:rPr>
      </w:pPr>
    </w:p>
    <w:p w14:paraId="0DA38F2A" w14:textId="77777777" w:rsidR="00640775" w:rsidRPr="007D5CE7" w:rsidRDefault="00640775">
      <w:pPr>
        <w:pBdr>
          <w:top w:val="nil"/>
          <w:left w:val="nil"/>
          <w:bottom w:val="nil"/>
          <w:right w:val="nil"/>
          <w:between w:val="nil"/>
        </w:pBdr>
        <w:jc w:val="both"/>
        <w:rPr>
          <w:color w:val="222222"/>
          <w:sz w:val="22"/>
          <w:szCs w:val="22"/>
        </w:rPr>
      </w:pPr>
      <w:r w:rsidRPr="007D5CE7">
        <w:rPr>
          <w:b/>
          <w:bCs/>
          <w:color w:val="222222"/>
          <w:sz w:val="22"/>
          <w:szCs w:val="22"/>
          <w:u w:val="single"/>
        </w:rPr>
        <w:t>EDUCATION AND CERTIFICATIONS</w:t>
      </w:r>
      <w:r w:rsidRPr="007D5CE7">
        <w:rPr>
          <w:color w:val="222222"/>
          <w:sz w:val="22"/>
          <w:szCs w:val="22"/>
        </w:rPr>
        <w:t xml:space="preserve"> </w:t>
      </w:r>
    </w:p>
    <w:p w14:paraId="11E248EC" w14:textId="19EB1C91" w:rsidR="00640775" w:rsidRPr="003E07EF" w:rsidRDefault="00640775" w:rsidP="00640775">
      <w:pPr>
        <w:pBdr>
          <w:top w:val="nil"/>
          <w:left w:val="nil"/>
          <w:bottom w:val="nil"/>
          <w:right w:val="nil"/>
          <w:between w:val="nil"/>
        </w:pBdr>
        <w:jc w:val="both"/>
        <w:rPr>
          <w:bCs/>
          <w:color w:val="222222"/>
          <w:sz w:val="22"/>
          <w:szCs w:val="22"/>
        </w:rPr>
      </w:pPr>
      <w:r w:rsidRPr="007D5CE7">
        <w:rPr>
          <w:rFonts w:ascii="Segoe UI Symbol" w:hAnsi="Segoe UI Symbol" w:cs="Segoe UI Symbol"/>
          <w:color w:val="222222"/>
          <w:sz w:val="22"/>
          <w:szCs w:val="22"/>
        </w:rPr>
        <w:t>⮚</w:t>
      </w:r>
      <w:r w:rsidRPr="007D5CE7">
        <w:rPr>
          <w:color w:val="222222"/>
          <w:sz w:val="22"/>
          <w:szCs w:val="22"/>
        </w:rPr>
        <w:t xml:space="preserve"> Bachelor </w:t>
      </w:r>
      <w:r w:rsidR="003E07EF">
        <w:rPr>
          <w:color w:val="222222"/>
          <w:sz w:val="22"/>
          <w:szCs w:val="22"/>
        </w:rPr>
        <w:t xml:space="preserve">of </w:t>
      </w:r>
      <w:r w:rsidR="003E07EF">
        <w:rPr>
          <w:bCs/>
          <w:color w:val="222222"/>
          <w:sz w:val="22"/>
          <w:szCs w:val="22"/>
        </w:rPr>
        <w:t xml:space="preserve">Computer </w:t>
      </w:r>
      <w:r w:rsidR="003E07EF" w:rsidRPr="007D5CE7">
        <w:rPr>
          <w:bCs/>
          <w:color w:val="222222"/>
          <w:sz w:val="22"/>
          <w:szCs w:val="22"/>
        </w:rPr>
        <w:t>Science</w:t>
      </w:r>
      <w:r w:rsidR="003E07EF">
        <w:rPr>
          <w:bCs/>
          <w:color w:val="222222"/>
          <w:sz w:val="22"/>
          <w:szCs w:val="22"/>
        </w:rPr>
        <w:t>-Graduation May-2025</w:t>
      </w:r>
    </w:p>
    <w:p w14:paraId="2B1EB0F1" w14:textId="643BBCCE" w:rsidR="00640775" w:rsidRPr="007D5CE7" w:rsidRDefault="00640775">
      <w:pPr>
        <w:pBdr>
          <w:top w:val="nil"/>
          <w:left w:val="nil"/>
          <w:bottom w:val="nil"/>
          <w:right w:val="nil"/>
          <w:between w:val="nil"/>
        </w:pBdr>
        <w:jc w:val="both"/>
        <w:rPr>
          <w:color w:val="222222"/>
          <w:sz w:val="22"/>
          <w:szCs w:val="22"/>
        </w:rPr>
      </w:pPr>
    </w:p>
    <w:p w14:paraId="325222C1" w14:textId="381590D1" w:rsidR="00640775" w:rsidRPr="007D5CE7" w:rsidRDefault="00640775">
      <w:pPr>
        <w:pBdr>
          <w:top w:val="nil"/>
          <w:left w:val="nil"/>
          <w:bottom w:val="nil"/>
          <w:right w:val="nil"/>
          <w:between w:val="nil"/>
        </w:pBdr>
        <w:jc w:val="both"/>
        <w:rPr>
          <w:b/>
          <w:bCs/>
          <w:color w:val="222222"/>
          <w:sz w:val="22"/>
          <w:szCs w:val="22"/>
          <w:u w:val="single"/>
        </w:rPr>
      </w:pPr>
      <w:r w:rsidRPr="007D5CE7">
        <w:rPr>
          <w:b/>
          <w:bCs/>
          <w:color w:val="222222"/>
          <w:sz w:val="22"/>
          <w:szCs w:val="22"/>
          <w:u w:val="single"/>
        </w:rPr>
        <w:t>PROFESSIONAL EXPERIENCE</w:t>
      </w:r>
    </w:p>
    <w:p w14:paraId="7FFCF93F" w14:textId="77777777" w:rsidR="00451F13" w:rsidRPr="007D5CE7" w:rsidRDefault="00451F13">
      <w:pPr>
        <w:rPr>
          <w:color w:val="222222"/>
          <w:sz w:val="22"/>
          <w:szCs w:val="22"/>
        </w:rPr>
      </w:pPr>
    </w:p>
    <w:p w14:paraId="26C9D20C" w14:textId="1D33A88E" w:rsidR="00C87FCB" w:rsidRPr="007D5CE7" w:rsidRDefault="003E07EF">
      <w:pPr>
        <w:rPr>
          <w:b/>
          <w:bCs/>
          <w:color w:val="222222"/>
          <w:sz w:val="22"/>
          <w:szCs w:val="22"/>
        </w:rPr>
      </w:pPr>
      <w:r w:rsidRPr="007D5CE7">
        <w:rPr>
          <w:b/>
          <w:color w:val="000000"/>
          <w:sz w:val="22"/>
          <w:szCs w:val="22"/>
        </w:rPr>
        <w:t xml:space="preserve">IT SECURITY </w:t>
      </w:r>
      <w:r>
        <w:rPr>
          <w:b/>
          <w:bCs/>
          <w:color w:val="222222"/>
          <w:sz w:val="22"/>
          <w:szCs w:val="22"/>
        </w:rPr>
        <w:t>Internship-</w:t>
      </w:r>
      <w:r w:rsidR="00C87FCB" w:rsidRPr="007D5CE7">
        <w:rPr>
          <w:b/>
          <w:bCs/>
          <w:color w:val="222222"/>
          <w:sz w:val="22"/>
          <w:szCs w:val="22"/>
        </w:rPr>
        <w:t xml:space="preserve"> </w:t>
      </w:r>
      <w:r>
        <w:rPr>
          <w:b/>
          <w:bCs/>
          <w:color w:val="222222"/>
          <w:sz w:val="22"/>
          <w:szCs w:val="22"/>
        </w:rPr>
        <w:t xml:space="preserve">May-August </w:t>
      </w:r>
      <w:r w:rsidR="00E70FCC" w:rsidRPr="007D5CE7">
        <w:rPr>
          <w:b/>
          <w:bCs/>
          <w:color w:val="222222"/>
          <w:sz w:val="22"/>
          <w:szCs w:val="22"/>
        </w:rPr>
        <w:t>2023 General</w:t>
      </w:r>
      <w:r w:rsidR="00C87FCB" w:rsidRPr="007D5CE7">
        <w:rPr>
          <w:b/>
          <w:bCs/>
          <w:color w:val="222222"/>
          <w:sz w:val="22"/>
          <w:szCs w:val="22"/>
        </w:rPr>
        <w:t xml:space="preserve"> Dynamics Information Technology, VA</w:t>
      </w:r>
    </w:p>
    <w:p w14:paraId="26F2EE7C" w14:textId="039FCC21" w:rsidR="00451F13" w:rsidRPr="007D5CE7" w:rsidRDefault="00C87FCB">
      <w:pPr>
        <w:rPr>
          <w:b/>
          <w:color w:val="000000"/>
          <w:sz w:val="22"/>
          <w:szCs w:val="22"/>
        </w:rPr>
      </w:pPr>
      <w:r w:rsidRPr="007D5CE7">
        <w:rPr>
          <w:b/>
          <w:color w:val="000000"/>
          <w:sz w:val="22"/>
          <w:szCs w:val="22"/>
        </w:rPr>
        <w:t xml:space="preserve"> </w:t>
      </w:r>
    </w:p>
    <w:p w14:paraId="74A7251A"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Completed remediation plans for all POA&amp;Ms.</w:t>
      </w:r>
    </w:p>
    <w:p w14:paraId="4B475034" w14:textId="0DBACCB8"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Developed FISMA compliance and privacy documentations to support the migration of legacy and mainframe. </w:t>
      </w:r>
    </w:p>
    <w:p w14:paraId="09DCBB2D" w14:textId="77777777" w:rsidR="00C87FCB" w:rsidRPr="007D5CE7" w:rsidRDefault="00C87FCB" w:rsidP="00C87FCB">
      <w:pPr>
        <w:rPr>
          <w:bCs/>
          <w:color w:val="000000"/>
          <w:sz w:val="22"/>
          <w:szCs w:val="22"/>
        </w:rPr>
      </w:pPr>
      <w:r w:rsidRPr="007D5CE7">
        <w:rPr>
          <w:bCs/>
          <w:color w:val="000000"/>
          <w:sz w:val="22"/>
          <w:szCs w:val="22"/>
        </w:rPr>
        <w:t xml:space="preserve">applications from datacenters to the cloud. </w:t>
      </w:r>
    </w:p>
    <w:p w14:paraId="7405707B"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Completed and maintain the following SAP documentation at least annually or as their respective systems changes:</w:t>
      </w:r>
    </w:p>
    <w:p w14:paraId="0FB9154C" w14:textId="77777777" w:rsidR="00C87FCB" w:rsidRPr="007D5CE7" w:rsidRDefault="00C87FCB" w:rsidP="00C87FCB">
      <w:pPr>
        <w:rPr>
          <w:bCs/>
          <w:color w:val="000000"/>
          <w:sz w:val="22"/>
          <w:szCs w:val="22"/>
        </w:rPr>
      </w:pPr>
      <w:r w:rsidRPr="007D5CE7">
        <w:rPr>
          <w:bCs/>
          <w:color w:val="000000"/>
          <w:sz w:val="22"/>
          <w:szCs w:val="22"/>
        </w:rPr>
        <w:t>o FIPS 199, E-Authentication Worksheet, Privacy Threshold Analysis (PTA), Privacy Impact Assessment</w:t>
      </w:r>
    </w:p>
    <w:p w14:paraId="4A72CCC4" w14:textId="77777777" w:rsidR="00C87FCB" w:rsidRPr="007D5CE7" w:rsidRDefault="00C87FCB" w:rsidP="00C87FCB">
      <w:pPr>
        <w:rPr>
          <w:bCs/>
          <w:color w:val="000000"/>
          <w:sz w:val="22"/>
          <w:szCs w:val="22"/>
        </w:rPr>
      </w:pPr>
      <w:r w:rsidRPr="007D5CE7">
        <w:rPr>
          <w:bCs/>
          <w:color w:val="000000"/>
          <w:sz w:val="22"/>
          <w:szCs w:val="22"/>
        </w:rPr>
        <w:t>(PIA) &amp; System of Records Notice (SORN) – as required, Security Plan (SP), Contingency Plan (CP) &amp;</w:t>
      </w:r>
    </w:p>
    <w:p w14:paraId="312651F9" w14:textId="77777777" w:rsidR="00C87FCB" w:rsidRPr="007D5CE7" w:rsidRDefault="00C87FCB" w:rsidP="00C87FCB">
      <w:pPr>
        <w:rPr>
          <w:bCs/>
          <w:color w:val="000000"/>
          <w:sz w:val="22"/>
          <w:szCs w:val="22"/>
        </w:rPr>
      </w:pPr>
      <w:r w:rsidRPr="007D5CE7">
        <w:rPr>
          <w:bCs/>
          <w:color w:val="000000"/>
          <w:sz w:val="22"/>
          <w:szCs w:val="22"/>
        </w:rPr>
        <w:t>Contingency Plan Test Results (CPTR), and all other required security documentation.</w:t>
      </w:r>
    </w:p>
    <w:p w14:paraId="26237DF9"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Ensured security controls are met at inception and throughout system development cycle.</w:t>
      </w:r>
    </w:p>
    <w:p w14:paraId="3AA47BFE"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Ensured systems are properly patched and hardened according to organizations requirements.</w:t>
      </w:r>
    </w:p>
    <w:p w14:paraId="5335A480"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Ensured Rules of Behavior are signed for all system users.</w:t>
      </w:r>
    </w:p>
    <w:p w14:paraId="4BF4AB8D"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Completed Waivers and Accepted Risks (WEAR) as required to be presented to the Authorization Official.</w:t>
      </w:r>
    </w:p>
    <w:p w14:paraId="04660D07"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Reviewed Audit Logs on a weekly basis and recording the findings in an Audit Log Review Tracker.</w:t>
      </w:r>
    </w:p>
    <w:p w14:paraId="5A0E7FFC"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Reviewed system accounts monthly and recording the findings in an Account Management Review Tracker.</w:t>
      </w:r>
    </w:p>
    <w:p w14:paraId="7950DA75"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Uploaded Plan of Action and Milestones (POA&amp;M) into Cyber Security Assessment and Management (CSAM) tool </w:t>
      </w:r>
    </w:p>
    <w:p w14:paraId="7A1DB4AF" w14:textId="0F57F059" w:rsidR="00C87FCB" w:rsidRDefault="00C87FCB">
      <w:pPr>
        <w:rPr>
          <w:bCs/>
          <w:color w:val="000000"/>
          <w:sz w:val="22"/>
          <w:szCs w:val="22"/>
        </w:rPr>
      </w:pPr>
      <w:r w:rsidRPr="007D5CE7">
        <w:rPr>
          <w:bCs/>
          <w:color w:val="000000"/>
          <w:sz w:val="22"/>
          <w:szCs w:val="22"/>
        </w:rPr>
        <w:t>and validated artifacts provided to remediate respective POA&amp;M items.</w:t>
      </w:r>
    </w:p>
    <w:p w14:paraId="193EC6EF" w14:textId="77777777" w:rsidR="003E07EF" w:rsidRPr="007D5CE7" w:rsidRDefault="003E07EF">
      <w:pPr>
        <w:rPr>
          <w:bCs/>
          <w:color w:val="000000"/>
          <w:sz w:val="22"/>
          <w:szCs w:val="22"/>
        </w:rPr>
      </w:pPr>
    </w:p>
    <w:p w14:paraId="2AEAA1F5" w14:textId="16B47E1F" w:rsidR="00C87FCB" w:rsidRDefault="00C87FCB" w:rsidP="00C87FCB">
      <w:pPr>
        <w:rPr>
          <w:b/>
          <w:color w:val="000000"/>
          <w:sz w:val="22"/>
          <w:szCs w:val="22"/>
        </w:rPr>
      </w:pPr>
      <w:bookmarkStart w:id="0" w:name="_Hlk164426199"/>
      <w:r w:rsidRPr="007D5CE7">
        <w:rPr>
          <w:b/>
          <w:color w:val="000000"/>
          <w:sz w:val="22"/>
          <w:szCs w:val="22"/>
        </w:rPr>
        <w:t xml:space="preserve">IT SECURITY </w:t>
      </w:r>
      <w:bookmarkEnd w:id="0"/>
      <w:r w:rsidR="003E07EF">
        <w:rPr>
          <w:b/>
          <w:color w:val="000000"/>
          <w:sz w:val="22"/>
          <w:szCs w:val="22"/>
        </w:rPr>
        <w:t>Internship May 21</w:t>
      </w:r>
      <w:r w:rsidRPr="007D5CE7">
        <w:rPr>
          <w:b/>
          <w:color w:val="000000"/>
          <w:sz w:val="22"/>
          <w:szCs w:val="22"/>
        </w:rPr>
        <w:t xml:space="preserve"> </w:t>
      </w:r>
      <w:r w:rsidR="007D5CE7" w:rsidRPr="007D5CE7">
        <w:rPr>
          <w:b/>
          <w:color w:val="000000"/>
          <w:sz w:val="22"/>
          <w:szCs w:val="22"/>
        </w:rPr>
        <w:t>–</w:t>
      </w:r>
      <w:r w:rsidRPr="007D5CE7">
        <w:rPr>
          <w:b/>
          <w:color w:val="000000"/>
          <w:sz w:val="22"/>
          <w:szCs w:val="22"/>
        </w:rPr>
        <w:t xml:space="preserve"> </w:t>
      </w:r>
      <w:r w:rsidR="007D5CE7" w:rsidRPr="007D5CE7">
        <w:rPr>
          <w:b/>
          <w:color w:val="000000"/>
          <w:sz w:val="22"/>
          <w:szCs w:val="22"/>
        </w:rPr>
        <w:t>August 202</w:t>
      </w:r>
      <w:r w:rsidR="003E07EF">
        <w:rPr>
          <w:b/>
          <w:color w:val="000000"/>
          <w:sz w:val="22"/>
          <w:szCs w:val="22"/>
        </w:rPr>
        <w:t>2</w:t>
      </w:r>
      <w:r w:rsidR="00E70FCC">
        <w:rPr>
          <w:b/>
          <w:color w:val="000000"/>
          <w:sz w:val="22"/>
          <w:szCs w:val="22"/>
        </w:rPr>
        <w:t xml:space="preserve"> Raag Solutions Raleigh, NC</w:t>
      </w:r>
    </w:p>
    <w:p w14:paraId="5BFB6BCC" w14:textId="77777777" w:rsidR="003E07EF" w:rsidRPr="007D5CE7" w:rsidRDefault="003E07EF" w:rsidP="00C87FCB">
      <w:pPr>
        <w:rPr>
          <w:b/>
          <w:color w:val="000000"/>
          <w:sz w:val="22"/>
          <w:szCs w:val="22"/>
        </w:rPr>
      </w:pPr>
    </w:p>
    <w:p w14:paraId="6F697E25" w14:textId="77777777" w:rsidR="007D5CE7" w:rsidRPr="007D5CE7" w:rsidRDefault="007D5CE7" w:rsidP="00C87FCB">
      <w:pPr>
        <w:rPr>
          <w:bCs/>
          <w:color w:val="000000"/>
          <w:sz w:val="22"/>
          <w:szCs w:val="22"/>
        </w:rPr>
      </w:pPr>
    </w:p>
    <w:p w14:paraId="0653F8F1" w14:textId="04E1671B"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Engage with other information security risk personnel across the organization to help identify enterprise-</w:t>
      </w:r>
      <w:r w:rsidR="007D5CE7" w:rsidRPr="007D5CE7">
        <w:rPr>
          <w:bCs/>
          <w:color w:val="000000"/>
          <w:sz w:val="22"/>
          <w:szCs w:val="22"/>
        </w:rPr>
        <w:t>level.</w:t>
      </w:r>
      <w:r w:rsidRPr="007D5CE7">
        <w:rPr>
          <w:bCs/>
          <w:color w:val="000000"/>
          <w:sz w:val="22"/>
          <w:szCs w:val="22"/>
        </w:rPr>
        <w:t xml:space="preserve"> </w:t>
      </w:r>
    </w:p>
    <w:p w14:paraId="5E81ED39" w14:textId="77777777" w:rsidR="00C87FCB" w:rsidRPr="007D5CE7" w:rsidRDefault="00C87FCB" w:rsidP="00C87FCB">
      <w:pPr>
        <w:rPr>
          <w:bCs/>
          <w:color w:val="000000"/>
          <w:sz w:val="22"/>
          <w:szCs w:val="22"/>
        </w:rPr>
      </w:pPr>
      <w:r w:rsidRPr="007D5CE7">
        <w:rPr>
          <w:bCs/>
          <w:color w:val="000000"/>
          <w:sz w:val="22"/>
          <w:szCs w:val="22"/>
        </w:rPr>
        <w:t>risks.</w:t>
      </w:r>
    </w:p>
    <w:p w14:paraId="39767BF9"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Ensure the implementation of information risk programs that identify, measure, track and remediate risks with </w:t>
      </w:r>
    </w:p>
    <w:p w14:paraId="117ED840" w14:textId="77777777" w:rsidR="00C87FCB" w:rsidRPr="007D5CE7" w:rsidRDefault="00C87FCB" w:rsidP="00C87FCB">
      <w:pPr>
        <w:rPr>
          <w:bCs/>
          <w:color w:val="000000"/>
          <w:sz w:val="22"/>
          <w:szCs w:val="22"/>
        </w:rPr>
      </w:pPr>
      <w:r w:rsidRPr="007D5CE7">
        <w:rPr>
          <w:bCs/>
          <w:color w:val="000000"/>
          <w:sz w:val="22"/>
          <w:szCs w:val="22"/>
        </w:rPr>
        <w:t>business owners.</w:t>
      </w:r>
    </w:p>
    <w:p w14:paraId="4A3ACC17"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Lead annual audits for industry specific reports, including ISO27001, ISO 27701 and SOC 2 Type II reports.</w:t>
      </w:r>
    </w:p>
    <w:p w14:paraId="4CB47B13"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Coordinate with external auditors and internal control owners through kickoff meetings, interview requests, </w:t>
      </w:r>
    </w:p>
    <w:p w14:paraId="42E2773F" w14:textId="77777777" w:rsidR="00C87FCB" w:rsidRPr="007D5CE7" w:rsidRDefault="00C87FCB" w:rsidP="00C87FCB">
      <w:pPr>
        <w:rPr>
          <w:bCs/>
          <w:color w:val="000000"/>
          <w:sz w:val="22"/>
          <w:szCs w:val="22"/>
        </w:rPr>
      </w:pPr>
      <w:r w:rsidRPr="007D5CE7">
        <w:rPr>
          <w:bCs/>
          <w:color w:val="000000"/>
          <w:sz w:val="22"/>
          <w:szCs w:val="22"/>
        </w:rPr>
        <w:t>closing meetings and evidence gathering to accomplish operational task.</w:t>
      </w:r>
    </w:p>
    <w:p w14:paraId="05058295"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Documents findings and assesses risk where deviations exist resulting from internal and external testing.</w:t>
      </w:r>
    </w:p>
    <w:p w14:paraId="3F6F47AD" w14:textId="07AE733F"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Performs assessment and provides feedback by defining appropriate risk levels and corrective actions for </w:t>
      </w:r>
      <w:r w:rsidR="007D5CE7" w:rsidRPr="007D5CE7">
        <w:rPr>
          <w:bCs/>
          <w:color w:val="000000"/>
          <w:sz w:val="22"/>
          <w:szCs w:val="22"/>
        </w:rPr>
        <w:t>issues.</w:t>
      </w:r>
      <w:r w:rsidRPr="007D5CE7">
        <w:rPr>
          <w:bCs/>
          <w:color w:val="000000"/>
          <w:sz w:val="22"/>
          <w:szCs w:val="22"/>
        </w:rPr>
        <w:t xml:space="preserve"> </w:t>
      </w:r>
    </w:p>
    <w:p w14:paraId="2B1D7E82" w14:textId="77777777" w:rsidR="00C87FCB" w:rsidRPr="007D5CE7" w:rsidRDefault="00C87FCB" w:rsidP="00C87FCB">
      <w:pPr>
        <w:rPr>
          <w:bCs/>
          <w:color w:val="000000"/>
          <w:sz w:val="22"/>
          <w:szCs w:val="22"/>
        </w:rPr>
      </w:pPr>
      <w:r w:rsidRPr="007D5CE7">
        <w:rPr>
          <w:bCs/>
          <w:color w:val="000000"/>
          <w:sz w:val="22"/>
          <w:szCs w:val="22"/>
        </w:rPr>
        <w:t>identified to ensure compliance.</w:t>
      </w:r>
    </w:p>
    <w:p w14:paraId="258AFFB8"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Performs risk and control assessment for all high-risk third-party service providers to evaluate effectiveness of </w:t>
      </w:r>
    </w:p>
    <w:p w14:paraId="6080FC0D" w14:textId="77777777" w:rsidR="00C87FCB" w:rsidRPr="007D5CE7" w:rsidRDefault="00C87FCB" w:rsidP="00C87FCB">
      <w:pPr>
        <w:rPr>
          <w:bCs/>
          <w:color w:val="000000"/>
          <w:sz w:val="22"/>
          <w:szCs w:val="22"/>
        </w:rPr>
      </w:pPr>
      <w:r w:rsidRPr="007D5CE7">
        <w:rPr>
          <w:bCs/>
          <w:color w:val="000000"/>
          <w:sz w:val="22"/>
          <w:szCs w:val="22"/>
        </w:rPr>
        <w:t>control system.</w:t>
      </w:r>
    </w:p>
    <w:p w14:paraId="4F526021"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Write and edit policies and reports whiles testing the operation of general, contractual controls.</w:t>
      </w:r>
    </w:p>
    <w:p w14:paraId="263EB0ED" w14:textId="77777777"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Performs IT &amp; Risk Security Risk &amp; Control Assessments for new products/initiatives.</w:t>
      </w:r>
    </w:p>
    <w:p w14:paraId="02E54231" w14:textId="4E162CE5" w:rsidR="00C87FCB" w:rsidRPr="007D5CE7" w:rsidRDefault="00C87FCB" w:rsidP="00C87FCB">
      <w:pPr>
        <w:rPr>
          <w:bCs/>
          <w:color w:val="000000"/>
          <w:sz w:val="22"/>
          <w:szCs w:val="22"/>
        </w:rPr>
      </w:pPr>
      <w:r w:rsidRPr="007D5CE7">
        <w:rPr>
          <w:rFonts w:ascii="Segoe UI Symbol" w:hAnsi="Segoe UI Symbol" w:cs="Segoe UI Symbol"/>
          <w:bCs/>
          <w:color w:val="000000"/>
          <w:sz w:val="22"/>
          <w:szCs w:val="22"/>
        </w:rPr>
        <w:t>⮚</w:t>
      </w:r>
      <w:r w:rsidRPr="007D5CE7">
        <w:rPr>
          <w:bCs/>
          <w:color w:val="000000"/>
          <w:sz w:val="22"/>
          <w:szCs w:val="22"/>
        </w:rPr>
        <w:t xml:space="preserve"> Reviews services provided by Third-Party vendors and ensured adherence to standards and risk tolerance.</w:t>
      </w:r>
    </w:p>
    <w:p w14:paraId="57F73CF1" w14:textId="77777777" w:rsidR="00C87FCB" w:rsidRPr="007D5CE7" w:rsidRDefault="00C87FCB">
      <w:pPr>
        <w:rPr>
          <w:bCs/>
          <w:color w:val="000000"/>
          <w:sz w:val="22"/>
          <w:szCs w:val="22"/>
        </w:rPr>
      </w:pPr>
    </w:p>
    <w:p w14:paraId="1F8627A5" w14:textId="77777777" w:rsidR="00C87FCB" w:rsidRPr="007D5CE7" w:rsidRDefault="00C87FCB">
      <w:pPr>
        <w:rPr>
          <w:b/>
          <w:color w:val="000000"/>
          <w:sz w:val="22"/>
          <w:szCs w:val="22"/>
        </w:rPr>
      </w:pPr>
    </w:p>
    <w:sectPr w:rsidR="00C87FCB" w:rsidRPr="007D5C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16784"/>
    <w:multiLevelType w:val="hybridMultilevel"/>
    <w:tmpl w:val="DAFA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77652"/>
    <w:multiLevelType w:val="hybridMultilevel"/>
    <w:tmpl w:val="01404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70822"/>
    <w:multiLevelType w:val="multilevel"/>
    <w:tmpl w:val="60ECD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24530B"/>
    <w:multiLevelType w:val="multilevel"/>
    <w:tmpl w:val="15B4EC5C"/>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num w:numId="1" w16cid:durableId="312486341">
    <w:abstractNumId w:val="2"/>
  </w:num>
  <w:num w:numId="2" w16cid:durableId="428087868">
    <w:abstractNumId w:val="3"/>
  </w:num>
  <w:num w:numId="3" w16cid:durableId="1493374911">
    <w:abstractNumId w:val="0"/>
  </w:num>
  <w:num w:numId="4" w16cid:durableId="1135215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F13"/>
    <w:rsid w:val="003E07EF"/>
    <w:rsid w:val="00451F13"/>
    <w:rsid w:val="00640775"/>
    <w:rsid w:val="007D5CE7"/>
    <w:rsid w:val="00C87FCB"/>
    <w:rsid w:val="00E70FCC"/>
    <w:rsid w:val="00F2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625F"/>
  <w15:docId w15:val="{DB8358C6-307D-43B1-BD2A-88C255C4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spacing w:before="100" w:after="100"/>
      <w:outlineLvl w:val="0"/>
    </w:pPr>
    <w:rPr>
      <w:b/>
      <w:sz w:val="18"/>
      <w:szCs w:val="18"/>
    </w:rPr>
  </w:style>
  <w:style w:type="paragraph" w:styleId="Heading2">
    <w:name w:val="heading 2"/>
    <w:basedOn w:val="Normal"/>
    <w:next w:val="Normal"/>
    <w:uiPriority w:val="9"/>
    <w:unhideWhenUsed/>
    <w:qFormat/>
    <w:pPr>
      <w:keepNext/>
      <w:widowControl w:val="0"/>
      <w:spacing w:before="100" w:after="100"/>
      <w:jc w:val="center"/>
      <w:outlineLvl w:val="1"/>
    </w:pPr>
    <w:rPr>
      <w:b/>
      <w:sz w:val="20"/>
      <w:szCs w:val="20"/>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640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WakeMed Health and Hospitals</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 PARKER</dc:creator>
  <cp:lastModifiedBy>AMA PARKER</cp:lastModifiedBy>
  <cp:revision>2</cp:revision>
  <dcterms:created xsi:type="dcterms:W3CDTF">2024-04-19T17:43:00Z</dcterms:created>
  <dcterms:modified xsi:type="dcterms:W3CDTF">2024-04-19T17:43:00Z</dcterms:modified>
</cp:coreProperties>
</file>