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6"/>
        <w:gridCol w:w="1514"/>
        <w:gridCol w:w="3201"/>
        <w:gridCol w:w="2811"/>
      </w:tblGrid>
      <w:tr>
        <w:tblPrEx>
          <w:shd w:val="clear" w:color="auto" w:fill="bdc0bf"/>
        </w:tblPrEx>
        <w:trPr>
          <w:trHeight w:val="351" w:hRule="atLeast"/>
          <w:tblHeader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描述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備註</w:t>
            </w:r>
          </w:p>
        </w:tc>
      </w:tr>
      <w:tr>
        <w:tblPrEx>
          <w:shd w:val="clear" w:color="auto" w:fill="auto"/>
        </w:tblPrEx>
        <w:trPr>
          <w:trHeight w:val="291" w:hRule="atLeast"/>
        </w:trPr>
        <w:tc>
          <w:tcPr>
            <w:tcW w:type="dxa" w:w="20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srcip</w:t>
            </w:r>
          </w:p>
        </w:tc>
        <w:tc>
          <w:tcPr>
            <w:tcW w:type="dxa" w:w="15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nominal</w:t>
            </w:r>
          </w:p>
        </w:tc>
        <w:tc>
          <w:tcPr>
            <w:tcW w:type="dxa" w:w="320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ascii="Helvetica" w:hAnsi="Helvetica"/>
                <w:rtl w:val="0"/>
              </w:rPr>
              <w:t>Src IP address</w:t>
            </w:r>
          </w:p>
        </w:tc>
        <w:tc>
          <w:tcPr>
            <w:tcW w:type="dxa" w:w="281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sport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Src port number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dstip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nominal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Dst IP address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dsport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Dst port number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proto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nominal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Transaction protocol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state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nominal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State (ex: TCP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 xml:space="preserve">有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SYN/ACK)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</w:p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dur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ascii="Helvetica" w:hAnsi="Helvetica"/>
                <w:rtl w:val="0"/>
              </w:rPr>
              <w:t>Record total duration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 xml:space="preserve">裡最後一筆資料的時間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-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第一筆資料的時間</w:t>
            </w:r>
          </w:p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sbytes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eastAsia="Helvetica" w:hint="eastAsia"/>
                <w:rtl w:val="0"/>
              </w:rPr>
              <w:t>在這個</w:t>
            </w:r>
            <w:r>
              <w:rPr>
                <w:rFonts w:ascii="Helvetica" w:hAnsi="Helvetica"/>
                <w:rtl w:val="0"/>
              </w:rPr>
              <w:t>flow</w:t>
            </w:r>
            <w:r>
              <w:rPr>
                <w:rFonts w:eastAsia="Helvetica" w:hint="eastAsia"/>
                <w:rtl w:val="0"/>
              </w:rPr>
              <w:t xml:space="preserve">， </w:t>
            </w:r>
            <w:r>
              <w:rPr>
                <w:rFonts w:ascii="Helvetica" w:hAnsi="Helvetica"/>
                <w:rtl w:val="0"/>
              </w:rPr>
              <w:t>src</w:t>
            </w:r>
            <w:r>
              <w:rPr>
                <w:rFonts w:eastAsia="Helvetica" w:hint="eastAsia"/>
                <w:rtl w:val="0"/>
              </w:rPr>
              <w:t>總共傳了多少東西給</w:t>
            </w:r>
            <w:r>
              <w:rPr>
                <w:rFonts w:ascii="Helvetica" w:hAnsi="Helvetica"/>
                <w:rtl w:val="0"/>
              </w:rPr>
              <w:t>dst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從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拿到每個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byte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再加總</w:t>
            </w:r>
          </w:p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dbytes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eastAsia="Helvetica" w:hint="eastAsia"/>
                <w:rtl w:val="0"/>
              </w:rPr>
              <w:t>在這個</w:t>
            </w:r>
            <w:r>
              <w:rPr>
                <w:rFonts w:ascii="Helvetica" w:hAnsi="Helvetica"/>
                <w:rtl w:val="0"/>
              </w:rPr>
              <w:t>flow</w:t>
            </w:r>
            <w:r>
              <w:rPr>
                <w:rFonts w:eastAsia="Helvetica" w:hint="eastAsia"/>
                <w:rtl w:val="0"/>
              </w:rPr>
              <w:t xml:space="preserve">， </w:t>
            </w:r>
            <w:r>
              <w:rPr>
                <w:rFonts w:ascii="Helvetica" w:hAnsi="Helvetica"/>
                <w:rtl w:val="0"/>
              </w:rPr>
              <w:t>dst</w:t>
            </w:r>
            <w:r>
              <w:rPr>
                <w:rFonts w:eastAsia="Helvetica" w:hint="eastAsia"/>
                <w:rtl w:val="0"/>
              </w:rPr>
              <w:t>總共傳了多少東西給</w:t>
            </w:r>
            <w:r>
              <w:rPr>
                <w:rFonts w:ascii="Helvetica" w:hAnsi="Helvetica"/>
                <w:rtl w:val="0"/>
              </w:rPr>
              <w:t>src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從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拿到每個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byte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再加總</w:t>
            </w:r>
          </w:p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sttl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Src TTL (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還能被轉傳幾次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裡每個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ttl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加總取平均</w:t>
            </w:r>
          </w:p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dttl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Dst TTL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裡每個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ttl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加總取平均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sloss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Src pkt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重傳或丟掉的次數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裡每個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loss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加總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TCP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sequence num)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dloss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Dst pkt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重傳或丟掉的次數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裡每個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loss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加總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TCP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sequence num)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service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nominal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ascii="Helvetica" w:hAnsi="Helvetica"/>
                <w:rtl w:val="0"/>
              </w:rPr>
              <w:t>http, ftp, smtp, ssh, dns, ftp-data ,irc  and (-) if not much used service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</w:t>
            </w:r>
          </w:p>
          <w:p>
            <w:pPr>
              <w:pStyle w:val="表格樣式 2"/>
            </w:pP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Sload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Src bits per second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Header(Rate) -&gt;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從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wireshirk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Dload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Dst bits per second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Header(Rate) -&gt;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從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wireshirk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Spkts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Src to destination packet count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數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Dpkts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Dst to source packet count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數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swin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Src TCP windows size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Header(TCP)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dwin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Dst TCP windows size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Header(TCP)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stcpb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Src TCP base seq num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Header(TCP)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dtcpb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Dst TCP base seq num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Header(TCP)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smeansz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Mean of Flow pkt size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Header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取平均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dmeansz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Mean of Flow pkt size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Header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取平均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trans_depth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the pipelined depth into the connection of http request/response transaction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每次能平行傳輸的數目？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res_bdy_len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ascii="Helvetica" w:hAnsi="Helvetica"/>
                <w:rtl w:val="0"/>
              </w:rPr>
              <w:t>Actual uncompressed content size of the data transferred from the server?s http service.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Sjit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Src jitter (mSec)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拿不到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Djit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ascii="Helvetica" w:hAnsi="Helvetica"/>
                <w:rtl w:val="0"/>
              </w:rPr>
              <w:t>Dst jitter (mSec)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拿不到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Stime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Timestamp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record start time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裡第一個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timestamp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Ltime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Timestamp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record last time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裡最後一個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pkt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timestamp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Sintpkt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Source interpacket arrival time (mSec)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Dintpkt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Destination interpacket arrival time (mSec)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tcprtt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synack + ackdat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synack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TCP SYN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跟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SYN_ACK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之間的時間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ackdat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Float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TCP SYN_ACK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 xml:space="preserve">跟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ACK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之間的時間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is_sm_ips_ports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Binary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1 -&gt; flow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裡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Src IP == Dst IP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 xml:space="preserve">且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Src Port == Dst Port (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或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Port == 0)</w:t>
            </w:r>
          </w:p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0 -&gt;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不是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ct_state_ttl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ascii="Helvetica" w:hAnsi="Helvetica"/>
                <w:rtl w:val="0"/>
              </w:rPr>
              <w:t>No. for each state (6) according to specific range of values for source/destination time to live (10) (11).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ct_flw_http_mthd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</w:pPr>
            <w:r>
              <w:rPr>
                <w:rFonts w:ascii="Helvetica" w:hAnsi="Helvetica"/>
                <w:rtl w:val="0"/>
              </w:rPr>
              <w:t>No. of flows that has methods such as Get and Post in http service.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is_ftp_login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Binary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If the ftp session is accessed by user and password then 1 else 0.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FTP Header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ct_ftp_cmd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 of flows that has a command in ftp session.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FTP Header</w:t>
            </w:r>
          </w:p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ct_srv_src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No. of connections that contain the same service (14) and source address (1) in 100 connections according to the last time (26).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為什麼是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100?</w:t>
            </w:r>
          </w:p>
          <w:p>
            <w:pPr>
              <w:pStyle w:val="表格樣式 2"/>
            </w:pPr>
          </w:p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ct_srv_dst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No. of connections that contain the same service (14) and destination address (3) in 100 connections according to the last time (26).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ct_dst_ltm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No. of connections of the same destination address (3) in 100 connections according to the last time (26).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ct_src_ ltm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No. of connections of the same source address (1) in 100 connections according to the last time (26).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ct_src_dport_ltm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 of connections of the same source address (1) and the destination port (4) in 100 connections according to the last time (26).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ct_dst_sport_ltm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 of connections of the same destination address (3) and the source port (2) in 100 connections according to the last time (26).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056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ct_dst_src_ltm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 of connections of the same source (1) and the destination (3) address in in 100 connections according to the last time (26).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attack_cat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nominal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攻擊的種類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9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種</w:t>
            </w:r>
          </w:p>
        </w:tc>
      </w:tr>
      <w:tr>
        <w:tblPrEx>
          <w:shd w:val="clear" w:color="auto" w:fill="auto"/>
        </w:tblPrEx>
        <w:trPr>
          <w:trHeight w:val="694" w:hRule="atLeast"/>
        </w:trPr>
        <w:tc>
          <w:tcPr>
            <w:tcW w:type="dxa" w:w="2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Label</w:t>
            </w:r>
          </w:p>
        </w:tc>
        <w:tc>
          <w:tcPr>
            <w:tcW w:type="dxa" w:w="1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binary</w:t>
            </w:r>
          </w:p>
        </w:tc>
        <w:tc>
          <w:tcPr>
            <w:tcW w:type="dxa" w:w="32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0 -&gt;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非攻擊</w:t>
            </w:r>
          </w:p>
          <w:p>
            <w:pPr>
              <w:pStyle w:val="表格樣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1 -&gt; 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攻擊</w:t>
            </w:r>
          </w:p>
        </w:tc>
        <w:tc>
          <w:tcPr>
            <w:tcW w:type="dxa" w:w="2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1">
    <w:name w:val="表格樣式 1"/>
    <w:next w:val="表格樣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