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4765" w14:textId="5AC4B882" w:rsidR="000B4C6D" w:rsidRDefault="00FA2986" w:rsidP="003A5626">
      <w:pPr>
        <w:pStyle w:val="Heading1"/>
        <w:jc w:val="both"/>
      </w:pPr>
      <w:r>
        <w:softHyphen/>
      </w:r>
      <w:r>
        <w:softHyphen/>
      </w:r>
      <w:r w:rsidR="000B4C6D">
        <w:t>Exploring Alzheimer’s Disease Biomarkers with Linear Modelling</w:t>
      </w:r>
    </w:p>
    <w:p w14:paraId="3AD79A6B" w14:textId="4CB11A0A" w:rsidR="000B4C6D" w:rsidRPr="000B4C6D" w:rsidRDefault="000B4C6D" w:rsidP="003A5626">
      <w:pPr>
        <w:pStyle w:val="Heading2"/>
        <w:jc w:val="both"/>
      </w:pPr>
      <w:r w:rsidRPr="000B4C6D">
        <w:t>Annie G. Bryant, OLET5608 May 2022 | The University of Sydney</w:t>
      </w:r>
    </w:p>
    <w:p w14:paraId="3BB793DD" w14:textId="533A0CDA" w:rsidR="000B4C6D" w:rsidRDefault="000B4C6D" w:rsidP="003A5626">
      <w:pPr>
        <w:jc w:val="both"/>
      </w:pPr>
    </w:p>
    <w:p w14:paraId="750BD618" w14:textId="3FF40212" w:rsidR="000B4C6D" w:rsidRDefault="000B4C6D" w:rsidP="003A5626">
      <w:pPr>
        <w:pStyle w:val="Heading3"/>
        <w:numPr>
          <w:ilvl w:val="0"/>
          <w:numId w:val="1"/>
        </w:numPr>
        <w:jc w:val="both"/>
      </w:pPr>
      <w:r>
        <w:t>Introduction</w:t>
      </w:r>
    </w:p>
    <w:p w14:paraId="3006D6DE" w14:textId="0524359C" w:rsidR="00DE447E" w:rsidRDefault="000B4C6D" w:rsidP="003A5626">
      <w:pPr>
        <w:ind w:firstLine="360"/>
        <w:jc w:val="both"/>
      </w:pPr>
      <w:r w:rsidRPr="000B4C6D">
        <w:t>Alzheimer's disease (AD) is a neurodegenerative condition that is the primary cause of dementia globally</w:t>
      </w:r>
      <w:r w:rsidR="00137E38">
        <w:fldChar w:fldCharType="begin"/>
      </w:r>
      <w:r w:rsidR="00137E38">
        <w:instrText xml:space="preserve"> ADDIN ZOTERO_ITEM CSL_CITATION {"citationID":"iwlyUYTb","properties":{"formattedCitation":"\\super 1\\nosupersub{}","plainCitation":"1","noteIndex":0},"citationItems":[{"id":1029,"uris":["http://zotero.org/users/local/xTg0WhcH/items/KPT64NJ5"],"itemData":{"id":1029,"type":"article-journal","abstract":"Background\nThe number of individuals living with dementia is increasing, negatively affecting families, communities, and health-care systems around the world. A successful response to these challenges requires an accurate understanding of the dementia disease burden. We aimed to present the first detailed analysis of the global prevalence, mortality, and overall burden of dementia as captured by the Global Burden of Diseases, Injuries, and Risk Factors (GBD) Study 2016, and highlight the most important messages for clinicians and neurologists.\nMethods\nGBD 2016 obtained data on dementia from vital registration systems, published scientific literature and surveys, and data from health-service encounters on deaths, excess mortality, prevalence, and incidence from 195 countries and territories from 1990 to 2016, through systematic review and additional data-seeking efforts. To correct for differences in cause of death coding across time and locations, we modelled mortality due to dementia using prevalence data and estimates of excess mortality derived from countries that were most likely to code deaths to dementia relative to prevalence. Data were analysed by standardised methods to estimate deaths, prevalence, years of life lost (YLLs), years of life lived with disability (YLDs), and disability-adjusted life-years (DALYs; computed as the sum of YLLs and YLDs), and the fractions of these metrics that were attributable to four risk factors that met GBD criteria for assessment (high body-mass index [BMI], high fasting plasma glucose, smoking, and a diet high in sugar-sweetened beverages).\nFindings\nIn 2016, the global number of individuals who lived with dementia was 43·8 million (95% uncertainty interval [UI] 37·8–51·0), increased from 20.2 million (17·4–23·5) in 1990. This increase of 117% (95% UI 114–121) contrasted with a minor increase in age-standardised prevalence of 1·7% (1·0–2·4), from 701 cases (95% UI 602–815) per 100 000 population in 1990 to 712 cases (614–828) per 100 000 population in 2016. More women than men had dementia in 2016 (27·0 million, 95% UI 23·3–31·4, vs 16.8 million, 14.4–19.6), and dementia was the fifth leading cause of death globally, accounting for 2·4 million (95% UI 2·1–2·8) deaths. Overall, 28·8 million (95% UI 24·5–34·0) DALYs were attributed to dementia; 6·4 million (95% UI 3·4–10·5) of these could be attributed to the modifiable GBD risk factors of high BMI, high fasting plasma glucose, smoking, and a high intake of sugar-sweetened beverages.\nInterpretation\nThe global number of people living with dementia more than doubled from 1990 to 2016, mainly due to increases in population ageing and growth. Although differences in coding for causes of death and the heterogeneity in case-ascertainment methods constitute major challenges to the estimation of the burden of dementia, future analyses should improve on the methods for the correction of these biases. Until breakthroughs are made in prevention or curative treatment, dementia will constitute an increasing challenge to health-care systems worldwide.\nFunding\nBill &amp; Melinda Gates Foundation.","container-title":"The Lancet Neurology","DOI":"10.1016/S1474-4422(18)30403-4","ISSN":"1474-4422","issue":"1","journalAbbreviation":"The Lancet Neurology","language":"en","page":"88-106","source":"ScienceDirect","title":"Global, regional, and national burden of Alzheimer's disease and other dementias, 1990–2016: a systematic analysis for the Global Burden of Disease Study 2016","title-short":"Global, regional, and national burden of Alzheimer's disease and other dementias, 1990–2016","volume":"18","author":[{"family":"Nichols","given":"Emma"},{"family":"Szoeke","given":"Cassandra E I"},{"family":"Vollset","given":"Stein Emil"},{"family":"Abbasi","given":"Nooshin"},{"family":"Abd-Allah","given":"Foad"},{"family":"Abdela","given":"Jemal"},{"family":"Aichour","given":"Miloud Taki Eddine"},{"family":"Akinyemi","given":"Rufus O"},{"family":"Alahdab","given":"Fares"},{"family":"Asgedom","given":"Solomon W"},{"family":"Awasthi","given":"Ashish"},{"family":"Barker-Collo","given":"Suzanne L"},{"family":"Baune","given":"Bernhard T"},{"family":"Béjot","given":"Yannick"},{"family":"Belachew","given":"Abate B"},{"family":"Bennett","given":"Derrick A."},{"family":"Biadgo","given":"Belete"},{"family":"Bijani","given":"Ali"},{"family":"Bin Sayeed","given":"Muhammad Shahdaat"},{"family":"Brayne","given":"Carol"},{"family":"Carpenter","given":"David O"},{"family":"Carvalho","given":"Félix"},{"family":"Catalá-López","given":"Ferrán"},{"family":"Cerin","given":"Ester"},{"family":"Choi","given":"Jee-Young J"},{"family":"Dang","given":"Anh Kim"},{"family":"Degefa","given":"Meaza G"},{"family":"Djalalinia","given":"Shirin"},{"family":"Dubey","given":"Manisha"},{"family":"Duken","given":"Eyasu Ejeta"},{"family":"Edvardsson","given":"David"},{"family":"Endres","given":"Matthias"},{"family":"Eskandarieh","given":"Sharareh"},{"family":"Faro","given":"Andre"},{"family":"Farzadfar","given":"Farshad"},{"family":"Fereshtehnejad","given":"Seyed-Mohammad"},{"family":"Fernandes","given":"Eduarda"},{"family":"Filip","given":"Irina"},{"family":"Fischer","given":"Florian"},{"family":"Gebre","given":"Abadi K"},{"family":"Geremew","given":"Demeke"},{"family":"Ghasemi-Kasman","given":"Maryam"},{"family":"Gnedovskaya","given":"Elena V."},{"family":"Gupta","given":"Rajeev"},{"family":"Hachinski","given":"Vladimir"},{"family":"Hagos","given":"Tekleberhan B"},{"family":"Hamidi","given":"Samer"},{"family":"Hankey","given":"Graeme J."},{"family":"Haro","given":"Josep M"},{"family":"Hay","given":"Simon I"},{"family":"Irvani","given":"Seyed Sina N"},{"family":"Jha","given":"Ravi P"},{"family":"Jonas","given":"Jost B."},{"family":"Kalani","given":"Rizwan"},{"family":"Karch","given":"André"},{"family":"Kasaeian","given":"Amir"},{"family":"Khader","given":"Yousef Saleh"},{"family":"Khalil","given":"Ibrahim A"},{"family":"Khan","given":"Ejaz Ahmad"},{"family":"Khanna","given":"Tripti"},{"family":"Khoja","given":"Tawfik A M"},{"family":"Khubchandani","given":"Jagdish"},{"family":"Kisa","given":"Adnan"},{"family":"Kissimova-Skarbek","given":"Katarzyna"},{"family":"Kivimäki","given":"Mika"},{"family":"Koyanagi","given":"Ai"},{"family":"Krohn","given":"Kristopher J"},{"family":"Logroscino","given":"Giancarlo"},{"family":"Lorkowski","given":"Stefan"},{"family":"Majdan","given":"Marek"},{"family":"Malekzadeh","given":"Reza"},{"family":"März","given":"Winfried"},{"family":"Massano","given":"João"},{"family":"Mengistu","given":"Getnet"},{"family":"Meretoja","given":"Atte"},{"family":"Mohammadi","given":"Moslem"},{"family":"Mohammadi-Khanaposhtani","given":"Maryam"},{"family":"Mokdad","given":"Ali H"},{"family":"Mondello","given":"Stefania"},{"family":"Moradi","given":"Ghobad"},{"family":"Nagel","given":"Gabriele"},{"family":"Naghavi","given":"Mohsen"},{"family":"Naik","given":"Gurudatta"},{"family":"Nguyen","given":"Long H"},{"family":"Nguyen","given":"Trang H"},{"family":"Nirayo","given":"Yirga L"},{"family":"Nixon","given":"Molly R"},{"family":"Ofori-Asenso","given":"Richard"},{"family":"Ogbo","given":"Felix A"},{"family":"Olagunju","given":"Andrew T"},{"family":"Owolabi","given":"Mayowa O"},{"family":"Panda-Jonas","given":"Songhomitra"},{"family":"Passos","given":"Valéria M de Azeredo"},{"family":"Pereira","given":"David M."},{"family":"Pinilla-Monsalve","given":"Gabriel D"},{"family":"Piradov","given":"Michael A"},{"family":"Pond","given":"Constance D"},{"family":"Poustchi","given":"Hossein"},{"family":"Qorbani","given":"Mostafa"},{"family":"Radfar","given":"Amir"},{"family":"Reiner","given":"Robert C"},{"family":"Robinson","given":"Stephen R"},{"family":"Roshandel","given":"Gholamreza"},{"family":"Rostami","given":"Ali"},{"family":"Russ","given":"Tom C"},{"family":"Sachdev","given":"Perminder S"},{"family":"Safari","given":"Hosein"},{"family":"Safiri","given":"Saeid"},{"family":"Sahathevan","given":"Ramesh"},{"family":"Salimi","given":"Yahya"},{"family":"Satpathy","given":"Maheswar"},{"family":"Sawhney","given":"Monika"},{"family":"Saylan","given":"Mete"},{"family":"Sepanlou","given":"Sadaf G."},{"family":"Shafieesabet","given":"Azadeh"},{"family":"Shaikh","given":"Masood A"},{"family":"Sahraian","given":"Mohammad Ali"},{"family":"Shigematsu","given":"Mika"},{"family":"Shiri","given":"Rahman"},{"family":"Shiue","given":"Ivy"},{"family":"Silva","given":"João P"},{"family":"Smith","given":"Mari"},{"family":"Sobhani","given":"Soheila"},{"family":"Stein","given":"Dan J"},{"family":"Tabarés-Seisdedos","given":"Rafael"},{"family":"Tovani-Palone","given":"Marcos R"},{"family":"Tran","given":"Bach X"},{"family":"Tran","given":"Tung Thanh"},{"family":"Tsegay","given":"Amanuel T"},{"family":"Ullah","given":"Irfan"},{"family":"Venketasubramanian","given":"Narayanaswamy"},{"family":"Vlassov","given":"Vasily"},{"family":"Wang","given":"Yuan-Pang"},{"family":"Weiss","given":"Jordan"},{"family":"Westerman","given":"Ronny"},{"family":"Wijeratne","given":"Tissa"},{"family":"Wyper","given":"Grant M. A."},{"family":"Yano","given":"Yuichiro"},{"family":"Yimer","given":"Ebrahim M"},{"family":"Yonemoto","given":"Naohiro"},{"family":"Yousefifard","given":"Mahmoud"},{"family":"Zaidi","given":"Zoubida"},{"family":"Zare","given":"Zohreh"},{"family":"Vos","given":"Theo"},{"family":"Feigin","given":"Valery L."},{"family":"Murray","given":"Christopher J L"}],"issued":{"date-parts":[["2019",1,1]]}}}],"schema":"https://github.com/citation-style-language/schema/raw/master/csl-citation.json"} </w:instrText>
      </w:r>
      <w:r w:rsidR="00137E38">
        <w:fldChar w:fldCharType="separate"/>
      </w:r>
      <w:r w:rsidR="000001AE" w:rsidRPr="000001AE">
        <w:rPr>
          <w:rFonts w:ascii="Calibri" w:hAnsi="Calibri" w:cs="Calibri"/>
          <w:szCs w:val="24"/>
          <w:vertAlign w:val="superscript"/>
        </w:rPr>
        <w:t>1</w:t>
      </w:r>
      <w:r w:rsidR="00137E38">
        <w:fldChar w:fldCharType="end"/>
      </w:r>
      <w:r w:rsidRPr="000B4C6D">
        <w:t>. One of the primary neuropathological hallmarks of AD is the aggregation of hyperphosphorylated tau protein</w:t>
      </w:r>
      <w:r w:rsidR="00824E01">
        <w:t xml:space="preserve"> (p-Tau)</w:t>
      </w:r>
      <w:r w:rsidRPr="000B4C6D">
        <w:t xml:space="preserve"> into neurofibrillary tangles inside neurons</w:t>
      </w:r>
      <w:r w:rsidR="000001AE">
        <w:fldChar w:fldCharType="begin"/>
      </w:r>
      <w:r w:rsidR="000001AE">
        <w:instrText xml:space="preserve"> ADDIN ZOTERO_ITEM CSL_CITATION {"citationID":"p3kgYsrn","properties":{"formattedCitation":"\\super 2\\nosupersub{}","plainCitation":"2","noteIndex":0},"citationItems":[{"id":1033,"uris":["http://zotero.org/users/local/xTg0WhcH/items/Q8Y38D2E"],"itemData":{"id":1033,"type":"article-journal","abstract":"Microtubule (MT) associated protein tau is abnormally hyperphosphorylated and aggregated into paired helical filaments (PHFs), which manifest as neurofibrillary tangles (NFTs) in the brains of individuals with Alzheimer's disease (AD) and related tauopathies. Hyperphosphorylation and truncation of tau have been linked to the progression of the disease. However, the nature of phosphorylation and truncation of tau in AD brain are not very clear. In the present study we investigated the association of phosphorylation and truncation with high-molecular weight oligomers of tau (HMW-tau) in post-mortem AD brain by western blots. We found that tau from AD brain appears as a smear from low molecular weight (LMW) to HMW tau species in western blots developed with pan-tau antibodies. Similar level of LMW-tau was found in AD and control brains, whereas HMW-tau was found in AD brain only. HMW-tau was hyperphosphorylated at multiple sites and not unphosphorylated at Ser46 or Ser198/199/202. HMW-tau was weakly labeled by tau antibodies 43D against a.a. 6-18 and HT7 against a.a. 159-163 of tau, whereas, the C-terminal antibodies, tau46 and tau46.1, strongly labeled HMW-tau. The ratio of HMW-tau/LMW-tau detected by tau antibodies increased as the epitope of the tau antibodies ranges from N-terminal to C-terminal. The level of tau truncated at Asp421 was increased in AD brain, but was poorly associated with the HMW-tau. These findings suggest that tau pathogenesis involves both hyperphosphorylation and dominantly N-terminal truncation of tau in AD.","container-title":"Frontiers in Aging Neuroscience","DOI":"10.3389/fnagi.2018.00027","ISSN":"1663-4365","journalAbbreviation":"Front Aging Neurosci","language":"eng","note":"PMID: 29472853\nPMCID: PMC5810298","page":"27","source":"PubMed","title":"Relevance of Phosphorylation and Truncation of Tau to the Etiopathogenesis of Alzheimer's Disease","volume":"10","author":[{"family":"Zhou","given":"Yan"},{"family":"Shi","given":"Jianhua"},{"family":"Chu","given":"Dandan"},{"family":"Hu","given":"Wen"},{"family":"Guan","given":"Zongyu"},{"family":"Gong","given":"Cheng-Xin"},{"family":"Iqbal","given":"Khalid"},{"family":"Liu","given":"Fei"}],"issued":{"date-parts":[["2018"]]}}}],"schema":"https://github.com/citation-style-language/schema/raw/master/csl-citation.json"} </w:instrText>
      </w:r>
      <w:r w:rsidR="000001AE">
        <w:fldChar w:fldCharType="separate"/>
      </w:r>
      <w:r w:rsidR="000001AE" w:rsidRPr="000001AE">
        <w:rPr>
          <w:rFonts w:ascii="Calibri" w:hAnsi="Calibri" w:cs="Calibri"/>
          <w:szCs w:val="24"/>
          <w:vertAlign w:val="superscript"/>
        </w:rPr>
        <w:t>2</w:t>
      </w:r>
      <w:r w:rsidR="000001AE">
        <w:fldChar w:fldCharType="end"/>
      </w:r>
      <w:r w:rsidRPr="000B4C6D">
        <w:t>.</w:t>
      </w:r>
      <w:r w:rsidR="0030150C">
        <w:t xml:space="preserve"> </w:t>
      </w:r>
      <w:r w:rsidR="00737D7C">
        <w:t xml:space="preserve">While this occurs within the brain in AD, such pathological changes can also be detected in the cerebrospinal fluid (CSF) that flows between the brain and spinal cord. Several landmark studies over the past decade have shown that elevated levels of p-Tau protein in the CSF correlate with the progression of tau pathology in the </w:t>
      </w:r>
      <w:r w:rsidR="00FA2986">
        <w:t>brain and</w:t>
      </w:r>
      <w:r w:rsidR="00737D7C">
        <w:t xml:space="preserve"> can even predict onset of cognitive decline years in advance.</w:t>
      </w:r>
      <w:r w:rsidR="006272FB">
        <w:t xml:space="preserve"> Given the relevance of this exciting biomarker, I sought to leverage open-access AD biomarker data to better understand the cognitive and biological factors that relate to increased CSF p-Tau via linear modelling.</w:t>
      </w:r>
      <w:r w:rsidR="00FA2986">
        <w:softHyphen/>
      </w:r>
      <w:r w:rsidR="00FA2986">
        <w:softHyphen/>
      </w:r>
    </w:p>
    <w:p w14:paraId="7472AD6A" w14:textId="3D6AED4F" w:rsidR="000B4C6D" w:rsidRDefault="00E7621C" w:rsidP="003A5626">
      <w:pPr>
        <w:pStyle w:val="Heading3"/>
        <w:numPr>
          <w:ilvl w:val="0"/>
          <w:numId w:val="1"/>
        </w:numPr>
        <w:jc w:val="both"/>
      </w:pPr>
      <w:r>
        <w:t>Dataset</w:t>
      </w:r>
    </w:p>
    <w:p w14:paraId="54BB3DBC" w14:textId="5B0F6153" w:rsidR="00EE0225" w:rsidRDefault="00AE07C9" w:rsidP="003A5626">
      <w:pPr>
        <w:ind w:firstLine="360"/>
        <w:jc w:val="both"/>
      </w:pPr>
      <w:r>
        <w:t>Cross-sectional cognitive, neuroanatomical, and demographic data were acquired from the Alzheimer’s Disease Neuroimaging Initiative (ADNI)</w:t>
      </w:r>
      <w:r w:rsidR="0008737F">
        <w:fldChar w:fldCharType="begin"/>
      </w:r>
      <w:r w:rsidR="0008737F">
        <w:instrText xml:space="preserve"> ADDIN ZOTERO_ITEM CSL_CITATION {"citationID":"sWhd5d7Z","properties":{"formattedCitation":"\\super 3\\nosupersub{}","plainCitation":"3","noteIndex":0},"citationItems":[{"id":1037,"uris":["http://zotero.org/users/local/xTg0WhcH/items/J85VAWG4"],"itemData":{"id":1037,"type":"article-journal","abstract":"Introduction\nThe overall goal of the Alzheimer's Disease Neuroimaging Initiative (ADNI) is to validate biomarkers for Alzheimer's disease (AD) clinical trials. ADNI-3, which began on August 1, 2016, is a 5-year renewal of the current ADNI-2 study.\nMethods\nADNI-3 will follow current and additional subjects with normal cognition, mild cognitive impairment, and AD using innovative technologies such as tau imaging, magnetic resonance imaging sequences for connectivity analyses, and a highly automated immunoassay platform and mass spectroscopy approach for cerebrospinal fluid biomarker analysis. A Systems Biology/pathway approach will be used to identify genetic factors for subject selection/enrichment. Amyloid positron emission tomography scanning will be standardized using the Centiloid method. The Brain Health Registry will help recruit subjects and monitor subject cognition.\nResults\nMultimodal analyses will provide insight into AD pathophysiology and disease progression.\nDiscussion\nADNI-3 will aim to inform AD treatment trials and facilitate development of AD disease-modifying treatments.","container-title":"Alzheimer's &amp; Dementia","DOI":"10.1016/j.jalz.2016.10.006","ISSN":"1552-5260","issue":"5","journalAbbreviation":"Alzheimer's &amp; Dementia","language":"en","page":"561-571","source":"ScienceDirect","title":"The Alzheimer's Disease Neuroimaging Initiative 3: Continued innovation for clinical trial improvement","title-short":"The Alzheimer's Disease Neuroimaging Initiative 3","volume":"13","author":[{"family":"Weiner","given":"Michael W."},{"family":"Veitch","given":"Dallas P."},{"family":"Aisen","given":"Paul S."},{"family":"Beckett","given":"Laurel A."},{"family":"Cairns","given":"Nigel J."},{"family":"Green","given":"Robert C."},{"family":"Harvey","given":"Danielle"},{"family":"Jack","given":"Clifford R."},{"family":"Jagust","given":"William"},{"family":"Morris","given":"John C."},{"family":"Petersen","given":"Ronald C."},{"family":"Salazar","given":"Jennifer"},{"family":"Saykin","given":"Andrew J."},{"family":"Shaw","given":"Leslie M."},{"family":"Toga","given":"Arthur W."},{"family":"Trojanowski","given":"John Q."}],"issued":{"date-parts":[["2017",5,1]]}}}],"schema":"https://github.com/citation-style-language/schema/raw/master/csl-citation.json"} </w:instrText>
      </w:r>
      <w:r w:rsidR="0008737F">
        <w:fldChar w:fldCharType="separate"/>
      </w:r>
      <w:r w:rsidR="0008737F" w:rsidRPr="0008737F">
        <w:rPr>
          <w:rFonts w:ascii="Calibri" w:hAnsi="Calibri" w:cs="Calibri"/>
          <w:szCs w:val="24"/>
          <w:vertAlign w:val="superscript"/>
        </w:rPr>
        <w:t>3</w:t>
      </w:r>
      <w:r w:rsidR="0008737F">
        <w:fldChar w:fldCharType="end"/>
      </w:r>
      <w:r w:rsidR="0008737F">
        <w:t xml:space="preserve">, which is a multi-centre neuroimaging consortium that </w:t>
      </w:r>
      <w:r w:rsidR="003E0E2C">
        <w:t>provides open-access AD biomarker data.</w:t>
      </w:r>
      <w:r w:rsidR="00935C77">
        <w:t xml:space="preserve"> After preliminary data cleaning, I retained a dataset with N=701 observations (</w:t>
      </w:r>
      <w:proofErr w:type="gramStart"/>
      <w:r w:rsidR="00935C77">
        <w:t>i.e.</w:t>
      </w:r>
      <w:proofErr w:type="gramEnd"/>
      <w:r w:rsidR="00935C77">
        <w:t xml:space="preserve"> participants), N=1 outcome variable (CSF p-Tau levels), and N=19 predictor variables. These predictor variables can be generally organized into six categories: Cognitive (ADAS-11</w:t>
      </w:r>
      <w:r w:rsidR="005931CB">
        <w:fldChar w:fldCharType="begin"/>
      </w:r>
      <w:r w:rsidR="00F322FD">
        <w:instrText xml:space="preserve"> ADDIN ZOTERO_ITEM CSL_CITATION {"citationID":"ym9VHCgH","properties":{"formattedCitation":"\\super 4\\nosupersub{}","plainCitation":"4","noteIndex":0},"citationItems":[{"id":1041,"uris":["http://zotero.org/users/local/xTg0WhcH/items/UF2BGQAS"],"itemData":{"id":1041,"type":"article-journal","container-title":"The American Journal of Psychiatry","DOI":"https://doi.org/10.1176/ajp.141.11.1356","issue":"11","page":"1356-64","title":"A new rating scale for Alzheimer's disease","volume":"141","author":[{"family":"Rosen","given":"W.G."},{"family":"Mohs","given":"R.C."},{"family":"Davis","given":"K.L."}],"issued":{"date-parts":[["1984",11]]}}}],"schema":"https://github.com/citation-style-language/schema/raw/master/csl-citation.json"} </w:instrText>
      </w:r>
      <w:r w:rsidR="005931CB">
        <w:fldChar w:fldCharType="separate"/>
      </w:r>
      <w:r w:rsidR="005931CB" w:rsidRPr="005931CB">
        <w:rPr>
          <w:rFonts w:ascii="Calibri" w:hAnsi="Calibri" w:cs="Calibri"/>
          <w:szCs w:val="24"/>
          <w:vertAlign w:val="superscript"/>
        </w:rPr>
        <w:t>4</w:t>
      </w:r>
      <w:r w:rsidR="005931CB">
        <w:fldChar w:fldCharType="end"/>
      </w:r>
      <w:r w:rsidR="00935C77">
        <w:t>, ADAS-13</w:t>
      </w:r>
      <w:r w:rsidR="00D94B02">
        <w:fldChar w:fldCharType="begin"/>
      </w:r>
      <w:r w:rsidR="00D94B02">
        <w:instrText xml:space="preserve"> ADDIN ZOTERO_ITEM CSL_CITATION {"citationID":"geXANPj7","properties":{"formattedCitation":"\\super 5\\nosupersub{}","plainCitation":"5","noteIndex":0},"citationItems":[{"id":1043,"uris":["http://zotero.org/users/local/xTg0WhcH/items/QCDSI2BN"],"itemData":{"id":1043,"type":"article-journal","container-title":"Alzheimer Disease and Associated Disorders","page":"13-21","title":"Development of cognitive instruments for use in clinical trials of antidementia drugs: additions to the Alzheimer's Disease Assessment Scale that broaden its scope","volume":"11","author":[{"family":"Mohs","given":"Richard C."},{"family":"Knopman","given":"David"},{"family":"Petersen","given":"Ronald C."},{"family":"Ferris","given":"Steven H."},{"family":"Ernesto","given":"Chris"},{"family":"Grundman","given":"Michael"},{"family":"Sano","given":"Mary"},{"family":"Bieliauskas","given":"Linas"},{"family":"Geldmacher","given":"David"},{"family":"Clark","given":"Chris"},{"family":"Thal","given":"Leon J."},{"family":"Alzheimer's Disease Cooperative Study","given":""}],"issued":{"date-parts":[["1997"]]}}}],"schema":"https://github.com/citation-style-language/schema/raw/master/csl-citation.json"} </w:instrText>
      </w:r>
      <w:r w:rsidR="00D94B02">
        <w:fldChar w:fldCharType="separate"/>
      </w:r>
      <w:r w:rsidR="00D94B02" w:rsidRPr="00D94B02">
        <w:rPr>
          <w:rFonts w:ascii="Calibri" w:hAnsi="Calibri" w:cs="Calibri"/>
          <w:szCs w:val="24"/>
          <w:vertAlign w:val="superscript"/>
        </w:rPr>
        <w:t>5</w:t>
      </w:r>
      <w:r w:rsidR="00D94B02">
        <w:fldChar w:fldCharType="end"/>
      </w:r>
      <w:r w:rsidR="00935C77">
        <w:t>, MMSE</w:t>
      </w:r>
      <w:r w:rsidR="000D3DA8">
        <w:fldChar w:fldCharType="begin"/>
      </w:r>
      <w:r w:rsidR="000D3DA8">
        <w:instrText xml:space="preserve"> ADDIN ZOTERO_ITEM CSL_CITATION {"citationID":"M63IrIEr","properties":{"formattedCitation":"\\super 6\\nosupersub{}","plainCitation":"6","noteIndex":0},"citationItems":[{"id":1051,"uris":["http://zotero.org/users/local/xTg0WhcH/items/PSQ8LSQ5"],"itemData":{"id":1051,"type":"article-journal","container-title":"Journal of Psychiatric Research","DOI":"10.1016/0022-3956(75)90026-6","ISSN":"0022-3956","issue":"3","journalAbbreviation":"J Psychiatr Res","language":"eng","note":"PMID: 1202204","page":"189-198","source":"PubMed","title":"\"Mini-mental state\". A practical method for grading the cognitive state of patients for the clinician","volume":"12","author":[{"family":"Folstein","given":"M. F."},{"family":"Folstein","given":"S. E."},{"family":"McHugh","given":"P. R."}],"issued":{"date-parts":[["1975",11]]}}}],"schema":"https://github.com/citation-style-language/schema/raw/master/csl-citation.json"} </w:instrText>
      </w:r>
      <w:r w:rsidR="000D3DA8">
        <w:fldChar w:fldCharType="separate"/>
      </w:r>
      <w:r w:rsidR="000D3DA8" w:rsidRPr="000D3DA8">
        <w:rPr>
          <w:rFonts w:ascii="Calibri" w:hAnsi="Calibri" w:cs="Calibri"/>
          <w:szCs w:val="24"/>
          <w:vertAlign w:val="superscript"/>
        </w:rPr>
        <w:t>6</w:t>
      </w:r>
      <w:r w:rsidR="000D3DA8">
        <w:fldChar w:fldCharType="end"/>
      </w:r>
      <w:r w:rsidR="00935C77">
        <w:t>, CDR-SB</w:t>
      </w:r>
      <w:r w:rsidR="00A77FFA">
        <w:fldChar w:fldCharType="begin"/>
      </w:r>
      <w:r w:rsidR="000D3DA8">
        <w:instrText xml:space="preserve"> ADDIN ZOTERO_ITEM CSL_CITATION {"citationID":"g72L6E7Z","properties":{"formattedCitation":"\\super 7\\nosupersub{}","plainCitation":"7","noteIndex":0},"citationItems":[{"id":1048,"uris":["http://zotero.org/users/local/xTg0WhcH/items/T4QHC5TC"],"itemData":{"id":1048,"type":"article-journal","abstract":"Accurate clinical staging of dementia in older subjects has not previously been achieved despite the use of such methods as psychometric testing, behavioural rating, and various combinations of simpler psychometric and behavioural evaluations. The Clinical Dementia Rating (CR0), a global rating device, was developed for a prospective study of mild senile dementia Alzheimer type (SDAT). Reliability, validity, and correlational data are discussed. The CDR was found to distinguish unambiguously among older subjects with a wide rangeof cognitive function, from healthy to severelyimpaired.","container-title":"British Journal of Psychiatry","DOI":"10.1192/bjp.140.6.566","ISSN":"0007-1250, 1472-1465","issue":"6","journalAbbreviation":"Br J Psychiatry","language":"en","page":"566-572","source":"DOI.org (Crossref)","title":"A New Clinical Scale for the Staging of Dementia","volume":"140","author":[{"family":"Hughes","given":"Charles P."},{"family":"Berg","given":"Leonard"},{"family":"Danziger","given":"Warren"},{"family":"Coben","given":"Lawrence A."},{"family":"Martin","given":"Ronald L."}],"issued":{"date-parts":[["1982",6]]}}}],"schema":"https://github.com/citation-style-language/schema/raw/master/csl-citation.json"} </w:instrText>
      </w:r>
      <w:r w:rsidR="00A77FFA">
        <w:fldChar w:fldCharType="separate"/>
      </w:r>
      <w:r w:rsidR="000D3DA8" w:rsidRPr="000D3DA8">
        <w:rPr>
          <w:rFonts w:ascii="Calibri" w:hAnsi="Calibri" w:cs="Calibri"/>
          <w:szCs w:val="24"/>
          <w:vertAlign w:val="superscript"/>
        </w:rPr>
        <w:t>7</w:t>
      </w:r>
      <w:r w:rsidR="00A77FFA">
        <w:fldChar w:fldCharType="end"/>
      </w:r>
      <w:r w:rsidR="00935C77">
        <w:t>), Demographic (age, gender, education, race, marital status), genetic (</w:t>
      </w:r>
      <w:r w:rsidR="00935C77" w:rsidRPr="008A21EC">
        <w:rPr>
          <w:i/>
          <w:iCs/>
        </w:rPr>
        <w:t>APOE</w:t>
      </w:r>
      <w:r w:rsidR="00935C77">
        <w:t xml:space="preserve"> </w:t>
      </w:r>
      <w:r w:rsidR="005B077B">
        <w:t xml:space="preserve">gene </w:t>
      </w:r>
      <w:r w:rsidR="00935C77">
        <w:t>E4 allele status), neuroimaging (</w:t>
      </w:r>
      <w:r w:rsidR="0004251F">
        <w:t>fluorodeoxyglucose positron emission tomography; FDG</w:t>
      </w:r>
      <w:r w:rsidR="006B524F">
        <w:t>), neuroanatomical</w:t>
      </w:r>
      <w:r w:rsidR="005711A7">
        <w:t xml:space="preserve"> volume</w:t>
      </w:r>
      <w:r w:rsidR="006B524F">
        <w:t xml:space="preserve"> (ventricles, hippocampus, whole brain, entorhinal, fusiform, middle temporal cortex, total intracranial region), and peripheral biomarker (CSF amyloid-beta protein levels).</w:t>
      </w:r>
      <w:r w:rsidR="00F0469A">
        <w:t xml:space="preserve"> The first four values and a description of each of these features is provided in </w:t>
      </w:r>
      <w:r w:rsidR="00F0469A" w:rsidRPr="00E022CA">
        <w:rPr>
          <w:b/>
          <w:bCs/>
        </w:rPr>
        <w:t>Table 1</w:t>
      </w:r>
      <w:r w:rsidR="00F0469A">
        <w:t xml:space="preserve"> </w:t>
      </w:r>
      <w:r w:rsidR="00310E11">
        <w:t>on the next page</w:t>
      </w:r>
      <w:r w:rsidR="00F0469A">
        <w:t>.</w:t>
      </w:r>
    </w:p>
    <w:p w14:paraId="5367054D" w14:textId="3965FD55" w:rsidR="00F646D5" w:rsidRDefault="00F646D5" w:rsidP="00BF5639">
      <w:pPr>
        <w:ind w:firstLine="360"/>
        <w:jc w:val="both"/>
      </w:pPr>
      <w:r>
        <w:t xml:space="preserve">Of note, </w:t>
      </w:r>
      <w:r w:rsidR="0067497C">
        <w:t>I manually encoded PTGENDER, PTRACCAT, PTMARRY, and APOE4 as factors since they are classes rather than</w:t>
      </w:r>
      <w:r w:rsidR="002E6BDB">
        <w:t xml:space="preserve"> </w:t>
      </w:r>
      <w:r w:rsidR="0067497C">
        <w:t xml:space="preserve">continuously distributed numerical variables. I also </w:t>
      </w:r>
      <w:r w:rsidR="008A15F0">
        <w:t>discretised</w:t>
      </w:r>
      <w:r w:rsidR="0067497C">
        <w:t xml:space="preserve"> PTEDUCAT into a new variable (PTHIGHERED) two groups: (1) 16 or fewer years and (2) greater than 16 years, since this is not a truly continuous</w:t>
      </w:r>
      <w:r w:rsidR="00BF5639">
        <w:t xml:space="preserve"> </w:t>
      </w:r>
      <w:r w:rsidR="0067497C">
        <w:t>variable.</w:t>
      </w:r>
    </w:p>
    <w:p w14:paraId="7950A66A" w14:textId="18EDB3CA" w:rsidR="00906960" w:rsidRDefault="00F97B60" w:rsidP="003A5626">
      <w:pPr>
        <w:pStyle w:val="Heading3"/>
        <w:numPr>
          <w:ilvl w:val="0"/>
          <w:numId w:val="1"/>
        </w:numPr>
        <w:jc w:val="both"/>
      </w:pPr>
      <w:r>
        <w:t>Analysis</w:t>
      </w:r>
    </w:p>
    <w:p w14:paraId="5F74F181" w14:textId="5B4049D9" w:rsidR="00906960" w:rsidRDefault="00906960" w:rsidP="003A5626">
      <w:pPr>
        <w:pStyle w:val="Heading4"/>
        <w:numPr>
          <w:ilvl w:val="1"/>
          <w:numId w:val="1"/>
        </w:numPr>
        <w:jc w:val="both"/>
      </w:pPr>
      <w:r>
        <w:t>Exploratory data analysis and visualization</w:t>
      </w:r>
    </w:p>
    <w:p w14:paraId="7AE37F73" w14:textId="72D02834" w:rsidR="006B491C" w:rsidRDefault="00172FFC" w:rsidP="00A13D47">
      <w:pPr>
        <w:ind w:firstLine="360"/>
        <w:jc w:val="both"/>
      </w:pPr>
      <w:r>
        <w:t xml:space="preserve">Before </w:t>
      </w:r>
      <w:r w:rsidR="006725C8">
        <w:t>beginning any modelling, I visualized the univariate distribution for the predictor and outcome variables in this dataset</w:t>
      </w:r>
      <w:r w:rsidR="00773C0D">
        <w:t xml:space="preserve"> (</w:t>
      </w:r>
      <w:r w:rsidR="00773C0D">
        <w:rPr>
          <w:b/>
          <w:bCs/>
        </w:rPr>
        <w:t>Figure 1</w:t>
      </w:r>
      <w:r w:rsidR="00773C0D">
        <w:t>).</w:t>
      </w:r>
      <w:r w:rsidR="00FF2999">
        <w:t xml:space="preserve"> Most of the quantitative (</w:t>
      </w:r>
      <w:proofErr w:type="gramStart"/>
      <w:r w:rsidR="00FF2999">
        <w:t>continuously-distributed</w:t>
      </w:r>
      <w:proofErr w:type="gramEnd"/>
      <w:r w:rsidR="00FF2999">
        <w:t xml:space="preserve">) predictor terms are somewhat normally distributed, with the exception of ADAS11, ADAS13, CDRSB, and Ventricles which exhibit positive skews; additionally, the outcome feature </w:t>
      </w:r>
      <w:r w:rsidR="00315D95">
        <w:t>(PTAU) also exhibits a positive skew.</w:t>
      </w:r>
      <w:r w:rsidR="007E3CBF">
        <w:t xml:space="preserve"> </w:t>
      </w:r>
    </w:p>
    <w:p w14:paraId="20223462" w14:textId="1ED92DE2" w:rsidR="00906960" w:rsidRDefault="00906960" w:rsidP="005C2E84">
      <w:pPr>
        <w:jc w:val="both"/>
      </w:pPr>
    </w:p>
    <w:p w14:paraId="0CC1F632" w14:textId="080E8D65" w:rsidR="00436522" w:rsidRDefault="00436522" w:rsidP="005C2E84">
      <w:pPr>
        <w:jc w:val="both"/>
      </w:pPr>
    </w:p>
    <w:p w14:paraId="31531C22" w14:textId="5C6AFFEB" w:rsidR="00436522" w:rsidRDefault="00436522" w:rsidP="005C2E84">
      <w:pPr>
        <w:jc w:val="both"/>
      </w:pPr>
    </w:p>
    <w:p w14:paraId="0FE8C3B9" w14:textId="19E7D171" w:rsidR="00436522" w:rsidRDefault="00436522" w:rsidP="005C2E84">
      <w:pPr>
        <w:jc w:val="both"/>
      </w:pPr>
    </w:p>
    <w:p w14:paraId="6D5AA9D3" w14:textId="77777777" w:rsidR="00B55723" w:rsidRPr="00773C0D" w:rsidRDefault="00B55723" w:rsidP="005C2E84">
      <w:pPr>
        <w:jc w:val="both"/>
      </w:pPr>
    </w:p>
    <w:tbl>
      <w:tblPr>
        <w:tblStyle w:val="PlainTable1"/>
        <w:tblW w:w="10385" w:type="dxa"/>
        <w:tblInd w:w="-515" w:type="dxa"/>
        <w:tblLook w:val="04A0" w:firstRow="1" w:lastRow="0" w:firstColumn="1" w:lastColumn="0" w:noHBand="0" w:noVBand="1"/>
      </w:tblPr>
      <w:tblGrid>
        <w:gridCol w:w="1254"/>
        <w:gridCol w:w="3293"/>
        <w:gridCol w:w="5838"/>
      </w:tblGrid>
      <w:tr w:rsidR="00F97B60" w:rsidRPr="00F97B60" w14:paraId="057A069F" w14:textId="77777777" w:rsidTr="00CD354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54" w:type="dxa"/>
            <w:noWrap/>
            <w:vAlign w:val="center"/>
            <w:hideMark/>
          </w:tcPr>
          <w:p w14:paraId="7A202C8D" w14:textId="77777777" w:rsidR="00F97B60" w:rsidRPr="00CD3547" w:rsidRDefault="00F97B60" w:rsidP="00CD3547">
            <w:pPr>
              <w:rPr>
                <w:rFonts w:ascii="Calibri" w:eastAsia="Times New Roman" w:hAnsi="Calibri" w:cs="Calibri"/>
                <w:color w:val="000000"/>
                <w:lang w:eastAsia="en-AU"/>
              </w:rPr>
            </w:pPr>
            <w:r w:rsidRPr="00CD3547">
              <w:rPr>
                <w:rFonts w:ascii="Calibri" w:eastAsia="Times New Roman" w:hAnsi="Calibri" w:cs="Calibri"/>
                <w:color w:val="000000"/>
                <w:lang w:eastAsia="en-AU"/>
              </w:rPr>
              <w:lastRenderedPageBreak/>
              <w:t>Variable</w:t>
            </w:r>
          </w:p>
        </w:tc>
        <w:tc>
          <w:tcPr>
            <w:tcW w:w="3293" w:type="dxa"/>
            <w:noWrap/>
            <w:vAlign w:val="center"/>
            <w:hideMark/>
          </w:tcPr>
          <w:p w14:paraId="3F5A17A8" w14:textId="77777777" w:rsidR="00F97B60" w:rsidRPr="00CD3547" w:rsidRDefault="00F97B60" w:rsidP="00CD35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3547">
              <w:rPr>
                <w:rFonts w:ascii="Calibri" w:eastAsia="Times New Roman" w:hAnsi="Calibri" w:cs="Calibri"/>
                <w:color w:val="000000"/>
                <w:lang w:eastAsia="en-AU"/>
              </w:rPr>
              <w:t>First 4 Values</w:t>
            </w:r>
          </w:p>
        </w:tc>
        <w:tc>
          <w:tcPr>
            <w:tcW w:w="5838" w:type="dxa"/>
            <w:noWrap/>
            <w:vAlign w:val="center"/>
            <w:hideMark/>
          </w:tcPr>
          <w:p w14:paraId="7E4A5A60" w14:textId="77777777" w:rsidR="00F97B60" w:rsidRPr="00CD3547" w:rsidRDefault="00F97B60" w:rsidP="00CD35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3547">
              <w:rPr>
                <w:rFonts w:ascii="Calibri" w:eastAsia="Times New Roman" w:hAnsi="Calibri" w:cs="Calibri"/>
                <w:color w:val="000000"/>
                <w:lang w:eastAsia="en-AU"/>
              </w:rPr>
              <w:t>Description</w:t>
            </w:r>
          </w:p>
        </w:tc>
      </w:tr>
      <w:tr w:rsidR="00F97B60" w:rsidRPr="00F97B60" w14:paraId="4B50D237"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355CAB0C"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RID</w:t>
            </w:r>
          </w:p>
        </w:tc>
        <w:tc>
          <w:tcPr>
            <w:tcW w:w="3293" w:type="dxa"/>
            <w:noWrap/>
            <w:hideMark/>
          </w:tcPr>
          <w:p w14:paraId="3F1AC86C"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3, 5, 10, 14</w:t>
            </w:r>
          </w:p>
        </w:tc>
        <w:tc>
          <w:tcPr>
            <w:tcW w:w="5838" w:type="dxa"/>
            <w:noWrap/>
            <w:hideMark/>
          </w:tcPr>
          <w:p w14:paraId="0187A1A4"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Unique participant identifier ID</w:t>
            </w:r>
          </w:p>
        </w:tc>
      </w:tr>
      <w:tr w:rsidR="003A5626" w:rsidRPr="00F97B60" w14:paraId="41BD2A03"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769D6650"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AGE</w:t>
            </w:r>
          </w:p>
        </w:tc>
        <w:tc>
          <w:tcPr>
            <w:tcW w:w="3293" w:type="dxa"/>
            <w:noWrap/>
            <w:hideMark/>
          </w:tcPr>
          <w:p w14:paraId="0F6B0AAB"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81.3, 73.7, 73.9, 78.5</w:t>
            </w:r>
          </w:p>
        </w:tc>
        <w:tc>
          <w:tcPr>
            <w:tcW w:w="5838" w:type="dxa"/>
            <w:noWrap/>
            <w:hideMark/>
          </w:tcPr>
          <w:p w14:paraId="1885027D"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Age in years</w:t>
            </w:r>
          </w:p>
        </w:tc>
      </w:tr>
      <w:tr w:rsidR="00F97B60" w:rsidRPr="00F97B60" w14:paraId="2082A38F"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1017C33"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PTGENDER</w:t>
            </w:r>
          </w:p>
        </w:tc>
        <w:tc>
          <w:tcPr>
            <w:tcW w:w="3293" w:type="dxa"/>
            <w:noWrap/>
            <w:hideMark/>
          </w:tcPr>
          <w:p w14:paraId="01067278"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Male, Male, Female, Female</w:t>
            </w:r>
          </w:p>
        </w:tc>
        <w:tc>
          <w:tcPr>
            <w:tcW w:w="5838" w:type="dxa"/>
            <w:noWrap/>
            <w:hideMark/>
          </w:tcPr>
          <w:p w14:paraId="6F621313"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Sex of the participant</w:t>
            </w:r>
          </w:p>
        </w:tc>
      </w:tr>
      <w:tr w:rsidR="003A5626" w:rsidRPr="00F97B60" w14:paraId="7DC5B960"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4EC97A4B"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PTEDUCAT</w:t>
            </w:r>
          </w:p>
        </w:tc>
        <w:tc>
          <w:tcPr>
            <w:tcW w:w="3293" w:type="dxa"/>
            <w:noWrap/>
            <w:hideMark/>
          </w:tcPr>
          <w:p w14:paraId="226564D1"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18, 16, 12, 12</w:t>
            </w:r>
          </w:p>
        </w:tc>
        <w:tc>
          <w:tcPr>
            <w:tcW w:w="5838" w:type="dxa"/>
            <w:noWrap/>
            <w:hideMark/>
          </w:tcPr>
          <w:p w14:paraId="26D96A0A"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Years of education</w:t>
            </w:r>
          </w:p>
        </w:tc>
      </w:tr>
      <w:tr w:rsidR="00F97B60" w:rsidRPr="00F97B60" w14:paraId="1431CC7C"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5659D79"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PTRACCAT</w:t>
            </w:r>
          </w:p>
        </w:tc>
        <w:tc>
          <w:tcPr>
            <w:tcW w:w="3293" w:type="dxa"/>
            <w:noWrap/>
            <w:hideMark/>
          </w:tcPr>
          <w:p w14:paraId="4656FFB3"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White, White, White, White</w:t>
            </w:r>
          </w:p>
        </w:tc>
        <w:tc>
          <w:tcPr>
            <w:tcW w:w="5838" w:type="dxa"/>
            <w:noWrap/>
            <w:hideMark/>
          </w:tcPr>
          <w:p w14:paraId="129C6094"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Ethnicity</w:t>
            </w:r>
          </w:p>
        </w:tc>
      </w:tr>
      <w:tr w:rsidR="003A5626" w:rsidRPr="00F97B60" w14:paraId="1AB135D1"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557E65CC"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PTMARRY</w:t>
            </w:r>
          </w:p>
        </w:tc>
        <w:tc>
          <w:tcPr>
            <w:tcW w:w="3293" w:type="dxa"/>
            <w:noWrap/>
            <w:hideMark/>
          </w:tcPr>
          <w:p w14:paraId="6D141827"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Married, Married, Married, Divorced</w:t>
            </w:r>
          </w:p>
        </w:tc>
        <w:tc>
          <w:tcPr>
            <w:tcW w:w="5838" w:type="dxa"/>
            <w:noWrap/>
            <w:hideMark/>
          </w:tcPr>
          <w:p w14:paraId="36EF703A"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Marital status</w:t>
            </w:r>
          </w:p>
        </w:tc>
      </w:tr>
      <w:tr w:rsidR="00F97B60" w:rsidRPr="00F97B60" w14:paraId="209FF0D5"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B6A571D"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APOE4</w:t>
            </w:r>
          </w:p>
        </w:tc>
        <w:tc>
          <w:tcPr>
            <w:tcW w:w="3293" w:type="dxa"/>
            <w:noWrap/>
            <w:hideMark/>
          </w:tcPr>
          <w:p w14:paraId="599CB240"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TRUE, FALSE, TRUE, FALSE</w:t>
            </w:r>
          </w:p>
        </w:tc>
        <w:tc>
          <w:tcPr>
            <w:tcW w:w="5838" w:type="dxa"/>
            <w:noWrap/>
            <w:hideMark/>
          </w:tcPr>
          <w:p w14:paraId="6B6F1C5C"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Presence of one or two APOE E4 alleles</w:t>
            </w:r>
          </w:p>
        </w:tc>
      </w:tr>
      <w:tr w:rsidR="003A5626" w:rsidRPr="00F97B60" w14:paraId="7DD5AEE8"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32E6D526"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FDG</w:t>
            </w:r>
          </w:p>
        </w:tc>
        <w:tc>
          <w:tcPr>
            <w:tcW w:w="3293" w:type="dxa"/>
            <w:noWrap/>
            <w:hideMark/>
          </w:tcPr>
          <w:p w14:paraId="5C8BEE5E"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1.08355, 1.29343, 1.11532, 1.25096</w:t>
            </w:r>
          </w:p>
        </w:tc>
        <w:tc>
          <w:tcPr>
            <w:tcW w:w="5838" w:type="dxa"/>
            <w:noWrap/>
            <w:hideMark/>
          </w:tcPr>
          <w:p w14:paraId="7F4464A3" w14:textId="1224769B"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 xml:space="preserve">Average </w:t>
            </w:r>
            <w:r w:rsidR="00A06EFF">
              <w:rPr>
                <w:rFonts w:ascii="Calibri" w:eastAsia="Times New Roman" w:hAnsi="Calibri" w:cs="Calibri"/>
                <w:color w:val="000000"/>
                <w:sz w:val="18"/>
                <w:szCs w:val="18"/>
                <w:lang w:eastAsia="en-AU"/>
              </w:rPr>
              <w:t xml:space="preserve">fluorodeoxyglucose (FDG) positron emission tomography (PET) metabolism </w:t>
            </w:r>
            <w:r w:rsidRPr="00F97B60">
              <w:rPr>
                <w:rFonts w:ascii="Calibri" w:eastAsia="Times New Roman" w:hAnsi="Calibri" w:cs="Calibri"/>
                <w:color w:val="000000"/>
                <w:sz w:val="18"/>
                <w:szCs w:val="18"/>
                <w:lang w:eastAsia="en-AU"/>
              </w:rPr>
              <w:t>of angular, temporal, and posterior cingulate</w:t>
            </w:r>
            <w:r w:rsidR="00A06EFF">
              <w:rPr>
                <w:rFonts w:ascii="Calibri" w:eastAsia="Times New Roman" w:hAnsi="Calibri" w:cs="Calibri"/>
                <w:color w:val="000000"/>
                <w:sz w:val="18"/>
                <w:szCs w:val="18"/>
                <w:lang w:eastAsia="en-AU"/>
              </w:rPr>
              <w:t xml:space="preserve"> cortices</w:t>
            </w:r>
          </w:p>
        </w:tc>
      </w:tr>
      <w:tr w:rsidR="00F97B60" w:rsidRPr="00F97B60" w14:paraId="509FE1F4"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09A3F77D"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ABETA</w:t>
            </w:r>
          </w:p>
        </w:tc>
        <w:tc>
          <w:tcPr>
            <w:tcW w:w="3293" w:type="dxa"/>
            <w:noWrap/>
            <w:hideMark/>
          </w:tcPr>
          <w:p w14:paraId="725A3DF7"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741.5, 547.3, 357.4, 1582.0</w:t>
            </w:r>
          </w:p>
        </w:tc>
        <w:tc>
          <w:tcPr>
            <w:tcW w:w="5838" w:type="dxa"/>
            <w:noWrap/>
            <w:hideMark/>
          </w:tcPr>
          <w:p w14:paraId="0B08187B"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Amount of amyloid-beta protein in the CSF</w:t>
            </w:r>
          </w:p>
        </w:tc>
      </w:tr>
      <w:tr w:rsidR="003A5626" w:rsidRPr="00F97B60" w14:paraId="2693678C"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0AC1B1E"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PTAU</w:t>
            </w:r>
          </w:p>
        </w:tc>
        <w:tc>
          <w:tcPr>
            <w:tcW w:w="3293" w:type="dxa"/>
            <w:noWrap/>
            <w:hideMark/>
          </w:tcPr>
          <w:p w14:paraId="059920B3"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22.83, 33.43, 31.26, 16.68</w:t>
            </w:r>
          </w:p>
        </w:tc>
        <w:tc>
          <w:tcPr>
            <w:tcW w:w="5838" w:type="dxa"/>
            <w:noWrap/>
            <w:hideMark/>
          </w:tcPr>
          <w:p w14:paraId="5E881B7D"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Amount of phosphorylated tau protein in the CSF</w:t>
            </w:r>
          </w:p>
        </w:tc>
      </w:tr>
      <w:tr w:rsidR="00F97B60" w:rsidRPr="00F97B60" w14:paraId="37A6CB21"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7FF8373A"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MMSE</w:t>
            </w:r>
          </w:p>
        </w:tc>
        <w:tc>
          <w:tcPr>
            <w:tcW w:w="3293" w:type="dxa"/>
            <w:noWrap/>
            <w:hideMark/>
          </w:tcPr>
          <w:p w14:paraId="706BB64F"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20, 29, 24, 29</w:t>
            </w:r>
          </w:p>
        </w:tc>
        <w:tc>
          <w:tcPr>
            <w:tcW w:w="5838" w:type="dxa"/>
            <w:noWrap/>
            <w:hideMark/>
          </w:tcPr>
          <w:p w14:paraId="6F3DF9D8"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Mini-Mental State Examination (MMSE) cognitive score</w:t>
            </w:r>
          </w:p>
        </w:tc>
      </w:tr>
      <w:tr w:rsidR="003A5626" w:rsidRPr="00F97B60" w14:paraId="29DDBA42"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4CB8DFA"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CDRSB</w:t>
            </w:r>
          </w:p>
        </w:tc>
        <w:tc>
          <w:tcPr>
            <w:tcW w:w="3293" w:type="dxa"/>
            <w:noWrap/>
            <w:hideMark/>
          </w:tcPr>
          <w:p w14:paraId="60127341"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4.5, 0.0, 5.0, 0.0</w:t>
            </w:r>
          </w:p>
        </w:tc>
        <w:tc>
          <w:tcPr>
            <w:tcW w:w="5838" w:type="dxa"/>
            <w:noWrap/>
            <w:hideMark/>
          </w:tcPr>
          <w:p w14:paraId="3EDC70BC"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Clinical Dementia Rating Sum of Box (CDR-SB) score</w:t>
            </w:r>
          </w:p>
        </w:tc>
      </w:tr>
      <w:tr w:rsidR="00F97B60" w:rsidRPr="00F97B60" w14:paraId="0D0C5B92"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3A3F4746"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ADAS11</w:t>
            </w:r>
          </w:p>
        </w:tc>
        <w:tc>
          <w:tcPr>
            <w:tcW w:w="3293" w:type="dxa"/>
            <w:noWrap/>
            <w:hideMark/>
          </w:tcPr>
          <w:p w14:paraId="289E2558"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22.00, 8.67, 12.33, 4.33</w:t>
            </w:r>
          </w:p>
        </w:tc>
        <w:tc>
          <w:tcPr>
            <w:tcW w:w="5838" w:type="dxa"/>
            <w:noWrap/>
            <w:hideMark/>
          </w:tcPr>
          <w:p w14:paraId="560B5D6F" w14:textId="0ED53A94" w:rsidR="00F97B60" w:rsidRPr="00F97B60" w:rsidRDefault="0081130D"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81130D">
              <w:rPr>
                <w:rFonts w:ascii="Calibri" w:eastAsia="Times New Roman" w:hAnsi="Calibri" w:cs="Calibri"/>
                <w:color w:val="000000"/>
                <w:sz w:val="18"/>
                <w:szCs w:val="18"/>
                <w:lang w:eastAsia="en-AU"/>
              </w:rPr>
              <w:t>Alzheimer's Disease Assessment Scale</w:t>
            </w:r>
            <w:r w:rsidR="002A00A2">
              <w:rPr>
                <w:rFonts w:ascii="Calibri" w:eastAsia="Times New Roman" w:hAnsi="Calibri" w:cs="Calibri"/>
                <w:color w:val="000000"/>
                <w:sz w:val="18"/>
                <w:szCs w:val="18"/>
                <w:lang w:eastAsia="en-AU"/>
              </w:rPr>
              <w:t xml:space="preserve"> (ADAS) </w:t>
            </w:r>
            <w:r w:rsidRPr="0081130D">
              <w:rPr>
                <w:rFonts w:ascii="Calibri" w:eastAsia="Times New Roman" w:hAnsi="Calibri" w:cs="Calibri"/>
                <w:color w:val="000000"/>
                <w:sz w:val="18"/>
                <w:szCs w:val="18"/>
                <w:lang w:eastAsia="en-AU"/>
              </w:rPr>
              <w:t>Cognitive Subscale test</w:t>
            </w:r>
            <w:r>
              <w:rPr>
                <w:rFonts w:ascii="Calibri" w:eastAsia="Times New Roman" w:hAnsi="Calibri" w:cs="Calibri"/>
                <w:color w:val="000000"/>
                <w:sz w:val="18"/>
                <w:szCs w:val="18"/>
                <w:lang w:eastAsia="en-AU"/>
              </w:rPr>
              <w:t xml:space="preserve"> with eleven </w:t>
            </w:r>
            <w:r w:rsidR="00F97B60" w:rsidRPr="00F97B60">
              <w:rPr>
                <w:rFonts w:ascii="Calibri" w:eastAsia="Times New Roman" w:hAnsi="Calibri" w:cs="Calibri"/>
                <w:color w:val="000000"/>
                <w:sz w:val="18"/>
                <w:szCs w:val="18"/>
                <w:lang w:eastAsia="en-AU"/>
              </w:rPr>
              <w:t>component</w:t>
            </w:r>
            <w:r>
              <w:rPr>
                <w:rFonts w:ascii="Calibri" w:eastAsia="Times New Roman" w:hAnsi="Calibri" w:cs="Calibri"/>
                <w:color w:val="000000"/>
                <w:sz w:val="18"/>
                <w:szCs w:val="18"/>
                <w:lang w:eastAsia="en-AU"/>
              </w:rPr>
              <w:t>s</w:t>
            </w:r>
            <w:r w:rsidR="00F97B60" w:rsidRPr="00F97B60">
              <w:rPr>
                <w:rFonts w:ascii="Calibri" w:eastAsia="Times New Roman" w:hAnsi="Calibri" w:cs="Calibri"/>
                <w:color w:val="000000"/>
                <w:sz w:val="18"/>
                <w:szCs w:val="18"/>
                <w:lang w:eastAsia="en-AU"/>
              </w:rPr>
              <w:t xml:space="preserve"> of language and memory function</w:t>
            </w:r>
          </w:p>
        </w:tc>
      </w:tr>
      <w:tr w:rsidR="003A5626" w:rsidRPr="00F97B60" w14:paraId="1F483752"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E21A743"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ADAS13</w:t>
            </w:r>
          </w:p>
        </w:tc>
        <w:tc>
          <w:tcPr>
            <w:tcW w:w="3293" w:type="dxa"/>
            <w:noWrap/>
            <w:hideMark/>
          </w:tcPr>
          <w:p w14:paraId="5C1A8A28"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31.00, 14.67, 24.33, 8.33</w:t>
            </w:r>
          </w:p>
        </w:tc>
        <w:tc>
          <w:tcPr>
            <w:tcW w:w="5838" w:type="dxa"/>
            <w:noWrap/>
            <w:hideMark/>
          </w:tcPr>
          <w:p w14:paraId="0133120D" w14:textId="6FD64BDA"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ADAS11</w:t>
            </w:r>
            <w:r w:rsidR="00B2289A">
              <w:rPr>
                <w:rFonts w:ascii="Calibri" w:eastAsia="Times New Roman" w:hAnsi="Calibri" w:cs="Calibri"/>
                <w:color w:val="000000"/>
                <w:sz w:val="18"/>
                <w:szCs w:val="18"/>
                <w:lang w:eastAsia="en-AU"/>
              </w:rPr>
              <w:t xml:space="preserve"> test</w:t>
            </w:r>
            <w:r w:rsidRPr="00F97B60">
              <w:rPr>
                <w:rFonts w:ascii="Calibri" w:eastAsia="Times New Roman" w:hAnsi="Calibri" w:cs="Calibri"/>
                <w:color w:val="000000"/>
                <w:sz w:val="18"/>
                <w:szCs w:val="18"/>
                <w:lang w:eastAsia="en-AU"/>
              </w:rPr>
              <w:t xml:space="preserve"> with additional delayed recall and digit cancellation tasks</w:t>
            </w:r>
          </w:p>
        </w:tc>
      </w:tr>
      <w:tr w:rsidR="00F97B60" w:rsidRPr="00F97B60" w14:paraId="3270979B"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307EF9EA"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Ventricles</w:t>
            </w:r>
          </w:p>
        </w:tc>
        <w:tc>
          <w:tcPr>
            <w:tcW w:w="3293" w:type="dxa"/>
            <w:noWrap/>
            <w:hideMark/>
          </w:tcPr>
          <w:p w14:paraId="12466309"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84599, 34062, 26820, 46279</w:t>
            </w:r>
          </w:p>
        </w:tc>
        <w:tc>
          <w:tcPr>
            <w:tcW w:w="5838" w:type="dxa"/>
            <w:noWrap/>
            <w:hideMark/>
          </w:tcPr>
          <w:p w14:paraId="31520402"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Volume (mm3) of the ventricles</w:t>
            </w:r>
          </w:p>
        </w:tc>
      </w:tr>
      <w:tr w:rsidR="003A5626" w:rsidRPr="00F97B60" w14:paraId="49419B0A"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474F375"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Hippocampus</w:t>
            </w:r>
          </w:p>
        </w:tc>
        <w:tc>
          <w:tcPr>
            <w:tcW w:w="3293" w:type="dxa"/>
            <w:noWrap/>
            <w:hideMark/>
          </w:tcPr>
          <w:p w14:paraId="35AC9F0B"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5319, 7075, 5485, 6730</w:t>
            </w:r>
          </w:p>
        </w:tc>
        <w:tc>
          <w:tcPr>
            <w:tcW w:w="5838" w:type="dxa"/>
            <w:noWrap/>
            <w:hideMark/>
          </w:tcPr>
          <w:p w14:paraId="3A5E286C"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Volume (mm3) of the hippocampus</w:t>
            </w:r>
          </w:p>
        </w:tc>
      </w:tr>
      <w:tr w:rsidR="00F97B60" w:rsidRPr="00F97B60" w14:paraId="35B00807"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74E5A65F"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WholeBrain</w:t>
            </w:r>
          </w:p>
        </w:tc>
        <w:tc>
          <w:tcPr>
            <w:tcW w:w="3293" w:type="dxa"/>
            <w:noWrap/>
            <w:hideMark/>
          </w:tcPr>
          <w:p w14:paraId="292C7F40"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1129830, 1116630, 1033540, 861749</w:t>
            </w:r>
          </w:p>
        </w:tc>
        <w:tc>
          <w:tcPr>
            <w:tcW w:w="5838" w:type="dxa"/>
            <w:noWrap/>
            <w:hideMark/>
          </w:tcPr>
          <w:p w14:paraId="2B1A9417"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Volume (mm3) of the whole brain</w:t>
            </w:r>
          </w:p>
        </w:tc>
      </w:tr>
      <w:tr w:rsidR="003A5626" w:rsidRPr="00F97B60" w14:paraId="4859F24C"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3D30CDEF"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Entorhinal</w:t>
            </w:r>
          </w:p>
        </w:tc>
        <w:tc>
          <w:tcPr>
            <w:tcW w:w="3293" w:type="dxa"/>
            <w:noWrap/>
            <w:hideMark/>
          </w:tcPr>
          <w:p w14:paraId="1459180D"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1791, 4433, 2676, 3581</w:t>
            </w:r>
          </w:p>
        </w:tc>
        <w:tc>
          <w:tcPr>
            <w:tcW w:w="5838" w:type="dxa"/>
            <w:noWrap/>
            <w:hideMark/>
          </w:tcPr>
          <w:p w14:paraId="38FC767A"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Volume (mm3) of the entorhinal cortex</w:t>
            </w:r>
          </w:p>
        </w:tc>
      </w:tr>
      <w:tr w:rsidR="00F97B60" w:rsidRPr="00F97B60" w14:paraId="0F434BE9"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3DB12E7E"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Fusiform</w:t>
            </w:r>
          </w:p>
        </w:tc>
        <w:tc>
          <w:tcPr>
            <w:tcW w:w="3293" w:type="dxa"/>
            <w:noWrap/>
            <w:hideMark/>
          </w:tcPr>
          <w:p w14:paraId="51516C4B"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15506, 24788, 16761, 13779</w:t>
            </w:r>
          </w:p>
        </w:tc>
        <w:tc>
          <w:tcPr>
            <w:tcW w:w="5838" w:type="dxa"/>
            <w:noWrap/>
            <w:hideMark/>
          </w:tcPr>
          <w:p w14:paraId="3BB44EE4"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Volume (mm3) of the fusiform gyrus</w:t>
            </w:r>
          </w:p>
        </w:tc>
      </w:tr>
      <w:tr w:rsidR="003A5626" w:rsidRPr="00F97B60" w14:paraId="48E6659C" w14:textId="77777777" w:rsidTr="00436522">
        <w:trPr>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3C3DD46" w14:textId="77777777" w:rsidR="00F97B60" w:rsidRPr="00F97B60" w:rsidRDefault="00F97B60" w:rsidP="003A5626">
            <w:pPr>
              <w:jc w:val="both"/>
              <w:rPr>
                <w:rFonts w:ascii="Calibri" w:eastAsia="Times New Roman" w:hAnsi="Calibri" w:cs="Calibri"/>
                <w:color w:val="000000"/>
                <w:sz w:val="18"/>
                <w:szCs w:val="18"/>
                <w:lang w:eastAsia="en-AU"/>
              </w:rPr>
            </w:pPr>
            <w:proofErr w:type="spellStart"/>
            <w:r w:rsidRPr="00F97B60">
              <w:rPr>
                <w:rFonts w:ascii="Calibri" w:eastAsia="Times New Roman" w:hAnsi="Calibri" w:cs="Calibri"/>
                <w:color w:val="000000"/>
                <w:sz w:val="18"/>
                <w:szCs w:val="18"/>
                <w:lang w:eastAsia="en-AU"/>
              </w:rPr>
              <w:t>MidTemp</w:t>
            </w:r>
            <w:proofErr w:type="spellEnd"/>
          </w:p>
        </w:tc>
        <w:tc>
          <w:tcPr>
            <w:tcW w:w="3293" w:type="dxa"/>
            <w:noWrap/>
            <w:hideMark/>
          </w:tcPr>
          <w:p w14:paraId="2C0C7FAD"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18422, 21614, 19741, 17798</w:t>
            </w:r>
          </w:p>
        </w:tc>
        <w:tc>
          <w:tcPr>
            <w:tcW w:w="5838" w:type="dxa"/>
            <w:noWrap/>
            <w:hideMark/>
          </w:tcPr>
          <w:p w14:paraId="768AE0FE" w14:textId="77777777" w:rsidR="00F97B60" w:rsidRPr="00F97B60" w:rsidRDefault="00F97B60" w:rsidP="003A5626">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Volume (mm3) of the middle temporal cortex</w:t>
            </w:r>
          </w:p>
        </w:tc>
      </w:tr>
      <w:tr w:rsidR="00F97B60" w:rsidRPr="00F97B60" w14:paraId="5D75DC33" w14:textId="77777777" w:rsidTr="0043652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54" w:type="dxa"/>
            <w:noWrap/>
            <w:hideMark/>
          </w:tcPr>
          <w:p w14:paraId="49D4FCE5" w14:textId="77777777" w:rsidR="00F97B60" w:rsidRPr="00F97B60" w:rsidRDefault="00F97B60" w:rsidP="003A5626">
            <w:pPr>
              <w:jc w:val="both"/>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ICV</w:t>
            </w:r>
          </w:p>
        </w:tc>
        <w:tc>
          <w:tcPr>
            <w:tcW w:w="3293" w:type="dxa"/>
            <w:noWrap/>
            <w:hideMark/>
          </w:tcPr>
          <w:p w14:paraId="0AF6B443"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1920690, 1640770, 1471180, 1269540</w:t>
            </w:r>
          </w:p>
        </w:tc>
        <w:tc>
          <w:tcPr>
            <w:tcW w:w="5838" w:type="dxa"/>
            <w:noWrap/>
            <w:hideMark/>
          </w:tcPr>
          <w:p w14:paraId="356E245D" w14:textId="77777777" w:rsidR="00F97B60" w:rsidRPr="00F97B60" w:rsidRDefault="00F97B60" w:rsidP="003A5626">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AU"/>
              </w:rPr>
            </w:pPr>
            <w:r w:rsidRPr="00F97B60">
              <w:rPr>
                <w:rFonts w:ascii="Calibri" w:eastAsia="Times New Roman" w:hAnsi="Calibri" w:cs="Calibri"/>
                <w:color w:val="000000"/>
                <w:sz w:val="18"/>
                <w:szCs w:val="18"/>
                <w:lang w:eastAsia="en-AU"/>
              </w:rPr>
              <w:t>Volume (mm3) of the whole brain (</w:t>
            </w:r>
            <w:proofErr w:type="gramStart"/>
            <w:r w:rsidRPr="00F97B60">
              <w:rPr>
                <w:rFonts w:ascii="Calibri" w:eastAsia="Times New Roman" w:hAnsi="Calibri" w:cs="Calibri"/>
                <w:color w:val="000000"/>
                <w:sz w:val="18"/>
                <w:szCs w:val="18"/>
                <w:lang w:eastAsia="en-AU"/>
              </w:rPr>
              <w:t>i.e.</w:t>
            </w:r>
            <w:proofErr w:type="gramEnd"/>
            <w:r w:rsidRPr="00F97B60">
              <w:rPr>
                <w:rFonts w:ascii="Calibri" w:eastAsia="Times New Roman" w:hAnsi="Calibri" w:cs="Calibri"/>
                <w:color w:val="000000"/>
                <w:sz w:val="18"/>
                <w:szCs w:val="18"/>
                <w:lang w:eastAsia="en-AU"/>
              </w:rPr>
              <w:t xml:space="preserve"> brain tissue plus ventricles combined)</w:t>
            </w:r>
          </w:p>
        </w:tc>
      </w:tr>
    </w:tbl>
    <w:p w14:paraId="70578D26" w14:textId="2FF862F8" w:rsidR="00E7621C" w:rsidRDefault="002B7DE6" w:rsidP="004E7343">
      <w:pPr>
        <w:jc w:val="center"/>
      </w:pPr>
      <w:r>
        <w:rPr>
          <w:noProof/>
        </w:rPr>
        <mc:AlternateContent>
          <mc:Choice Requires="wps">
            <w:drawing>
              <wp:anchor distT="45720" distB="45720" distL="114300" distR="114300" simplePos="0" relativeHeight="251694080" behindDoc="0" locked="0" layoutInCell="1" allowOverlap="1" wp14:anchorId="22D5183C" wp14:editId="7E92921B">
                <wp:simplePos x="0" y="0"/>
                <wp:positionH relativeFrom="column">
                  <wp:posOffset>4416425</wp:posOffset>
                </wp:positionH>
                <wp:positionV relativeFrom="paragraph">
                  <wp:posOffset>586740</wp:posOffset>
                </wp:positionV>
                <wp:extent cx="1840230" cy="672465"/>
                <wp:effectExtent l="0" t="0" r="26670"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672465"/>
                        </a:xfrm>
                        <a:prstGeom prst="rect">
                          <a:avLst/>
                        </a:prstGeom>
                        <a:solidFill>
                          <a:srgbClr val="FFFFFF"/>
                        </a:solidFill>
                        <a:ln w="9525">
                          <a:solidFill>
                            <a:srgbClr val="000000"/>
                          </a:solidFill>
                          <a:miter lim="800000"/>
                          <a:headEnd/>
                          <a:tailEnd/>
                        </a:ln>
                      </wps:spPr>
                      <wps:txbx>
                        <w:txbxContent>
                          <w:p w14:paraId="4C214E17" w14:textId="1E334EA3" w:rsidR="00DE4721" w:rsidRDefault="00DE4721" w:rsidP="00DE4721">
                            <w:r>
                              <w:rPr>
                                <w:b/>
                                <w:bCs/>
                              </w:rPr>
                              <w:t>Figure 1</w:t>
                            </w:r>
                            <w:r>
                              <w:t>. Distribution of all variables in the ADNI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D5183C" id="_x0000_t202" coordsize="21600,21600" o:spt="202" path="m,l,21600r21600,l21600,xe">
                <v:stroke joinstyle="miter"/>
                <v:path gradientshapeok="t" o:connecttype="rect"/>
              </v:shapetype>
              <v:shape id="Text Box 2" o:spid="_x0000_s1026" type="#_x0000_t202" style="position:absolute;left:0;text-align:left;margin-left:347.75pt;margin-top:46.2pt;width:144.9pt;height:52.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">
                <v:textbox>
                  <w:txbxContent>
                    <w:p w14:paraId="4C214E17" w14:textId="1E334EA3" w:rsidR="00DE4721" w:rsidRDefault="00DE4721" w:rsidP="00DE4721">
                      <w:r>
                        <w:rPr>
                          <w:b/>
                          <w:bCs/>
                        </w:rPr>
                        <w:t>Figure 1</w:t>
                      </w:r>
                      <w:r>
                        <w:t>. Distribution of all variables in the ADNI dataset.</w:t>
                      </w:r>
                    </w:p>
                  </w:txbxContent>
                </v:textbox>
                <w10:wrap type="square"/>
              </v:shape>
            </w:pict>
          </mc:Fallback>
        </mc:AlternateContent>
      </w:r>
      <w:r>
        <w:rPr>
          <w:noProof/>
        </w:rPr>
        <w:drawing>
          <wp:anchor distT="0" distB="0" distL="114300" distR="114300" simplePos="0" relativeHeight="251658240" behindDoc="0" locked="0" layoutInCell="1" allowOverlap="1" wp14:anchorId="6630270A" wp14:editId="48202202">
            <wp:simplePos x="0" y="0"/>
            <wp:positionH relativeFrom="column">
              <wp:posOffset>-297180</wp:posOffset>
            </wp:positionH>
            <wp:positionV relativeFrom="paragraph">
              <wp:posOffset>419100</wp:posOffset>
            </wp:positionV>
            <wp:extent cx="4645660" cy="387096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660" cy="3870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6522" w:rsidRPr="00436522">
        <w:rPr>
          <w:b/>
          <w:bCs/>
        </w:rPr>
        <w:t>Table 1</w:t>
      </w:r>
      <w:r w:rsidR="00436522">
        <w:t>. Description and first four values of all variables in the ADNI dataset.</w:t>
      </w:r>
    </w:p>
    <w:p w14:paraId="3FBABC88" w14:textId="079A4949" w:rsidR="00835674" w:rsidRDefault="00C91161" w:rsidP="00C91161">
      <w:pPr>
        <w:pStyle w:val="Heading4"/>
        <w:numPr>
          <w:ilvl w:val="1"/>
          <w:numId w:val="1"/>
        </w:numPr>
      </w:pPr>
      <w:r>
        <w:lastRenderedPageBreak/>
        <w:t>Model fitting and diagnostics</w:t>
      </w:r>
    </w:p>
    <w:p w14:paraId="20086B87" w14:textId="384217E4" w:rsidR="00C91161" w:rsidRDefault="00FA66A4" w:rsidP="00FA66A4">
      <w:r>
        <w:t>There are four core assumptions of a linear regression model</w:t>
      </w:r>
      <w:r w:rsidR="00C34E48">
        <w:fldChar w:fldCharType="begin"/>
      </w:r>
      <w:r w:rsidR="00897D3D">
        <w:instrText xml:space="preserve"> ADDIN ZOTERO_ITEM CSL_CITATION {"citationID":"GEekNMlK","properties":{"formattedCitation":"\\super 8\\nosupersub{}","plainCitation":"8","noteIndex":0},"citationItems":[{"id":1053,"uris":["http://zotero.org/users/local/xTg0WhcH/items/ID7X934Z"],"itemData":{"id":1053,"type":"article-journal","abstract":"Simple linear regression is a mathematical technique used to model the relationship between a single independent predictor variable and a single dependent outcome variable. In this, the first of a two-part series exploring concepts in linear regression analysis, the four fundamental assumptions and the mechanics of simple linear regression are reviewed. The most common technique used to derive the regression line, the method of least squares, is described. The reader will be acquainted with other important concepts in simple linear regression, including: variable transformations, dummy variables, relationship to inference testing, and leverage. Simplified clinical examples with small datasets and graphic models are used to illustrate the points. This will provide a foundation for the second article in this series: a discussion of multiple linear regression, in which there are multiple predictor variables.","container-title":"Academic Emergency Medicine: Official Journal of the Society for Academic Emergency Medicine","ISSN":"1069-6563","issue":"1","journalAbbreviation":"Acad Emerg Med","language":"eng","note":"PMID: 14709436","page":"87-93","source":"PubMed","title":"Advanced statistics: linear regression, part I: simple linear regression","title-short":"Advanced statistics","volume":"11","author":[{"family":"Marill","given":"Keith A."}],"issued":{"date-parts":[["2004",1]]}}}],"schema":"https://github.com/citation-style-language/schema/raw/master/csl-citation.json"} </w:instrText>
      </w:r>
      <w:r w:rsidR="00C34E48">
        <w:fldChar w:fldCharType="separate"/>
      </w:r>
      <w:r w:rsidR="00897D3D" w:rsidRPr="00897D3D">
        <w:rPr>
          <w:rFonts w:ascii="Calibri" w:hAnsi="Calibri" w:cs="Calibri"/>
          <w:szCs w:val="24"/>
          <w:vertAlign w:val="superscript"/>
        </w:rPr>
        <w:t>8</w:t>
      </w:r>
      <w:r w:rsidR="00C34E48">
        <w:fldChar w:fldCharType="end"/>
      </w:r>
      <w:r>
        <w:t>:</w:t>
      </w:r>
    </w:p>
    <w:p w14:paraId="60275DC5" w14:textId="7841C30C" w:rsidR="0074305F" w:rsidRDefault="0074305F" w:rsidP="0074305F">
      <w:pPr>
        <w:pStyle w:val="ListParagraph"/>
        <w:numPr>
          <w:ilvl w:val="0"/>
          <w:numId w:val="2"/>
        </w:numPr>
      </w:pPr>
      <w:r>
        <w:t>A linear relationship between the predictor and outcome variable(s)</w:t>
      </w:r>
    </w:p>
    <w:p w14:paraId="5FB8ADA5" w14:textId="49677E5A" w:rsidR="0074305F" w:rsidRDefault="0074305F" w:rsidP="0074305F">
      <w:pPr>
        <w:pStyle w:val="ListParagraph"/>
        <w:numPr>
          <w:ilvl w:val="0"/>
          <w:numId w:val="2"/>
        </w:numPr>
      </w:pPr>
      <w:r>
        <w:t>Normal distribution of residuals</w:t>
      </w:r>
    </w:p>
    <w:p w14:paraId="22672394" w14:textId="4FACCE61" w:rsidR="0074305F" w:rsidRDefault="0074305F" w:rsidP="0074305F">
      <w:pPr>
        <w:pStyle w:val="ListParagraph"/>
        <w:numPr>
          <w:ilvl w:val="0"/>
          <w:numId w:val="2"/>
        </w:numPr>
      </w:pPr>
      <w:r>
        <w:t>Constant variation across residuals</w:t>
      </w:r>
    </w:p>
    <w:p w14:paraId="6860BF27" w14:textId="0C02C37D" w:rsidR="00593A6D" w:rsidRDefault="0074305F" w:rsidP="00593A6D">
      <w:pPr>
        <w:pStyle w:val="ListParagraph"/>
        <w:numPr>
          <w:ilvl w:val="0"/>
          <w:numId w:val="2"/>
        </w:numPr>
      </w:pPr>
      <w:r>
        <w:t>Independent observations</w:t>
      </w:r>
    </w:p>
    <w:p w14:paraId="611243A3" w14:textId="7D43C229" w:rsidR="003F75D7" w:rsidRPr="00381733" w:rsidRDefault="003F75D7" w:rsidP="003F75D7">
      <w:r>
        <w:t xml:space="preserve">For reference in subsequent sections, the </w:t>
      </w:r>
      <w:r w:rsidR="00381733">
        <w:t xml:space="preserve">five ordinary least squares (OLS) regression models evaluated are outlined in </w:t>
      </w:r>
      <w:r w:rsidR="00381733">
        <w:rPr>
          <w:b/>
          <w:bCs/>
        </w:rPr>
        <w:t>Table 2</w:t>
      </w:r>
      <w:r w:rsidR="00381733">
        <w:t>.</w:t>
      </w:r>
    </w:p>
    <w:tbl>
      <w:tblPr>
        <w:tblStyle w:val="TableGrid"/>
        <w:tblW w:w="0" w:type="auto"/>
        <w:tblLook w:val="04A0" w:firstRow="1" w:lastRow="0" w:firstColumn="1" w:lastColumn="0" w:noHBand="0" w:noVBand="1"/>
      </w:tblPr>
      <w:tblGrid>
        <w:gridCol w:w="1795"/>
        <w:gridCol w:w="7555"/>
      </w:tblGrid>
      <w:tr w:rsidR="003B4B75" w14:paraId="43C9F373" w14:textId="77777777" w:rsidTr="00DC17E0">
        <w:tc>
          <w:tcPr>
            <w:tcW w:w="1795" w:type="dxa"/>
          </w:tcPr>
          <w:p w14:paraId="15C18AB3" w14:textId="36A08A03" w:rsidR="003B4B75" w:rsidRPr="00161F0D" w:rsidRDefault="003B4B75" w:rsidP="00DC17E0">
            <w:pPr>
              <w:jc w:val="center"/>
              <w:rPr>
                <w:b/>
                <w:bCs/>
              </w:rPr>
            </w:pPr>
            <w:r w:rsidRPr="00161F0D">
              <w:rPr>
                <w:b/>
                <w:bCs/>
              </w:rPr>
              <w:t>Model</w:t>
            </w:r>
          </w:p>
        </w:tc>
        <w:tc>
          <w:tcPr>
            <w:tcW w:w="7555" w:type="dxa"/>
          </w:tcPr>
          <w:p w14:paraId="3CF2A5A8" w14:textId="25E2E6B6" w:rsidR="003B4B75" w:rsidRPr="00161F0D" w:rsidRDefault="003B4B75" w:rsidP="003F75D7">
            <w:pPr>
              <w:rPr>
                <w:b/>
                <w:bCs/>
              </w:rPr>
            </w:pPr>
            <w:r w:rsidRPr="00161F0D">
              <w:rPr>
                <w:b/>
                <w:bCs/>
              </w:rPr>
              <w:t>Formula</w:t>
            </w:r>
          </w:p>
        </w:tc>
      </w:tr>
      <w:tr w:rsidR="003B4B75" w14:paraId="70FBCEFD" w14:textId="77777777" w:rsidTr="00DC17E0">
        <w:tc>
          <w:tcPr>
            <w:tcW w:w="1795" w:type="dxa"/>
          </w:tcPr>
          <w:p w14:paraId="358D5F51" w14:textId="64CD7702" w:rsidR="003B4B75" w:rsidRPr="006A20E9" w:rsidRDefault="003B4B75" w:rsidP="00DC17E0">
            <w:pPr>
              <w:jc w:val="center"/>
              <w:rPr>
                <w:b/>
                <w:bCs/>
              </w:rPr>
            </w:pPr>
            <w:r w:rsidRPr="006A20E9">
              <w:rPr>
                <w:b/>
                <w:bCs/>
              </w:rPr>
              <w:t>Model 1</w:t>
            </w:r>
          </w:p>
        </w:tc>
        <w:tc>
          <w:tcPr>
            <w:tcW w:w="7555" w:type="dxa"/>
          </w:tcPr>
          <w:p w14:paraId="0B8E666B" w14:textId="73EE0FA5" w:rsidR="003B4B75" w:rsidRDefault="00FA2986" w:rsidP="003F75D7">
            <w:proofErr w:type="spellStart"/>
            <w:proofErr w:type="gramStart"/>
            <w:r w:rsidRPr="00FA2986">
              <w:t>lm</w:t>
            </w:r>
            <w:proofErr w:type="spellEnd"/>
            <w:r w:rsidRPr="00FA2986">
              <w:t>(</w:t>
            </w:r>
            <w:proofErr w:type="gramEnd"/>
            <w:r w:rsidRPr="00FA2986">
              <w:t xml:space="preserve">PTAU ~ ., data = </w:t>
            </w:r>
            <w:proofErr w:type="spellStart"/>
            <w:r w:rsidRPr="00FA2986">
              <w:t>ADNI_data</w:t>
            </w:r>
            <w:proofErr w:type="spellEnd"/>
            <w:r w:rsidRPr="00FA2986">
              <w:t>)</w:t>
            </w:r>
          </w:p>
        </w:tc>
      </w:tr>
      <w:tr w:rsidR="003B4B75" w14:paraId="010423EA" w14:textId="77777777" w:rsidTr="00DC17E0">
        <w:tc>
          <w:tcPr>
            <w:tcW w:w="1795" w:type="dxa"/>
          </w:tcPr>
          <w:p w14:paraId="0740C1FD" w14:textId="520B673A" w:rsidR="003B4B75" w:rsidRPr="006A20E9" w:rsidRDefault="003B4B75" w:rsidP="00DC17E0">
            <w:pPr>
              <w:jc w:val="center"/>
              <w:rPr>
                <w:b/>
                <w:bCs/>
              </w:rPr>
            </w:pPr>
            <w:r w:rsidRPr="006A20E9">
              <w:rPr>
                <w:b/>
                <w:bCs/>
              </w:rPr>
              <w:t>Model 2</w:t>
            </w:r>
          </w:p>
        </w:tc>
        <w:tc>
          <w:tcPr>
            <w:tcW w:w="7555" w:type="dxa"/>
          </w:tcPr>
          <w:p w14:paraId="5A5EC6F9" w14:textId="091CE86F" w:rsidR="003B4B75" w:rsidRDefault="00FA2986" w:rsidP="003F75D7">
            <w:proofErr w:type="spellStart"/>
            <w:proofErr w:type="gramStart"/>
            <w:r w:rsidRPr="00FA2986">
              <w:t>lm</w:t>
            </w:r>
            <w:proofErr w:type="spellEnd"/>
            <w:r w:rsidRPr="00FA2986">
              <w:t>(</w:t>
            </w:r>
            <w:proofErr w:type="gramEnd"/>
            <w:r w:rsidRPr="00FA2986">
              <w:t xml:space="preserve">PTAU ~ . - ADAS11 - ICV, data = </w:t>
            </w:r>
            <w:proofErr w:type="spellStart"/>
            <w:r w:rsidRPr="00FA2986">
              <w:t>ADNI_data</w:t>
            </w:r>
            <w:proofErr w:type="spellEnd"/>
            <w:r w:rsidRPr="00FA2986">
              <w:t>)</w:t>
            </w:r>
          </w:p>
        </w:tc>
      </w:tr>
      <w:tr w:rsidR="003B4B75" w14:paraId="2415B004" w14:textId="77777777" w:rsidTr="00DC17E0">
        <w:tc>
          <w:tcPr>
            <w:tcW w:w="1795" w:type="dxa"/>
          </w:tcPr>
          <w:p w14:paraId="16E2793D" w14:textId="248EFE4A" w:rsidR="003B4B75" w:rsidRPr="006A20E9" w:rsidRDefault="003B4B75" w:rsidP="00DC17E0">
            <w:pPr>
              <w:jc w:val="center"/>
              <w:rPr>
                <w:b/>
                <w:bCs/>
              </w:rPr>
            </w:pPr>
            <w:r w:rsidRPr="006A20E9">
              <w:rPr>
                <w:b/>
                <w:bCs/>
              </w:rPr>
              <w:t>Model 3</w:t>
            </w:r>
          </w:p>
        </w:tc>
        <w:tc>
          <w:tcPr>
            <w:tcW w:w="7555" w:type="dxa"/>
          </w:tcPr>
          <w:p w14:paraId="0951D99A" w14:textId="052AAA31" w:rsidR="003B4B75" w:rsidRDefault="00176172" w:rsidP="003F75D7">
            <w:proofErr w:type="spellStart"/>
            <w:r w:rsidRPr="00176172">
              <w:t>lm</w:t>
            </w:r>
            <w:proofErr w:type="spellEnd"/>
            <w:r w:rsidRPr="00176172">
              <w:t>(</w:t>
            </w:r>
            <w:proofErr w:type="gramStart"/>
            <w:r w:rsidRPr="00176172">
              <w:t>log(</w:t>
            </w:r>
            <w:proofErr w:type="gramEnd"/>
            <w:r w:rsidRPr="00176172">
              <w:t xml:space="preserve">PTAU) ~ . - ADAS11 - ICV, data = </w:t>
            </w:r>
            <w:proofErr w:type="spellStart"/>
            <w:r w:rsidRPr="00176172">
              <w:t>ADNI_data</w:t>
            </w:r>
            <w:proofErr w:type="spellEnd"/>
            <w:r w:rsidRPr="00176172">
              <w:t>)</w:t>
            </w:r>
          </w:p>
        </w:tc>
      </w:tr>
      <w:tr w:rsidR="003B4B75" w14:paraId="084596D9" w14:textId="77777777" w:rsidTr="00DC17E0">
        <w:tc>
          <w:tcPr>
            <w:tcW w:w="1795" w:type="dxa"/>
          </w:tcPr>
          <w:p w14:paraId="6F0E5B16" w14:textId="22DF5794" w:rsidR="003B4B75" w:rsidRPr="006A20E9" w:rsidRDefault="003B4B75" w:rsidP="00DC17E0">
            <w:pPr>
              <w:jc w:val="center"/>
              <w:rPr>
                <w:b/>
                <w:bCs/>
              </w:rPr>
            </w:pPr>
            <w:r w:rsidRPr="006A20E9">
              <w:rPr>
                <w:b/>
                <w:bCs/>
              </w:rPr>
              <w:t>Model 4</w:t>
            </w:r>
          </w:p>
        </w:tc>
        <w:tc>
          <w:tcPr>
            <w:tcW w:w="7555" w:type="dxa"/>
          </w:tcPr>
          <w:p w14:paraId="14C94415" w14:textId="38AA1412" w:rsidR="003B4B75" w:rsidRDefault="0007627D" w:rsidP="003F75D7">
            <w:proofErr w:type="spellStart"/>
            <w:proofErr w:type="gramStart"/>
            <w:r>
              <w:t>lmtest</w:t>
            </w:r>
            <w:proofErr w:type="spellEnd"/>
            <w:r>
              <w:t>::</w:t>
            </w:r>
            <w:proofErr w:type="spellStart"/>
            <w:proofErr w:type="gramEnd"/>
            <w:r w:rsidRPr="0007627D">
              <w:t>coeftest</w:t>
            </w:r>
            <w:proofErr w:type="spellEnd"/>
            <w:r w:rsidRPr="0007627D">
              <w:t xml:space="preserve">(model3, </w:t>
            </w:r>
            <w:proofErr w:type="spellStart"/>
            <w:r w:rsidRPr="0007627D">
              <w:t>vcov</w:t>
            </w:r>
            <w:proofErr w:type="spellEnd"/>
            <w:r w:rsidRPr="0007627D">
              <w:t xml:space="preserve"> = </w:t>
            </w:r>
            <w:proofErr w:type="spellStart"/>
            <w:r w:rsidRPr="0007627D">
              <w:t>vcovHC</w:t>
            </w:r>
            <w:proofErr w:type="spellEnd"/>
            <w:r w:rsidRPr="0007627D">
              <w:t>(model3, "HC3"), save=T)</w:t>
            </w:r>
          </w:p>
        </w:tc>
      </w:tr>
      <w:tr w:rsidR="003B4B75" w14:paraId="13C7CF91" w14:textId="77777777" w:rsidTr="00DC17E0">
        <w:tc>
          <w:tcPr>
            <w:tcW w:w="1795" w:type="dxa"/>
          </w:tcPr>
          <w:p w14:paraId="70B8C5AA" w14:textId="443656F5" w:rsidR="003B4B75" w:rsidRPr="006A20E9" w:rsidRDefault="003B4B75" w:rsidP="00DC17E0">
            <w:pPr>
              <w:jc w:val="center"/>
              <w:rPr>
                <w:b/>
                <w:bCs/>
              </w:rPr>
            </w:pPr>
            <w:r w:rsidRPr="006A20E9">
              <w:rPr>
                <w:b/>
                <w:bCs/>
              </w:rPr>
              <w:t>Model 5</w:t>
            </w:r>
          </w:p>
        </w:tc>
        <w:tc>
          <w:tcPr>
            <w:tcW w:w="7555" w:type="dxa"/>
          </w:tcPr>
          <w:p w14:paraId="7B840BDB" w14:textId="47AE7578" w:rsidR="003B4B75" w:rsidRDefault="00C0319A" w:rsidP="003F75D7">
            <w:proofErr w:type="gramStart"/>
            <w:r w:rsidRPr="00C0319A">
              <w:t>MASS::</w:t>
            </w:r>
            <w:proofErr w:type="spellStart"/>
            <w:proofErr w:type="gramEnd"/>
            <w:r w:rsidRPr="00C0319A">
              <w:t>stepAIC</w:t>
            </w:r>
            <w:proofErr w:type="spellEnd"/>
            <w:r w:rsidRPr="00C0319A">
              <w:t>(model3, direction="both", trace=FALSE)</w:t>
            </w:r>
          </w:p>
        </w:tc>
      </w:tr>
    </w:tbl>
    <w:p w14:paraId="59E6292C" w14:textId="1DA6EE78" w:rsidR="003F75D7" w:rsidRPr="00781080" w:rsidRDefault="00781080" w:rsidP="00781080">
      <w:pPr>
        <w:jc w:val="center"/>
      </w:pPr>
      <w:r>
        <w:rPr>
          <w:b/>
          <w:bCs/>
        </w:rPr>
        <w:t>Table 2</w:t>
      </w:r>
      <w:r>
        <w:t>. OLS models evaluated in this analysis and their corresponding R formula calls.</w:t>
      </w:r>
    </w:p>
    <w:p w14:paraId="4F67EB31" w14:textId="617EB76F" w:rsidR="00593A6D" w:rsidRDefault="00A80CB7" w:rsidP="00A80CB7">
      <w:pPr>
        <w:pStyle w:val="Heading5"/>
        <w:numPr>
          <w:ilvl w:val="2"/>
          <w:numId w:val="1"/>
        </w:numPr>
      </w:pPr>
      <w:r>
        <w:t>Linear relationship</w:t>
      </w:r>
    </w:p>
    <w:p w14:paraId="0CBE42B9" w14:textId="2E694F93" w:rsidR="00577D70" w:rsidRDefault="00B55723" w:rsidP="006D423D">
      <w:pPr>
        <w:ind w:firstLine="360"/>
        <w:jc w:val="both"/>
      </w:pPr>
      <w:r>
        <w:rPr>
          <w:noProof/>
        </w:rPr>
        <w:drawing>
          <wp:anchor distT="0" distB="0" distL="114300" distR="114300" simplePos="0" relativeHeight="251659264" behindDoc="0" locked="0" layoutInCell="1" allowOverlap="1" wp14:anchorId="38308152" wp14:editId="29F42425">
            <wp:simplePos x="0" y="0"/>
            <wp:positionH relativeFrom="column">
              <wp:posOffset>420536</wp:posOffset>
            </wp:positionH>
            <wp:positionV relativeFrom="paragraph">
              <wp:posOffset>1756410</wp:posOffset>
            </wp:positionV>
            <wp:extent cx="5147310" cy="28936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310" cy="289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CB7" w:rsidRPr="00A80CB7">
        <w:t xml:space="preserve">Given the vast differences in scale between </w:t>
      </w:r>
      <w:proofErr w:type="gramStart"/>
      <w:r w:rsidR="00A80CB7" w:rsidRPr="00A80CB7">
        <w:t>e.g.</w:t>
      </w:r>
      <w:proofErr w:type="gramEnd"/>
      <w:r w:rsidR="00A80CB7" w:rsidRPr="00A80CB7">
        <w:t xml:space="preserve"> </w:t>
      </w:r>
      <w:r w:rsidR="00080471">
        <w:t>FDG</w:t>
      </w:r>
      <w:r w:rsidR="00A80CB7" w:rsidRPr="00A80CB7">
        <w:t xml:space="preserve"> and</w:t>
      </w:r>
      <w:r w:rsidR="000B4046">
        <w:t xml:space="preserve"> WholeBrain</w:t>
      </w:r>
      <w:r w:rsidR="001721D3">
        <w:t>,</w:t>
      </w:r>
      <w:r w:rsidR="00A80CB7" w:rsidRPr="00A80CB7">
        <w:t xml:space="preserve"> I </w:t>
      </w:r>
      <w:r w:rsidR="00E1618E">
        <w:t>first applied</w:t>
      </w:r>
      <w:r w:rsidR="00A80CB7" w:rsidRPr="00A80CB7">
        <w:t xml:space="preserve"> z-score normalization</w:t>
      </w:r>
      <w:r w:rsidR="00021074">
        <w:t xml:space="preserve"> before constructing any models</w:t>
      </w:r>
      <w:r w:rsidR="00A80CB7" w:rsidRPr="00A80CB7">
        <w:t>, in which each feature is mean-</w:t>
      </w:r>
      <w:r w:rsidR="00302226" w:rsidRPr="00A80CB7">
        <w:t>centred</w:t>
      </w:r>
      <w:r w:rsidR="00A80CB7" w:rsidRPr="00A80CB7">
        <w:t xml:space="preserve"> and standardized. This </w:t>
      </w:r>
      <w:r w:rsidR="00A502E5">
        <w:t xml:space="preserve">technique </w:t>
      </w:r>
      <w:r w:rsidR="00A80CB7" w:rsidRPr="00A80CB7">
        <w:t xml:space="preserve">puts each quantitative variable in the same scale, </w:t>
      </w:r>
      <w:r w:rsidR="00385192">
        <w:t>thus enabling</w:t>
      </w:r>
      <w:r w:rsidR="00A80CB7" w:rsidRPr="00A80CB7">
        <w:t xml:space="preserve"> direct comparison of coefficients derived from subsequent linear models.</w:t>
      </w:r>
      <w:r w:rsidR="00AB59D0">
        <w:t xml:space="preserve"> </w:t>
      </w:r>
      <w:r w:rsidR="005F6463">
        <w:t>Once z-scored, the linear relationship between each quantitative predictor and CSF PTAU can be visually assessed with scatterplots (</w:t>
      </w:r>
      <w:r w:rsidR="005F6463">
        <w:rPr>
          <w:b/>
          <w:bCs/>
        </w:rPr>
        <w:t xml:space="preserve">Figure </w:t>
      </w:r>
      <w:r w:rsidR="009F46CD">
        <w:rPr>
          <w:b/>
          <w:bCs/>
        </w:rPr>
        <w:t>2</w:t>
      </w:r>
      <w:r w:rsidR="005F6463">
        <w:t>).</w:t>
      </w:r>
      <w:r w:rsidR="00FD6818">
        <w:t xml:space="preserve"> Of note, the y-axis in </w:t>
      </w:r>
      <w:r w:rsidR="00FD6818">
        <w:rPr>
          <w:b/>
          <w:bCs/>
        </w:rPr>
        <w:t xml:space="preserve">Figure </w:t>
      </w:r>
      <w:r w:rsidR="009F46CD">
        <w:rPr>
          <w:b/>
          <w:bCs/>
        </w:rPr>
        <w:t>2</w:t>
      </w:r>
      <w:r w:rsidR="00FD6818">
        <w:t xml:space="preserve"> shows log-transformed </w:t>
      </w:r>
      <w:r w:rsidR="00324F46">
        <w:t>CSF PTAU levels, which is further discussed in Section 3.2.2.</w:t>
      </w:r>
      <w:r w:rsidR="00577D70">
        <w:t xml:space="preserve"> There is a </w:t>
      </w:r>
      <w:r w:rsidR="006D423D">
        <w:t xml:space="preserve">visually positive linear association between the outcome (PTAU levels in CSF) and ADAS11, ADAS13, AGE, and a visually negative linear association with ABETA, Entorhinal, FDG, Fusiform, Hippocampus, ICV, </w:t>
      </w:r>
      <w:proofErr w:type="spellStart"/>
      <w:r w:rsidR="006D423D">
        <w:t>MidTemp</w:t>
      </w:r>
      <w:proofErr w:type="spellEnd"/>
      <w:r w:rsidR="006D423D">
        <w:t>, MMSE, and Ventricles, WholeBrain.</w:t>
      </w:r>
    </w:p>
    <w:p w14:paraId="28ABDA3E" w14:textId="0C60FC40" w:rsidR="00963E22" w:rsidRDefault="00B55723" w:rsidP="00B55723">
      <w:pPr>
        <w:ind w:firstLine="360"/>
        <w:jc w:val="center"/>
      </w:pPr>
      <w:r>
        <w:rPr>
          <w:b/>
          <w:bCs/>
        </w:rPr>
        <w:t>Figure 2</w:t>
      </w:r>
      <w:r>
        <w:t>. Linear relationships between each quantitative (z-scored) predictor variable and the log-transformed outcome variable (PTAU in CSF).</w:t>
      </w:r>
    </w:p>
    <w:p w14:paraId="6AA02CC1" w14:textId="3FFA9689" w:rsidR="00EC2788" w:rsidRPr="008C7C90" w:rsidRDefault="00286080" w:rsidP="00DF7F3F">
      <w:pPr>
        <w:ind w:firstLine="360"/>
        <w:jc w:val="both"/>
      </w:pPr>
      <w:r>
        <w:rPr>
          <w:noProof/>
        </w:rPr>
        <w:lastRenderedPageBreak/>
        <mc:AlternateContent>
          <mc:Choice Requires="wps">
            <w:drawing>
              <wp:anchor distT="45720" distB="45720" distL="114300" distR="114300" simplePos="0" relativeHeight="251662336" behindDoc="0" locked="0" layoutInCell="1" allowOverlap="1" wp14:anchorId="6B25A336" wp14:editId="4579FD76">
                <wp:simplePos x="0" y="0"/>
                <wp:positionH relativeFrom="column">
                  <wp:posOffset>4137660</wp:posOffset>
                </wp:positionH>
                <wp:positionV relativeFrom="paragraph">
                  <wp:posOffset>181359</wp:posOffset>
                </wp:positionV>
                <wp:extent cx="1838960" cy="69088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690880"/>
                        </a:xfrm>
                        <a:prstGeom prst="rect">
                          <a:avLst/>
                        </a:prstGeom>
                        <a:solidFill>
                          <a:srgbClr val="FFFFFF"/>
                        </a:solidFill>
                        <a:ln w="9525">
                          <a:solidFill>
                            <a:srgbClr val="000000"/>
                          </a:solidFill>
                          <a:miter lim="800000"/>
                          <a:headEnd/>
                          <a:tailEnd/>
                        </a:ln>
                      </wps:spPr>
                      <wps:txbx>
                        <w:txbxContent>
                          <w:p w14:paraId="4768FB98" w14:textId="65566477" w:rsidR="001040F7" w:rsidRDefault="001040F7">
                            <w:r w:rsidRPr="001040F7">
                              <w:rPr>
                                <w:b/>
                                <w:bCs/>
                              </w:rPr>
                              <w:t>Figure 3</w:t>
                            </w:r>
                            <w:r>
                              <w:t>. Pearson correlation (R) among all predictor terms in ADNI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5A336" id="_x0000_s1027" type="#_x0000_t202" style="position:absolute;left:0;text-align:left;margin-left:325.8pt;margin-top:14.3pt;width:144.8pt;height:54.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">
                <v:textbox>
                  <w:txbxContent>
                    <w:p w14:paraId="4768FB98" w14:textId="65566477" w:rsidR="001040F7" w:rsidRDefault="001040F7">
                      <w:r w:rsidRPr="001040F7">
                        <w:rPr>
                          <w:b/>
                          <w:bCs/>
                        </w:rPr>
                        <w:t>Figure 3</w:t>
                      </w:r>
                      <w:r>
                        <w:t>. Pearson correlation (R) among all predictor terms in ADNI dataset.</w:t>
                      </w:r>
                    </w:p>
                  </w:txbxContent>
                </v:textbox>
                <w10:wrap type="square"/>
              </v:shape>
            </w:pict>
          </mc:Fallback>
        </mc:AlternateContent>
      </w:r>
      <w:r w:rsidR="002549C5">
        <w:rPr>
          <w:noProof/>
        </w:rPr>
        <w:drawing>
          <wp:anchor distT="0" distB="0" distL="114300" distR="114300" simplePos="0" relativeHeight="251660288" behindDoc="0" locked="0" layoutInCell="1" allowOverlap="1" wp14:anchorId="7C7FB27D" wp14:editId="0CF920C9">
            <wp:simplePos x="0" y="0"/>
            <wp:positionH relativeFrom="column">
              <wp:posOffset>-266065</wp:posOffset>
            </wp:positionH>
            <wp:positionV relativeFrom="paragraph">
              <wp:posOffset>64770</wp:posOffset>
            </wp:positionV>
            <wp:extent cx="4404360" cy="34766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5294"/>
                    <a:stretch/>
                  </pic:blipFill>
                  <pic:spPr bwMode="auto">
                    <a:xfrm>
                      <a:off x="0" y="0"/>
                      <a:ext cx="4404360" cy="347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162F">
        <w:t xml:space="preserve">I constructed a basic </w:t>
      </w:r>
      <w:r w:rsidR="00541606">
        <w:t>OLS</w:t>
      </w:r>
      <w:r w:rsidR="0010162F">
        <w:t xml:space="preserve"> linear regression model using all z-scored features in the dataset with PTAU as the outcome variable as a bas</w:t>
      </w:r>
      <w:r w:rsidR="00F50445">
        <w:t>e</w:t>
      </w:r>
      <w:r w:rsidR="0010162F">
        <w:t xml:space="preserve">line; this model will be referred to as </w:t>
      </w:r>
      <w:r w:rsidR="0010162F">
        <w:rPr>
          <w:b/>
          <w:bCs/>
        </w:rPr>
        <w:t>Model 1</w:t>
      </w:r>
      <w:r w:rsidR="0010162F">
        <w:t>.</w:t>
      </w:r>
      <w:r w:rsidR="00FB5B12">
        <w:t xml:space="preserve"> </w:t>
      </w:r>
      <w:r w:rsidR="00091B61">
        <w:t>To assess potential multicollinearity, I plotted the Pearson correlation between all predictor terms</w:t>
      </w:r>
      <w:r w:rsidR="00577D70">
        <w:t xml:space="preserve"> (</w:t>
      </w:r>
      <w:r w:rsidR="00577D70">
        <w:rPr>
          <w:b/>
          <w:bCs/>
        </w:rPr>
        <w:t xml:space="preserve">Figure </w:t>
      </w:r>
      <w:r w:rsidR="009F46CD">
        <w:rPr>
          <w:b/>
          <w:bCs/>
        </w:rPr>
        <w:t>3</w:t>
      </w:r>
      <w:r w:rsidR="00577D70">
        <w:t xml:space="preserve">). Four features stand out as having particularly high correlation magnitudes: ADAS11, ADAS13, WholeBrain, and ICV. This was confirmed by calculating the variance inflation factor (VIF) across all predictor terms; all four of these terms had VIF values greater than 5, which is generally considered to be a threshold above which multicollinearity </w:t>
      </w:r>
      <w:r w:rsidR="00302226">
        <w:t>poses</w:t>
      </w:r>
      <w:r w:rsidR="00577D70">
        <w:t xml:space="preserve"> a problem</w:t>
      </w:r>
      <w:r w:rsidR="00577D70">
        <w:fldChar w:fldCharType="begin"/>
      </w:r>
      <w:r w:rsidR="00897D3D">
        <w:instrText xml:space="preserve"> ADDIN ZOTERO_ITEM CSL_CITATION {"citationID":"aERPcn1L","properties":{"formattedCitation":"\\super 9\\nosupersub{}","plainCitation":"9","noteIndex":0},"citationItems":[{"id":1057,"uris":["http://zotero.org/users/local/xTg0WhcH/items/CEVFDZQC"],"itemData":{"id":1057,"type":"book","collection-title":"Springer Texts in Statistics","event-place":"New York, NY","ISBN":"978-1-07-161417-4","language":"en","note":"DOI: 10.1007/978-1-0716-1418-1","publisher":"Springer US","publisher-place":"New York, NY","source":"DOI.org (Crossref)","title":"An Introduction to Statistical Learning: with Applications in R","title-short":"An Introduction to Statistical Learning","URL":"https://link.springer.com/10.1007/978-1-0716-1418-1","volume":"112","author":[{"family":"James","given":"Gareth"},{"family":"Witten","given":"Daniela"},{"family":"Hastie","given":"Trevor"},{"family":"Tibshirani","given":"Robert"}],"accessed":{"date-parts":[["2022",5,22]]},"issued":{"date-parts":[["2013"]]}}}],"schema":"https://github.com/citation-style-language/schema/raw/master/csl-citation.json"} </w:instrText>
      </w:r>
      <w:r w:rsidR="00577D70">
        <w:fldChar w:fldCharType="separate"/>
      </w:r>
      <w:r w:rsidR="00897D3D" w:rsidRPr="00897D3D">
        <w:rPr>
          <w:rFonts w:ascii="Calibri" w:hAnsi="Calibri" w:cs="Calibri"/>
          <w:szCs w:val="24"/>
          <w:vertAlign w:val="superscript"/>
        </w:rPr>
        <w:t>9</w:t>
      </w:r>
      <w:r w:rsidR="00577D70">
        <w:fldChar w:fldCharType="end"/>
      </w:r>
      <w:r w:rsidR="00577D70">
        <w:t xml:space="preserve">. Since ADAS13 encompasses allADAS11 test components with the addition of two new components, I </w:t>
      </w:r>
      <w:r w:rsidR="00F0093C">
        <w:t>dropped</w:t>
      </w:r>
      <w:r w:rsidR="00577D70">
        <w:t xml:space="preserve"> ADAS11</w:t>
      </w:r>
      <w:r w:rsidR="00F0093C">
        <w:t xml:space="preserve"> going forward</w:t>
      </w:r>
      <w:r w:rsidR="00577D70">
        <w:t>. Additionally, WholeBrain captures just the brain tissue volume whereas ICV also contains the volume of CSF in the brain, so I opted to keep WholeBrain and drop ICV</w:t>
      </w:r>
      <w:r w:rsidR="00DD636B">
        <w:t xml:space="preserve"> going forward</w:t>
      </w:r>
      <w:r w:rsidR="00F0093C">
        <w:t>.</w:t>
      </w:r>
      <w:r w:rsidR="005C272B">
        <w:t xml:space="preserve"> </w:t>
      </w:r>
      <w:r w:rsidR="008C7C90">
        <w:t xml:space="preserve">This </w:t>
      </w:r>
      <w:r w:rsidR="00D37574">
        <w:t xml:space="preserve">OLS </w:t>
      </w:r>
      <w:r w:rsidR="008C7C90">
        <w:t xml:space="preserve">model in which ADAS11 and ICV are omitted will be referred to as </w:t>
      </w:r>
      <w:r w:rsidR="008C7C90">
        <w:rPr>
          <w:b/>
          <w:bCs/>
        </w:rPr>
        <w:t>Model 2</w:t>
      </w:r>
      <w:r w:rsidR="008C7C90">
        <w:t>.</w:t>
      </w:r>
    </w:p>
    <w:p w14:paraId="5945B006" w14:textId="018EA343" w:rsidR="00A80CB7" w:rsidRDefault="007922F9" w:rsidP="00A15864">
      <w:pPr>
        <w:pStyle w:val="Heading5"/>
        <w:numPr>
          <w:ilvl w:val="2"/>
          <w:numId w:val="1"/>
        </w:numPr>
      </w:pPr>
      <w:r>
        <w:t>Normal distribution of residuals</w:t>
      </w:r>
    </w:p>
    <w:p w14:paraId="46E491F3" w14:textId="0896C2DB" w:rsidR="00AE6549" w:rsidRDefault="00A15864" w:rsidP="0008704E">
      <w:pPr>
        <w:ind w:firstLine="360"/>
        <w:jc w:val="both"/>
      </w:pPr>
      <w:r w:rsidRPr="00A15864">
        <w:t>The second assumption of a linear model is that the residuals are normally distributed. This assumption can be assessed using a</w:t>
      </w:r>
      <w:r w:rsidR="008B06D5">
        <w:t xml:space="preserve"> quantile-quantile</w:t>
      </w:r>
      <w:r w:rsidRPr="00A15864">
        <w:t xml:space="preserve"> </w:t>
      </w:r>
      <w:r w:rsidR="008B06D5">
        <w:t>(</w:t>
      </w:r>
      <w:r w:rsidRPr="00A15864">
        <w:t>Q-Q</w:t>
      </w:r>
      <w:r w:rsidR="008B06D5">
        <w:t xml:space="preserve">) </w:t>
      </w:r>
      <w:r w:rsidRPr="00A15864">
        <w:t>plot, which shows the qua</w:t>
      </w:r>
      <w:r w:rsidR="008B06D5">
        <w:t>n</w:t>
      </w:r>
      <w:r w:rsidRPr="00A15864">
        <w:t xml:space="preserve">tiles of the standardized residuals (y axis) versus the quartiles of a normal distribution (x axis). </w:t>
      </w:r>
      <w:r w:rsidR="00404949">
        <w:rPr>
          <w:b/>
          <w:bCs/>
        </w:rPr>
        <w:t>Figure 4</w:t>
      </w:r>
      <w:r w:rsidR="00404949">
        <w:t xml:space="preserve"> shows the Q-Q plot</w:t>
      </w:r>
      <w:r w:rsidR="004052EC">
        <w:t xml:space="preserve"> and histogram of residual values</w:t>
      </w:r>
      <w:r w:rsidR="00404949">
        <w:t xml:space="preserve"> for </w:t>
      </w:r>
      <w:r w:rsidR="00FD6CE1">
        <w:rPr>
          <w:b/>
          <w:bCs/>
        </w:rPr>
        <w:t>Model 2</w:t>
      </w:r>
      <w:r w:rsidR="004052EC">
        <w:t xml:space="preserve">, in which the residuals are clearly positively skewed. </w:t>
      </w:r>
      <w:r w:rsidR="00CB615D">
        <w:t>To mitigate this issue, I tried transforming the outcome variable (PTAU) with a Box-Cox power transformation (</w:t>
      </w:r>
      <w:r w:rsidR="00CB615D">
        <w:rPr>
          <w:b/>
          <w:bCs/>
        </w:rPr>
        <w:t>Figure 5</w:t>
      </w:r>
      <w:r w:rsidR="00CB615D">
        <w:t>)</w:t>
      </w:r>
      <w:r w:rsidR="00897D3D">
        <w:fldChar w:fldCharType="begin"/>
      </w:r>
      <w:r w:rsidR="00897D3D">
        <w:instrText xml:space="preserve"> ADDIN ZOTERO_ITEM CSL_CITATION {"citationID":"5ZgGd0C3","properties":{"formattedCitation":"\\super 10\\nosupersub{}","plainCitation":"10","noteIndex":0},"citationItems":[{"id":1058,"uris":["http://zotero.org/users/local/xTg0WhcH/items/UWL78ZCU"],"itemData":{"id":1058,"type":"article-journal","abstract":"In the analysis of data it is often assumed that observations y&lt;sub&gt;1&lt;/sub&gt;, y&lt;sub&gt;2&lt;/sub&gt;, ..., y&lt;sub&gt;n&lt;/sub&gt; are independently normally distributed with constant variance and with expectations specified by a model linear in a set of parameters θ. In this paper we make the less restrictive assumption that such a normal, homoscedastic, linear model is appropriate after some suitable transformation has been applied to the y's. Inferences about the transformation and about the parameters of the linear model are made by computing the likelihood function and the relevant posterior distribution. The contributions of normality, homoscedasticity and additivity to the transformation are separated. The relation of the present methods to earlier procedures for finding transformations is discussed. The methods are illustrated with examples.","container-title":"Journal of the Royal Statistical Society. Series B (Methodological)","ISSN":"0035-9246","issue":"2","note":"publisher: [Royal Statistical Society, Wiley]","page":"211-252","source":"JSTOR","title":"An Analysis of Transformations","volume":"26","author":[{"family":"Box","given":"G. E. P."},{"family":"Cox","given":"D. R."}],"issued":{"date-parts":[["1964"]]}}}],"schema":"https://github.com/citation-style-language/schema/raw/master/csl-citation.json"} </w:instrText>
      </w:r>
      <w:r w:rsidR="00897D3D">
        <w:fldChar w:fldCharType="separate"/>
      </w:r>
      <w:r w:rsidR="00897D3D" w:rsidRPr="00897D3D">
        <w:rPr>
          <w:rFonts w:ascii="Calibri" w:hAnsi="Calibri" w:cs="Calibri"/>
          <w:szCs w:val="24"/>
          <w:vertAlign w:val="superscript"/>
        </w:rPr>
        <w:t>10</w:t>
      </w:r>
      <w:r w:rsidR="00897D3D">
        <w:fldChar w:fldCharType="end"/>
      </w:r>
      <w:r w:rsidR="00CB615D">
        <w:t>.</w:t>
      </w:r>
      <w:r w:rsidR="00FE1C25">
        <w:t xml:space="preserve"> In this</w:t>
      </w:r>
      <w:r w:rsidR="008F72B8">
        <w:t xml:space="preserve"> t</w:t>
      </w:r>
      <w:r w:rsidR="00FE1C25">
        <w:t xml:space="preserve">ype of visualization, </w:t>
      </w:r>
      <w:r w:rsidR="00B57152" w:rsidRPr="00B57152">
        <w:t>the centre dashed line around 0 represents</w:t>
      </w:r>
      <w:r w:rsidR="00266FA6">
        <w:t xml:space="preserve"> the </w:t>
      </w:r>
      <w:r w:rsidR="00266FA6">
        <w:lastRenderedPageBreak/>
        <w:t>optimal</w:t>
      </w:r>
      <w:r w:rsidR="002F4F86" w:rsidRPr="002F4F86">
        <w:t xml:space="preserve"> </w:t>
      </w:r>
      <w:r w:rsidR="002F4F86" w:rsidRPr="002F4F86">
        <w:rPr>
          <w:rFonts w:ascii="Cambria Math" w:hAnsi="Cambria Math" w:cs="Cambria Math"/>
        </w:rPr>
        <w:t>𝜆</w:t>
      </w:r>
      <w:r w:rsidR="00266FA6">
        <w:rPr>
          <w:rFonts w:ascii="Cambria Math" w:hAnsi="Cambria Math" w:cs="Cambria Math"/>
        </w:rPr>
        <w:t xml:space="preserve"> </w:t>
      </w:r>
      <w:r w:rsidR="00266FA6" w:rsidRPr="00266FA6">
        <w:rPr>
          <w:rFonts w:cstheme="minorHAnsi"/>
        </w:rPr>
        <w:t>for the power transformation</w:t>
      </w:r>
      <w:r w:rsidR="00B57152" w:rsidRPr="00B57152">
        <w:t xml:space="preserve">, and the outer two vertical lines are </w:t>
      </w:r>
      <w:r w:rsidR="008F72B8">
        <w:rPr>
          <w:noProof/>
        </w:rPr>
        <w:drawing>
          <wp:anchor distT="0" distB="0" distL="114300" distR="114300" simplePos="0" relativeHeight="251664384" behindDoc="0" locked="0" layoutInCell="1" allowOverlap="1" wp14:anchorId="44CED891" wp14:editId="2631C3E9">
            <wp:simplePos x="0" y="0"/>
            <wp:positionH relativeFrom="column">
              <wp:posOffset>3251200</wp:posOffset>
            </wp:positionH>
            <wp:positionV relativeFrom="paragraph">
              <wp:posOffset>552553</wp:posOffset>
            </wp:positionV>
            <wp:extent cx="2798445" cy="1550035"/>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9603" r="6100" b="6184"/>
                    <a:stretch/>
                  </pic:blipFill>
                  <pic:spPr bwMode="auto">
                    <a:xfrm>
                      <a:off x="0" y="0"/>
                      <a:ext cx="2798445" cy="1550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72B8">
        <w:rPr>
          <w:noProof/>
        </w:rPr>
        <w:drawing>
          <wp:anchor distT="0" distB="0" distL="114300" distR="114300" simplePos="0" relativeHeight="251663360" behindDoc="0" locked="0" layoutInCell="1" allowOverlap="1" wp14:anchorId="16372605" wp14:editId="3F821867">
            <wp:simplePos x="0" y="0"/>
            <wp:positionH relativeFrom="column">
              <wp:posOffset>-127000</wp:posOffset>
            </wp:positionH>
            <wp:positionV relativeFrom="paragraph">
              <wp:posOffset>558121</wp:posOffset>
            </wp:positionV>
            <wp:extent cx="3017520" cy="15100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004">
        <w:rPr>
          <w:noProof/>
        </w:rPr>
        <mc:AlternateContent>
          <mc:Choice Requires="wps">
            <w:drawing>
              <wp:anchor distT="45720" distB="45720" distL="114300" distR="114300" simplePos="0" relativeHeight="251666432" behindDoc="0" locked="0" layoutInCell="1" allowOverlap="1" wp14:anchorId="5FF8C026" wp14:editId="68B41F6B">
                <wp:simplePos x="0" y="0"/>
                <wp:positionH relativeFrom="column">
                  <wp:posOffset>-127552</wp:posOffset>
                </wp:positionH>
                <wp:positionV relativeFrom="paragraph">
                  <wp:posOffset>2005330</wp:posOffset>
                </wp:positionV>
                <wp:extent cx="3017520" cy="294005"/>
                <wp:effectExtent l="0" t="0" r="11430" b="107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294005"/>
                        </a:xfrm>
                        <a:prstGeom prst="rect">
                          <a:avLst/>
                        </a:prstGeom>
                        <a:solidFill>
                          <a:srgbClr val="FFFFFF"/>
                        </a:solidFill>
                        <a:ln w="9525">
                          <a:solidFill>
                            <a:srgbClr val="000000"/>
                          </a:solidFill>
                          <a:miter lim="800000"/>
                          <a:headEnd/>
                          <a:tailEnd/>
                        </a:ln>
                      </wps:spPr>
                      <wps:txbx>
                        <w:txbxContent>
                          <w:p w14:paraId="38F45618" w14:textId="1F94A5FC" w:rsidR="005B2454" w:rsidRPr="005B2454" w:rsidRDefault="005B2454" w:rsidP="005B2454">
                            <w:r w:rsidRPr="001040F7">
                              <w:rPr>
                                <w:b/>
                                <w:bCs/>
                              </w:rPr>
                              <w:t xml:space="preserve">Figure </w:t>
                            </w:r>
                            <w:r>
                              <w:rPr>
                                <w:b/>
                                <w:bCs/>
                              </w:rPr>
                              <w:t>4</w:t>
                            </w:r>
                            <w:r>
                              <w:t xml:space="preserve">. Distribution of residuals in </w:t>
                            </w:r>
                            <w:r>
                              <w:rPr>
                                <w:b/>
                                <w:bCs/>
                              </w:rPr>
                              <w:t>OLS Model 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8C026" id="_x0000_s1028" type="#_x0000_t202" style="position:absolute;left:0;text-align:left;margin-left:-10.05pt;margin-top:157.9pt;width:237.6pt;height:2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">
                <v:textbox>
                  <w:txbxContent>
                    <w:p w14:paraId="38F45618" w14:textId="1F94A5FC" w:rsidR="005B2454" w:rsidRPr="005B2454" w:rsidRDefault="005B2454" w:rsidP="005B2454">
                      <w:r w:rsidRPr="001040F7">
                        <w:rPr>
                          <w:b/>
                          <w:bCs/>
                        </w:rPr>
                        <w:t xml:space="preserve">Figure </w:t>
                      </w:r>
                      <w:r>
                        <w:rPr>
                          <w:b/>
                          <w:bCs/>
                        </w:rPr>
                        <w:t>4</w:t>
                      </w:r>
                      <w:r>
                        <w:t xml:space="preserve">. Distribution of residuals in </w:t>
                      </w:r>
                      <w:r>
                        <w:rPr>
                          <w:b/>
                          <w:bCs/>
                        </w:rPr>
                        <w:t>OLS Model 2</w:t>
                      </w:r>
                      <w:r>
                        <w:t>.</w:t>
                      </w:r>
                    </w:p>
                  </w:txbxContent>
                </v:textbox>
                <w10:wrap type="topAndBottom"/>
              </v:shape>
            </w:pict>
          </mc:Fallback>
        </mc:AlternateContent>
      </w:r>
      <w:r w:rsidR="00A37004">
        <w:rPr>
          <w:noProof/>
        </w:rPr>
        <mc:AlternateContent>
          <mc:Choice Requires="wps">
            <w:drawing>
              <wp:anchor distT="45720" distB="45720" distL="114300" distR="114300" simplePos="0" relativeHeight="251668480" behindDoc="0" locked="0" layoutInCell="1" allowOverlap="1" wp14:anchorId="02DCA090" wp14:editId="03E7E41F">
                <wp:simplePos x="0" y="0"/>
                <wp:positionH relativeFrom="column">
                  <wp:posOffset>3195955</wp:posOffset>
                </wp:positionH>
                <wp:positionV relativeFrom="paragraph">
                  <wp:posOffset>1997075</wp:posOffset>
                </wp:positionV>
                <wp:extent cx="3017520" cy="294005"/>
                <wp:effectExtent l="0" t="0" r="11430" b="1079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294005"/>
                        </a:xfrm>
                        <a:prstGeom prst="rect">
                          <a:avLst/>
                        </a:prstGeom>
                        <a:solidFill>
                          <a:srgbClr val="FFFFFF"/>
                        </a:solidFill>
                        <a:ln w="9525">
                          <a:solidFill>
                            <a:srgbClr val="000000"/>
                          </a:solidFill>
                          <a:miter lim="800000"/>
                          <a:headEnd/>
                          <a:tailEnd/>
                        </a:ln>
                      </wps:spPr>
                      <wps:txbx>
                        <w:txbxContent>
                          <w:p w14:paraId="0865ED3E" w14:textId="62648071" w:rsidR="005B2454" w:rsidRPr="005B2454" w:rsidRDefault="005B2454" w:rsidP="005B2454">
                            <w:r w:rsidRPr="001040F7">
                              <w:rPr>
                                <w:b/>
                                <w:bCs/>
                              </w:rPr>
                              <w:t xml:space="preserve">Figure </w:t>
                            </w:r>
                            <w:r>
                              <w:rPr>
                                <w:b/>
                                <w:bCs/>
                              </w:rPr>
                              <w:t>5</w:t>
                            </w:r>
                            <w:r>
                              <w:t>. Box-Cox power transformation of PTAU.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CA090" id="_x0000_s1029" type="#_x0000_t202" style="position:absolute;left:0;text-align:left;margin-left:251.65pt;margin-top:157.25pt;width:237.6pt;height:23.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">
                <v:textbox>
                  <w:txbxContent>
                    <w:p w14:paraId="0865ED3E" w14:textId="62648071" w:rsidR="005B2454" w:rsidRPr="005B2454" w:rsidRDefault="005B2454" w:rsidP="005B2454">
                      <w:r w:rsidRPr="001040F7">
                        <w:rPr>
                          <w:b/>
                          <w:bCs/>
                        </w:rPr>
                        <w:t xml:space="preserve">Figure </w:t>
                      </w:r>
                      <w:r>
                        <w:rPr>
                          <w:b/>
                          <w:bCs/>
                        </w:rPr>
                        <w:t>5</w:t>
                      </w:r>
                      <w:r>
                        <w:t>. Box-Cox power transformation of PTAU.</w:t>
                      </w:r>
                    </w:p>
                  </w:txbxContent>
                </v:textbox>
                <w10:wrap type="topAndBottom"/>
              </v:shape>
            </w:pict>
          </mc:Fallback>
        </mc:AlternateContent>
      </w:r>
      <w:r w:rsidR="00B57152" w:rsidRPr="00B57152">
        <w:t xml:space="preserve">the 95% confidence interval for </w:t>
      </w:r>
      <w:r w:rsidR="002F4F86" w:rsidRPr="002F4F86">
        <w:rPr>
          <w:rFonts w:ascii="Cambria Math" w:hAnsi="Cambria Math" w:cs="Cambria Math"/>
        </w:rPr>
        <w:t>𝜆</w:t>
      </w:r>
      <w:r w:rsidR="00B57152" w:rsidRPr="00B57152">
        <w:t xml:space="preserve">. </w:t>
      </w:r>
    </w:p>
    <w:p w14:paraId="5978B2CB" w14:textId="0EA4D09C" w:rsidR="005338BC" w:rsidRDefault="005338BC" w:rsidP="0008704E">
      <w:pPr>
        <w:ind w:firstLine="360"/>
        <w:jc w:val="both"/>
      </w:pPr>
    </w:p>
    <w:p w14:paraId="356D78CB" w14:textId="275E5E8A" w:rsidR="00EA39A1" w:rsidRDefault="00473C15" w:rsidP="0008704E">
      <w:pPr>
        <w:ind w:firstLine="360"/>
        <w:jc w:val="both"/>
      </w:pPr>
      <w:r>
        <w:rPr>
          <w:noProof/>
        </w:rPr>
        <mc:AlternateContent>
          <mc:Choice Requires="wps">
            <w:drawing>
              <wp:anchor distT="45720" distB="45720" distL="114300" distR="114300" simplePos="0" relativeHeight="251671552" behindDoc="0" locked="0" layoutInCell="1" allowOverlap="1" wp14:anchorId="36958988" wp14:editId="727B325C">
                <wp:simplePos x="0" y="0"/>
                <wp:positionH relativeFrom="column">
                  <wp:posOffset>4139565</wp:posOffset>
                </wp:positionH>
                <wp:positionV relativeFrom="paragraph">
                  <wp:posOffset>1953260</wp:posOffset>
                </wp:positionV>
                <wp:extent cx="1908175" cy="1404620"/>
                <wp:effectExtent l="0" t="0" r="15875"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75" cy="1404620"/>
                        </a:xfrm>
                        <a:prstGeom prst="rect">
                          <a:avLst/>
                        </a:prstGeom>
                        <a:solidFill>
                          <a:srgbClr val="FFFFFF"/>
                        </a:solidFill>
                        <a:ln w="9525">
                          <a:solidFill>
                            <a:srgbClr val="000000"/>
                          </a:solidFill>
                          <a:miter lim="800000"/>
                          <a:headEnd/>
                          <a:tailEnd/>
                        </a:ln>
                      </wps:spPr>
                      <wps:txbx>
                        <w:txbxContent>
                          <w:p w14:paraId="2404ECEE" w14:textId="627B238B" w:rsidR="00234C83" w:rsidRDefault="00234C83" w:rsidP="00234C83">
                            <w:r w:rsidRPr="001040F7">
                              <w:rPr>
                                <w:b/>
                                <w:bCs/>
                              </w:rPr>
                              <w:t xml:space="preserve">Figure </w:t>
                            </w:r>
                            <w:r>
                              <w:rPr>
                                <w:b/>
                                <w:bCs/>
                              </w:rPr>
                              <w:t>6</w:t>
                            </w:r>
                            <w:r>
                              <w:t>. Distribution of CSF PTAU after applying various power transforms.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58988" id="_x0000_s1030" type="#_x0000_t202" style="position:absolute;left:0;text-align:left;margin-left:325.95pt;margin-top:153.8pt;width:150.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">
                <v:textbox style="mso-fit-shape-to-text:t">
                  <w:txbxContent>
                    <w:p w14:paraId="2404ECEE" w14:textId="627B238B" w:rsidR="00234C83" w:rsidRDefault="00234C83" w:rsidP="00234C83">
                      <w:r w:rsidRPr="001040F7">
                        <w:rPr>
                          <w:b/>
                          <w:bCs/>
                        </w:rPr>
                        <w:t xml:space="preserve">Figure </w:t>
                      </w:r>
                      <w:r>
                        <w:rPr>
                          <w:b/>
                          <w:bCs/>
                        </w:rPr>
                        <w:t>6</w:t>
                      </w:r>
                      <w:r>
                        <w:t>. Distribution of CSF PTAU after applying various power transforms.</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63B4C74C" wp14:editId="08CD819B">
                <wp:simplePos x="0" y="0"/>
                <wp:positionH relativeFrom="column">
                  <wp:posOffset>3251835</wp:posOffset>
                </wp:positionH>
                <wp:positionV relativeFrom="paragraph">
                  <wp:posOffset>2086057</wp:posOffset>
                </wp:positionV>
                <wp:extent cx="620202" cy="246490"/>
                <wp:effectExtent l="0" t="0" r="0" b="12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02" cy="246490"/>
                        </a:xfrm>
                        <a:prstGeom prst="rect">
                          <a:avLst/>
                        </a:prstGeom>
                        <a:noFill/>
                        <a:ln w="9525">
                          <a:noFill/>
                          <a:miter lim="800000"/>
                          <a:headEnd/>
                          <a:tailEnd/>
                        </a:ln>
                      </wps:spPr>
                      <wps:txbx>
                        <w:txbxContent>
                          <w:p w14:paraId="5B1DE2DE" w14:textId="52F5FF20" w:rsidR="00234C83" w:rsidRPr="00234C83" w:rsidRDefault="00234C83" w:rsidP="00234C83">
                            <w:pPr>
                              <w:rPr>
                                <w:b/>
                                <w:bCs/>
                                <w:sz w:val="24"/>
                                <w:szCs w:val="24"/>
                                <w:lang w:val="en-US"/>
                              </w:rPr>
                            </w:pPr>
                            <w:r w:rsidRPr="00234C83">
                              <w:rPr>
                                <w:b/>
                                <w:bCs/>
                                <w:sz w:val="24"/>
                                <w:szCs w:val="24"/>
                                <w:lang w:val="el-GR"/>
                              </w:rPr>
                              <w:t>λ</w:t>
                            </w:r>
                            <w:r w:rsidRPr="00234C83">
                              <w:rPr>
                                <w:b/>
                                <w:bCs/>
                                <w:sz w:val="24"/>
                                <w:szCs w:val="24"/>
                                <w:lang w:val="en-US"/>
                              </w:rPr>
                              <w:t xml:space="preserve"> = </w:t>
                            </w:r>
                            <w:r>
                              <w:rPr>
                                <w:b/>
                                <w:bCs/>
                                <w:sz w:val="24"/>
                                <w:szCs w:val="24"/>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C74C" id="_x0000_s1031" type="#_x0000_t202" style="position:absolute;left:0;text-align:left;margin-left:256.05pt;margin-top:164.25pt;width:48.85pt;height:19.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" filled="f" stroked="f">
                <v:textbox>
                  <w:txbxContent>
                    <w:p w14:paraId="5B1DE2DE" w14:textId="52F5FF20" w:rsidR="00234C83" w:rsidRPr="00234C83" w:rsidRDefault="00234C83" w:rsidP="00234C83">
                      <w:pPr>
                        <w:rPr>
                          <w:b/>
                          <w:bCs/>
                          <w:sz w:val="24"/>
                          <w:szCs w:val="24"/>
                          <w:lang w:val="en-US"/>
                        </w:rPr>
                      </w:pPr>
                      <w:r w:rsidRPr="00234C83">
                        <w:rPr>
                          <w:b/>
                          <w:bCs/>
                          <w:sz w:val="24"/>
                          <w:szCs w:val="24"/>
                          <w:lang w:val="el-GR"/>
                        </w:rPr>
                        <w:t>λ</w:t>
                      </w:r>
                      <w:r w:rsidRPr="00234C83">
                        <w:rPr>
                          <w:b/>
                          <w:bCs/>
                          <w:sz w:val="24"/>
                          <w:szCs w:val="24"/>
                          <w:lang w:val="en-US"/>
                        </w:rPr>
                        <w:t xml:space="preserve"> = </w:t>
                      </w:r>
                      <w:r>
                        <w:rPr>
                          <w:b/>
                          <w:bCs/>
                          <w:sz w:val="24"/>
                          <w:szCs w:val="24"/>
                          <w:lang w:val="en-US"/>
                        </w:rPr>
                        <w:t>-1</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D633D61" wp14:editId="2CA3B729">
                <wp:simplePos x="0" y="0"/>
                <wp:positionH relativeFrom="column">
                  <wp:posOffset>2345055</wp:posOffset>
                </wp:positionH>
                <wp:positionV relativeFrom="paragraph">
                  <wp:posOffset>2090834</wp:posOffset>
                </wp:positionV>
                <wp:extent cx="620202" cy="24649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02" cy="246490"/>
                        </a:xfrm>
                        <a:prstGeom prst="rect">
                          <a:avLst/>
                        </a:prstGeom>
                        <a:noFill/>
                        <a:ln w="9525">
                          <a:noFill/>
                          <a:miter lim="800000"/>
                          <a:headEnd/>
                          <a:tailEnd/>
                        </a:ln>
                      </wps:spPr>
                      <wps:txbx>
                        <w:txbxContent>
                          <w:p w14:paraId="1FFE7466" w14:textId="4C84AE3E" w:rsidR="00234C83" w:rsidRPr="00234C83" w:rsidRDefault="00234C83" w:rsidP="00234C83">
                            <w:pPr>
                              <w:rPr>
                                <w:b/>
                                <w:bCs/>
                                <w:sz w:val="24"/>
                                <w:szCs w:val="24"/>
                                <w:lang w:val="en-US"/>
                              </w:rPr>
                            </w:pPr>
                            <w:r w:rsidRPr="00234C83">
                              <w:rPr>
                                <w:b/>
                                <w:bCs/>
                                <w:sz w:val="24"/>
                                <w:szCs w:val="24"/>
                                <w:lang w:val="el-GR"/>
                              </w:rPr>
                              <w:t>λ</w:t>
                            </w:r>
                            <w:r w:rsidRPr="00234C83">
                              <w:rPr>
                                <w:b/>
                                <w:bCs/>
                                <w:sz w:val="24"/>
                                <w:szCs w:val="24"/>
                                <w:lang w:val="en-US"/>
                              </w:rPr>
                              <w:t xml:space="preserve"> = 0</w:t>
                            </w:r>
                            <w:r>
                              <w:rPr>
                                <w:b/>
                                <w:bCs/>
                                <w:sz w:val="24"/>
                                <w:szCs w:val="24"/>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33D61" id="_x0000_s1032" type="#_x0000_t202" style="position:absolute;left:0;text-align:left;margin-left:184.65pt;margin-top:164.65pt;width:48.85pt;height:19.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" filled="f" stroked="f">
                <v:textbox>
                  <w:txbxContent>
                    <w:p w14:paraId="1FFE7466" w14:textId="4C84AE3E" w:rsidR="00234C83" w:rsidRPr="00234C83" w:rsidRDefault="00234C83" w:rsidP="00234C83">
                      <w:pPr>
                        <w:rPr>
                          <w:b/>
                          <w:bCs/>
                          <w:sz w:val="24"/>
                          <w:szCs w:val="24"/>
                          <w:lang w:val="en-US"/>
                        </w:rPr>
                      </w:pPr>
                      <w:r w:rsidRPr="00234C83">
                        <w:rPr>
                          <w:b/>
                          <w:bCs/>
                          <w:sz w:val="24"/>
                          <w:szCs w:val="24"/>
                          <w:lang w:val="el-GR"/>
                        </w:rPr>
                        <w:t>λ</w:t>
                      </w:r>
                      <w:r w:rsidRPr="00234C83">
                        <w:rPr>
                          <w:b/>
                          <w:bCs/>
                          <w:sz w:val="24"/>
                          <w:szCs w:val="24"/>
                          <w:lang w:val="en-US"/>
                        </w:rPr>
                        <w:t xml:space="preserve"> = 0</w:t>
                      </w:r>
                      <w:r>
                        <w:rPr>
                          <w:b/>
                          <w:bCs/>
                          <w:sz w:val="24"/>
                          <w:szCs w:val="24"/>
                          <w:lang w:val="en-US"/>
                        </w:rPr>
                        <w:t>.5</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1D116006" wp14:editId="308536CB">
                <wp:simplePos x="0" y="0"/>
                <wp:positionH relativeFrom="column">
                  <wp:posOffset>1367017</wp:posOffset>
                </wp:positionH>
                <wp:positionV relativeFrom="paragraph">
                  <wp:posOffset>2090613</wp:posOffset>
                </wp:positionV>
                <wp:extent cx="524786" cy="310101"/>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 cy="310101"/>
                        </a:xfrm>
                        <a:prstGeom prst="rect">
                          <a:avLst/>
                        </a:prstGeom>
                        <a:noFill/>
                        <a:ln w="9525">
                          <a:noFill/>
                          <a:miter lim="800000"/>
                          <a:headEnd/>
                          <a:tailEnd/>
                        </a:ln>
                      </wps:spPr>
                      <wps:txbx>
                        <w:txbxContent>
                          <w:p w14:paraId="5F6D4699" w14:textId="542CEEE2" w:rsidR="00234C83" w:rsidRPr="00234C83" w:rsidRDefault="00234C83" w:rsidP="00234C83">
                            <w:pPr>
                              <w:rPr>
                                <w:b/>
                                <w:bCs/>
                                <w:sz w:val="24"/>
                                <w:szCs w:val="24"/>
                                <w:lang w:val="en-US"/>
                              </w:rPr>
                            </w:pPr>
                            <w:r w:rsidRPr="00234C83">
                              <w:rPr>
                                <w:b/>
                                <w:bCs/>
                                <w:sz w:val="24"/>
                                <w:szCs w:val="24"/>
                                <w:lang w:val="el-GR"/>
                              </w:rPr>
                              <w:t>λ</w:t>
                            </w:r>
                            <w:r w:rsidRPr="00234C83">
                              <w:rPr>
                                <w:b/>
                                <w:bCs/>
                                <w:sz w:val="24"/>
                                <w:szCs w:val="24"/>
                                <w:lang w:val="en-US"/>
                              </w:rPr>
                              <w:t xml:space="preserv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16006" id="_x0000_s1033" type="#_x0000_t202" style="position:absolute;left:0;text-align:left;margin-left:107.65pt;margin-top:164.6pt;width:41.3pt;height:24.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" filled="f" stroked="f">
                <v:textbox>
                  <w:txbxContent>
                    <w:p w14:paraId="5F6D4699" w14:textId="542CEEE2" w:rsidR="00234C83" w:rsidRPr="00234C83" w:rsidRDefault="00234C83" w:rsidP="00234C83">
                      <w:pPr>
                        <w:rPr>
                          <w:b/>
                          <w:bCs/>
                          <w:sz w:val="24"/>
                          <w:szCs w:val="24"/>
                          <w:lang w:val="en-US"/>
                        </w:rPr>
                      </w:pPr>
                      <w:r w:rsidRPr="00234C83">
                        <w:rPr>
                          <w:b/>
                          <w:bCs/>
                          <w:sz w:val="24"/>
                          <w:szCs w:val="24"/>
                          <w:lang w:val="el-GR"/>
                        </w:rPr>
                        <w:t>λ</w:t>
                      </w:r>
                      <w:r w:rsidRPr="00234C83">
                        <w:rPr>
                          <w:b/>
                          <w:bCs/>
                          <w:sz w:val="24"/>
                          <w:szCs w:val="24"/>
                          <w:lang w:val="en-US"/>
                        </w:rPr>
                        <w:t xml:space="preserve"> = 0</w:t>
                      </w:r>
                    </w:p>
                  </w:txbxContent>
                </v:textbox>
              </v:shape>
            </w:pict>
          </mc:Fallback>
        </mc:AlternateContent>
      </w:r>
      <w:r>
        <w:rPr>
          <w:noProof/>
        </w:rPr>
        <w:drawing>
          <wp:anchor distT="0" distB="0" distL="114300" distR="114300" simplePos="0" relativeHeight="251669504" behindDoc="0" locked="0" layoutInCell="1" allowOverlap="1" wp14:anchorId="47CD6DB3" wp14:editId="67C9598A">
            <wp:simplePos x="0" y="0"/>
            <wp:positionH relativeFrom="column">
              <wp:posOffset>-101600</wp:posOffset>
            </wp:positionH>
            <wp:positionV relativeFrom="paragraph">
              <wp:posOffset>1713230</wp:posOffset>
            </wp:positionV>
            <wp:extent cx="4140200" cy="17729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152" w:rsidRPr="00B57152">
        <w:t xml:space="preserve">While the 95% confidence interval does not </w:t>
      </w:r>
      <w:r w:rsidR="004A2F75">
        <w:t xml:space="preserve">precisely </w:t>
      </w:r>
      <w:r w:rsidR="00B57152" w:rsidRPr="00B57152">
        <w:t xml:space="preserve">cover any </w:t>
      </w:r>
      <w:r w:rsidR="00C8500B" w:rsidRPr="002F4F86">
        <w:rPr>
          <w:rFonts w:ascii="Cambria Math" w:hAnsi="Cambria Math" w:cs="Cambria Math"/>
        </w:rPr>
        <w:t>𝜆</w:t>
      </w:r>
      <w:r w:rsidR="00C8500B" w:rsidRPr="00B57152">
        <w:t xml:space="preserve"> </w:t>
      </w:r>
      <w:r w:rsidR="00B57152" w:rsidRPr="00B57152">
        <w:t xml:space="preserve">value associated with a typical </w:t>
      </w:r>
      <w:r w:rsidR="00EE3D81">
        <w:t xml:space="preserve">power </w:t>
      </w:r>
      <w:r w:rsidR="00B57152" w:rsidRPr="00B57152">
        <w:t xml:space="preserve">transformation, we might still try using </w:t>
      </w:r>
      <w:r w:rsidR="00944170" w:rsidRPr="002F4F86">
        <w:rPr>
          <w:rFonts w:ascii="Cambria Math" w:hAnsi="Cambria Math" w:cs="Cambria Math"/>
        </w:rPr>
        <w:t>𝜆</w:t>
      </w:r>
      <w:r w:rsidR="00944170" w:rsidRPr="00B57152">
        <w:t xml:space="preserve"> </w:t>
      </w:r>
      <w:r w:rsidR="00B57152" w:rsidRPr="00B57152">
        <w:t>= 0 for a log transformation of the outcome variable (PTAU).</w:t>
      </w:r>
      <w:r w:rsidR="007A785A">
        <w:t xml:space="preserve"> I visually inspected the distribution after log-transforming PTAU versus square root-transforming or inverse-transforming it (</w:t>
      </w:r>
      <w:r w:rsidR="007A785A">
        <w:rPr>
          <w:b/>
          <w:bCs/>
        </w:rPr>
        <w:t>Figure 6</w:t>
      </w:r>
      <w:r w:rsidR="007A785A">
        <w:t xml:space="preserve">), </w:t>
      </w:r>
      <w:r w:rsidR="002E403F">
        <w:t>which confirms that the log transform yields the closest to a normal distribution of PTAU</w:t>
      </w:r>
      <w:r w:rsidR="0008704E">
        <w:t xml:space="preserve">. </w:t>
      </w:r>
      <w:r w:rsidR="00BD7349">
        <w:t xml:space="preserve">After adding log-transformed PTAU to </w:t>
      </w:r>
      <w:r w:rsidR="00BD7349">
        <w:rPr>
          <w:b/>
          <w:bCs/>
        </w:rPr>
        <w:t>Model 2</w:t>
      </w:r>
      <w:r w:rsidR="00BD7349">
        <w:t xml:space="preserve"> (which is hereafter referred to as </w:t>
      </w:r>
      <w:r w:rsidR="00BD7349">
        <w:rPr>
          <w:b/>
          <w:bCs/>
        </w:rPr>
        <w:t>Model 3</w:t>
      </w:r>
      <w:r w:rsidR="00BD7349">
        <w:t xml:space="preserve">), </w:t>
      </w:r>
      <w:r w:rsidR="005779EA">
        <w:t>I visualized the Q-Q plot and residual histogram again</w:t>
      </w:r>
      <w:r w:rsidR="00BD7349">
        <w:t xml:space="preserve"> (</w:t>
      </w:r>
      <w:r w:rsidR="00BD7349">
        <w:rPr>
          <w:b/>
          <w:bCs/>
        </w:rPr>
        <w:t xml:space="preserve">Figure </w:t>
      </w:r>
      <w:r w:rsidR="00FD4F62">
        <w:rPr>
          <w:b/>
          <w:bCs/>
        </w:rPr>
        <w:t>7</w:t>
      </w:r>
      <w:r w:rsidR="00FD4F62">
        <w:t>).</w:t>
      </w:r>
      <w:r w:rsidR="00FE47EA">
        <w:t xml:space="preserve"> </w:t>
      </w:r>
      <w:r w:rsidR="006C37E0">
        <w:t xml:space="preserve">The residuals do more closely follow a normal distribution </w:t>
      </w:r>
      <w:r w:rsidR="00AA3CDB">
        <w:t>now</w:t>
      </w:r>
      <w:r w:rsidR="00A12EDF">
        <w:t>;</w:t>
      </w:r>
      <w:r w:rsidR="006C37E0">
        <w:t xml:space="preserve"> given the large sample size (N=701 observations), </w:t>
      </w:r>
      <w:r w:rsidR="00A27F07">
        <w:t>it is safe to assume that this distribution is sufficiently normal based on the central limit theorem.</w:t>
      </w:r>
    </w:p>
    <w:p w14:paraId="77F978CC" w14:textId="0ED0F387" w:rsidR="00234C83" w:rsidRPr="00FD4F62" w:rsidRDefault="00473C15" w:rsidP="0008704E">
      <w:pPr>
        <w:ind w:firstLine="360"/>
        <w:jc w:val="both"/>
      </w:pPr>
      <w:r>
        <w:rPr>
          <w:noProof/>
        </w:rPr>
        <mc:AlternateContent>
          <mc:Choice Requires="wps">
            <w:drawing>
              <wp:anchor distT="45720" distB="45720" distL="114300" distR="114300" simplePos="0" relativeHeight="251680768" behindDoc="0" locked="0" layoutInCell="1" allowOverlap="1" wp14:anchorId="0CF020A1" wp14:editId="1319E157">
                <wp:simplePos x="0" y="0"/>
                <wp:positionH relativeFrom="column">
                  <wp:posOffset>4141470</wp:posOffset>
                </wp:positionH>
                <wp:positionV relativeFrom="paragraph">
                  <wp:posOffset>2105826</wp:posOffset>
                </wp:positionV>
                <wp:extent cx="1908175" cy="1404620"/>
                <wp:effectExtent l="0" t="0" r="15875" b="273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75" cy="1404620"/>
                        </a:xfrm>
                        <a:prstGeom prst="rect">
                          <a:avLst/>
                        </a:prstGeom>
                        <a:solidFill>
                          <a:srgbClr val="FFFFFF"/>
                        </a:solidFill>
                        <a:ln w="9525">
                          <a:solidFill>
                            <a:srgbClr val="000000"/>
                          </a:solidFill>
                          <a:miter lim="800000"/>
                          <a:headEnd/>
                          <a:tailEnd/>
                        </a:ln>
                      </wps:spPr>
                      <wps:txbx>
                        <w:txbxContent>
                          <w:p w14:paraId="537638CE" w14:textId="50B062CF" w:rsidR="000E2705" w:rsidRPr="000E2705" w:rsidRDefault="000E2705" w:rsidP="000E2705">
                            <w:r w:rsidRPr="001040F7">
                              <w:rPr>
                                <w:b/>
                                <w:bCs/>
                              </w:rPr>
                              <w:t xml:space="preserve">Figure </w:t>
                            </w:r>
                            <w:r>
                              <w:rPr>
                                <w:b/>
                                <w:bCs/>
                              </w:rPr>
                              <w:t>7</w:t>
                            </w:r>
                            <w:r>
                              <w:t>. Distribution of residuals after log-transforming outcome variable PTAU (</w:t>
                            </w:r>
                            <w:r>
                              <w:rPr>
                                <w:b/>
                                <w:bCs/>
                              </w:rPr>
                              <w:t>Model 3</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020A1" id="_x0000_s1034" type="#_x0000_t202" style="position:absolute;left:0;text-align:left;margin-left:326.1pt;margin-top:165.8pt;width:150.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">
                <v:textbox style="mso-fit-shape-to-text:t">
                  <w:txbxContent>
                    <w:p w14:paraId="537638CE" w14:textId="50B062CF" w:rsidR="000E2705" w:rsidRPr="000E2705" w:rsidRDefault="000E2705" w:rsidP="000E2705">
                      <w:r w:rsidRPr="001040F7">
                        <w:rPr>
                          <w:b/>
                          <w:bCs/>
                        </w:rPr>
                        <w:t xml:space="preserve">Figure </w:t>
                      </w:r>
                      <w:r>
                        <w:rPr>
                          <w:b/>
                          <w:bCs/>
                        </w:rPr>
                        <w:t>7</w:t>
                      </w:r>
                      <w:r>
                        <w:t>. Distribution of residuals after log-transforming outcome variable PTAU (</w:t>
                      </w:r>
                      <w:r>
                        <w:rPr>
                          <w:b/>
                          <w:bCs/>
                        </w:rPr>
                        <w:t>Model 3</w:t>
                      </w:r>
                      <w:r>
                        <w:t>).</w:t>
                      </w:r>
                    </w:p>
                  </w:txbxContent>
                </v:textbox>
                <w10:wrap type="square"/>
              </v:shape>
            </w:pict>
          </mc:Fallback>
        </mc:AlternateContent>
      </w:r>
      <w:r>
        <w:rPr>
          <w:noProof/>
        </w:rPr>
        <w:drawing>
          <wp:anchor distT="0" distB="0" distL="114300" distR="114300" simplePos="0" relativeHeight="251678720" behindDoc="0" locked="0" layoutInCell="1" allowOverlap="1" wp14:anchorId="32BCE505" wp14:editId="7E9A9388">
            <wp:simplePos x="0" y="0"/>
            <wp:positionH relativeFrom="column">
              <wp:posOffset>-127083</wp:posOffset>
            </wp:positionH>
            <wp:positionV relativeFrom="paragraph">
              <wp:posOffset>2083905</wp:posOffset>
            </wp:positionV>
            <wp:extent cx="4205605" cy="2105025"/>
            <wp:effectExtent l="0" t="0" r="444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560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45281" w14:textId="3A9128C4" w:rsidR="00F71009" w:rsidRDefault="00E40B9F" w:rsidP="00F71009">
      <w:pPr>
        <w:pStyle w:val="Heading5"/>
        <w:numPr>
          <w:ilvl w:val="2"/>
          <w:numId w:val="1"/>
        </w:numPr>
      </w:pPr>
      <w:r>
        <w:lastRenderedPageBreak/>
        <w:t>Constant variance across residuals</w:t>
      </w:r>
    </w:p>
    <w:p w14:paraId="6C85AFED" w14:textId="687C292C" w:rsidR="00376F4E" w:rsidRDefault="00EF0068" w:rsidP="00CD6469">
      <w:pPr>
        <w:ind w:firstLine="360"/>
        <w:jc w:val="both"/>
      </w:pPr>
      <w:r w:rsidRPr="00EF0068">
        <w:t xml:space="preserve">The third assumption of a linear model is that the residuals exhibit a consistent variance across all fitted values in the model -- in other words, that there is no discernible bias of the variance across residuals. We can evaluate this assumption by plotting either the raw residuals or the square root of the residuals versus the fitted values using the </w:t>
      </w:r>
      <w:proofErr w:type="gramStart"/>
      <w:r w:rsidRPr="00CA247C">
        <w:rPr>
          <w:rFonts w:ascii="Courier New" w:hAnsi="Courier New" w:cs="Courier New"/>
        </w:rPr>
        <w:t>ggfortify::</w:t>
      </w:r>
      <w:proofErr w:type="gramEnd"/>
      <w:r w:rsidRPr="00CA247C">
        <w:rPr>
          <w:rFonts w:ascii="Courier New" w:hAnsi="Courier New" w:cs="Courier New"/>
        </w:rPr>
        <w:t>autoplot</w:t>
      </w:r>
      <w:r w:rsidRPr="00EF0068">
        <w:t xml:space="preserve"> function, </w:t>
      </w:r>
      <w:r w:rsidR="00CC33EC">
        <w:t xml:space="preserve">comparing </w:t>
      </w:r>
      <w:r w:rsidR="00CC33EC">
        <w:rPr>
          <w:b/>
          <w:bCs/>
        </w:rPr>
        <w:t xml:space="preserve">Model 2 </w:t>
      </w:r>
      <w:r w:rsidR="00CC33EC">
        <w:t xml:space="preserve">with </w:t>
      </w:r>
      <w:r w:rsidR="00CC33EC">
        <w:rPr>
          <w:b/>
          <w:bCs/>
        </w:rPr>
        <w:t>Model 3</w:t>
      </w:r>
      <w:r w:rsidR="00F16578">
        <w:t xml:space="preserve"> (</w:t>
      </w:r>
      <w:r w:rsidR="00F16578">
        <w:rPr>
          <w:b/>
          <w:bCs/>
        </w:rPr>
        <w:t>Figure 8</w:t>
      </w:r>
      <w:r w:rsidR="00F16578">
        <w:t>).</w:t>
      </w:r>
      <w:r w:rsidR="00E06191">
        <w:t xml:space="preserve"> </w:t>
      </w:r>
      <w:r w:rsidR="00E06191" w:rsidRPr="00E06191">
        <w:t xml:space="preserve">For a linear model with constant variance across the fitted outcome variable values, we would expect to see a flat blue line in </w:t>
      </w:r>
      <w:r w:rsidR="00205C1E">
        <w:t>all four of these plots</w:t>
      </w:r>
      <w:r w:rsidR="00C45ED1">
        <w:t xml:space="preserve"> and no clear trend in residuals based on fitted values. However, the upper two plots (</w:t>
      </w:r>
      <w:r w:rsidR="00C45ED1" w:rsidRPr="000C5864">
        <w:rPr>
          <w:b/>
          <w:bCs/>
        </w:rPr>
        <w:t>Figure 8A-B</w:t>
      </w:r>
      <w:r w:rsidR="00C45ED1">
        <w:t xml:space="preserve">) </w:t>
      </w:r>
      <w:r w:rsidR="00E14D94">
        <w:t xml:space="preserve">show a </w:t>
      </w:r>
      <w:r w:rsidR="00EA450A">
        <w:t>funnelling</w:t>
      </w:r>
      <w:r w:rsidR="00E14D94">
        <w:t xml:space="preserve"> effect in which the residuals fan out as the fitted values increase, indicating there is heteroscedasticity present in </w:t>
      </w:r>
      <w:r w:rsidR="00E14D94">
        <w:rPr>
          <w:b/>
          <w:bCs/>
        </w:rPr>
        <w:t>Model 2</w:t>
      </w:r>
      <w:r w:rsidR="00E14D94">
        <w:t>.</w:t>
      </w:r>
      <w:r w:rsidR="00977EF5">
        <w:t xml:space="preserve"> </w:t>
      </w:r>
      <w:r w:rsidR="00BE4FE7">
        <w:t xml:space="preserve">I applied the </w:t>
      </w:r>
      <w:r w:rsidR="00E161DE">
        <w:t>Breusch</w:t>
      </w:r>
      <w:r w:rsidR="00BE4FE7">
        <w:t xml:space="preserve">-Pagan test to </w:t>
      </w:r>
      <w:r w:rsidR="00BE4FE7">
        <w:rPr>
          <w:b/>
          <w:bCs/>
        </w:rPr>
        <w:t>Model 2</w:t>
      </w:r>
      <w:r w:rsidR="00977EF5">
        <w:t xml:space="preserve">, which </w:t>
      </w:r>
      <w:r w:rsidR="00BE4FE7">
        <w:t xml:space="preserve">returned p&lt;0.0001, supporting the conclusion that there </w:t>
      </w:r>
      <w:r w:rsidR="00E161DE">
        <w:t>is heteroscedasticity present in this model.</w:t>
      </w:r>
      <w:r w:rsidR="00B1620B">
        <w:t xml:space="preserve"> </w:t>
      </w:r>
    </w:p>
    <w:p w14:paraId="7D073457" w14:textId="2B41542C" w:rsidR="004C5F03" w:rsidRDefault="00797ABB" w:rsidP="00CD6469">
      <w:pPr>
        <w:ind w:firstLine="360"/>
        <w:jc w:val="both"/>
      </w:pPr>
      <w:r>
        <w:t xml:space="preserve">While heteroscedasticity does not appear to be an issue for </w:t>
      </w:r>
      <w:r>
        <w:rPr>
          <w:b/>
          <w:bCs/>
        </w:rPr>
        <w:t>Model 3</w:t>
      </w:r>
      <w:r>
        <w:t xml:space="preserve"> (</w:t>
      </w:r>
      <w:r>
        <w:rPr>
          <w:b/>
          <w:bCs/>
        </w:rPr>
        <w:t>Figure 8C-D</w:t>
      </w:r>
      <w:r>
        <w:t xml:space="preserve">), </w:t>
      </w:r>
      <w:r w:rsidR="00376F4E">
        <w:t xml:space="preserve">the Breusch-Pagan test still returned p&lt;0.01. As heteroscedasticity is an issue for linear models – particularly in </w:t>
      </w:r>
      <w:r w:rsidR="00DB3022">
        <w:t xml:space="preserve">estimating standard errors </w:t>
      </w:r>
      <w:r w:rsidR="005D7ADA">
        <w:t>–</w:t>
      </w:r>
      <w:r w:rsidR="00DB3022">
        <w:t xml:space="preserve"> </w:t>
      </w:r>
      <w:r w:rsidR="005D7ADA">
        <w:t xml:space="preserve">I opted to calculate </w:t>
      </w:r>
      <w:r w:rsidR="005D7ADA" w:rsidRPr="005D7ADA">
        <w:t>robust standard errors using a heteroscedasticity-robust estimator</w:t>
      </w:r>
      <w:r w:rsidR="00D96D0A">
        <w:fldChar w:fldCharType="begin"/>
      </w:r>
      <w:r w:rsidR="00BA4E59">
        <w:instrText xml:space="preserve"> ADDIN ZOTERO_ITEM CSL_CITATION {"citationID":"iuu5l8ZO","properties":{"formattedCitation":"\\super 11\\uc0\\u8211{}13\\nosupersub{}","plainCitation":"11–13","noteIndex":0},"citationItems":[{"id":1061,"uris":["http://zotero.org/users/local/xTg0WhcH/items/I2YXIGEM"],"itemData":{"id":1061,"type":"article-journal","abstract":"This paper presents a parameter covariance matrix estimator which is consistent even when the disturbances of a linear regression model are heteroskedastic. This estimator does not depend on a formal model of the structure of the heteroskedasticity. By comparing the elements of the new estimator to those of the usual covariance estimator, one obtains a direct test for heteroskedasticity, since in the absence of heteroskedasticity, the two estimators will be approximately equal, but will generally diverge otherwise. The test has an appealing least squares interpretation.","container-title":"Econometrica","DOI":"10.2307/1912934","ISSN":"0012-9682","issue":"4","note":"publisher: [Wiley, Econometric Society]","page":"817-838","source":"JSTOR","title":"A Heteroskedasticity-Consistent Covariance Matrix Estimator and a Direct Test for Heteroskedasticity","volume":"48","author":[{"family":"White","given":"Halbert"}],"issued":{"date-parts":[["1980"]]}}},{"id":1062,"uris":["http://zotero.org/users/local/xTg0WhcH/items/MZDUUM6S"],"itemData":{"id":1062,"type":"paper-conference","container-title":"Proceedings of the Fifth Berkeley Symposium on Mathematical Statistics and Probability","title":"Limit theorems for regressions with unequal and dependent errors","URL":"https://projecteuclid.org/proceedings/berkeley-symposium-on-mathematical-statistics-and-probability/Proceedings-of-the-Fifth-Berkeley-Symposium-on-Mathematical-Statistics-and/Chapter/Limit-theorems-for-regressions-with-unequal-and-dependent-errors/bsmsp/1200512981","author":[{"family":"Eicker","given":"Friedhelm"}],"accessed":{"date-parts":[["2022",5,22]]},"issued":{"date-parts":[["1967"]]}}},{"id":1064,"uris":["http://zotero.org/users/local/xTg0WhcH/items/WJW6H6PM"],"itemData":{"id":1064,"type":"article-journal","abstract":"Berkeley Symposium on Mathematical Statistics and Probability","container-title":"Proceedings of the Fifth Berkeley Symposium on Mathematical Statistics and Probability, Volume 1: Statistics","note":"publisher: University of California Press","page":"221-234","source":"projecteuclid.org","title":"The behavior of maximum likelihood estimates under nonstandard conditions","volume":"5.1","author":[{"family":"Huber","given":"Peter J."}],"issued":{"date-parts":[["1967",1,1]]}}}],"schema":"https://github.com/citation-style-language/schema/raw/master/csl-citation.json"} </w:instrText>
      </w:r>
      <w:r w:rsidR="00D96D0A">
        <w:fldChar w:fldCharType="separate"/>
      </w:r>
      <w:r w:rsidR="00BA4E59" w:rsidRPr="00BA4E59">
        <w:rPr>
          <w:rFonts w:ascii="Calibri" w:hAnsi="Calibri" w:cs="Calibri"/>
          <w:szCs w:val="24"/>
          <w:vertAlign w:val="superscript"/>
        </w:rPr>
        <w:t>11–13</w:t>
      </w:r>
      <w:r w:rsidR="00D96D0A">
        <w:fldChar w:fldCharType="end"/>
      </w:r>
      <w:r w:rsidR="00637F3D">
        <w:t xml:space="preserve">. </w:t>
      </w:r>
      <w:r w:rsidR="00637F3D" w:rsidRPr="00637F3D">
        <w:t>With this method, standard errors are calculated with the sandwich estimator of variance and are valid even in the presence of heteroscedasticity -- and are often larger than conventionally estimated standard errors.</w:t>
      </w:r>
      <w:r w:rsidR="00A9241E">
        <w:t xml:space="preserve"> I implemented such an estimator using the “</w:t>
      </w:r>
      <w:r w:rsidR="00A9241E" w:rsidRPr="004765C9">
        <w:rPr>
          <w:rFonts w:ascii="Courier New" w:hAnsi="Courier New" w:cs="Courier New"/>
        </w:rPr>
        <w:t>sandwich</w:t>
      </w:r>
      <w:r w:rsidR="00A9241E">
        <w:t>” package in R</w:t>
      </w:r>
      <w:r w:rsidR="00755D9A">
        <w:fldChar w:fldCharType="begin"/>
      </w:r>
      <w:r w:rsidR="00755D9A">
        <w:instrText xml:space="preserve"> ADDIN ZOTERO_ITEM CSL_CITATION {"citationID":"SLY6InGM","properties":{"formattedCitation":"\\super 14,15\\nosupersub{}","plainCitation":"14,15","noteIndex":0},"citationItems":[{"id":1067,"uris":["http://zotero.org/users/local/xTg0WhcH/items/VGZ8NECC"],"itemData":{"id":1067,"type":"article-journal","abstract":"Data described by econometric models typically contains autocorrelation and/or heteroskedasticity of unknown form and for inference in such models it is essential to use covariance matrix estimators that can consistently estimate the covariance of the model parameters. Hence, suitable heteroskedasticity consistent (HC) and heteroskedasticity and autocorrelation consistent (HAC) estimators have been receiving attention in the econometric literature over the last 20 years. To apply these estimators in practice, an implementation is needed that preferably translates the conceptual properties of the underlying theoretical frameworks into computational tools. In this paper, such an implementation in the package sandwich in the R system for statistical computing is described and it is shown how the suggested functions provide reusable components that build on readily existing functionality and how they can be integrated easily into new inferential procedures or applications. The toolbox contained in sandwich is extremely flexible and comprehensive, including specific functions for the most important HC and HAC estimators from the econometric literature. Several real-world data sets are used to illustrate how the functionality can be integrated into applications.","container-title":"Journal of Statistical Software","DOI":"10.18637/jss.v011.i10","ISSN":"1548-7660","language":"en","page":"1-17","source":"www.jstatsoft.org","title":"Econometric Computing with HC and HAC Covariance Matrix Estimators","volume":"11","author":[{"family":"Zeileis","given":"Achim"}],"issued":{"date-parts":[["2004",11,29]]}}},{"id":1066,"uris":["http://zotero.org/users/local/xTg0WhcH/items/MEYN4BJF"],"itemData":{"id":1066,"type":"article-journal","abstract":"Clustered covariances or clustered standard errors are very widely used to account for correlated or clustered data, especially in economics, political sciences, and other social sciences. They are employed to adjust the inference following estimation of a standard least-squares regression or generalized linear model estimated by maximum likelihood. Although many publications just refer to \"the\" clustered standard errors, there is a surprisingly wide variety of clustered covariances, particularly due to different flavors of bias corrections. Furthermore, while the linear regression model is certainly the most important application case, the same strategies can be employed in more general models (e.g., for zero-inflated, censored, or limited responses). In R, functions for covariances in clustered or panel models have been somewhat scattered or available only for certain modeling functions, notably the (generalized) linear regression model. In contrast, an object-oriented approach to \"robust\" covariance matrix estimation  -  applicable beyond lm() and glm()  -  is available in the sandwich package but has been limited to the case of cross-section or time series data. Starting with sandwich 2.4.0, this shortcoming has been corrected: Based on methods for two generic functions (estfun() and bread()), clustered and panel covariances are provided in vcovCL(), vcovPL(), and vcovPC(). Moreover, clustered bootstrap covariances are provided in vcovBS(), using model update() on bootstrap samples. These are directly applicable to models from packages including MASS, pscl, countreg, and betareg, among many others. Some empirical illustrations are provided as well as an assessment of the methods' performance in a simulation study.","container-title":"Journal of Statistical Software","DOI":"10.18637/jss.v095.i01","ISSN":"1548-7660","language":"en","page":"1-36","source":"www.jstatsoft.org","title":"Various Versatile Variances: An Object-Oriented Implementation of Clustered Covariances in R","title-short":"Various Versatile Variances","volume":"95","author":[{"family":"Zeileis","given":"Achim"},{"family":"Köll","given":"Susanne"},{"family":"Graham","given":"Nathaniel"}],"issued":{"date-parts":[["2020",10,7]]}}}],"schema":"https://github.com/citation-style-language/schema/raw/master/csl-citation.json"} </w:instrText>
      </w:r>
      <w:r w:rsidR="00755D9A">
        <w:fldChar w:fldCharType="separate"/>
      </w:r>
      <w:r w:rsidR="00755D9A" w:rsidRPr="00755D9A">
        <w:rPr>
          <w:rFonts w:ascii="Calibri" w:hAnsi="Calibri" w:cs="Calibri"/>
          <w:szCs w:val="24"/>
          <w:vertAlign w:val="superscript"/>
        </w:rPr>
        <w:t>14,15</w:t>
      </w:r>
      <w:r w:rsidR="00755D9A">
        <w:fldChar w:fldCharType="end"/>
      </w:r>
      <w:r w:rsidR="00A9241E">
        <w:t xml:space="preserve">, and the resulting model will be referred to as </w:t>
      </w:r>
      <w:r w:rsidR="00A9241E">
        <w:rPr>
          <w:b/>
          <w:bCs/>
        </w:rPr>
        <w:t>Model 4</w:t>
      </w:r>
      <w:r w:rsidR="00A9241E">
        <w:t>.</w:t>
      </w:r>
    </w:p>
    <w:p w14:paraId="6C108980" w14:textId="4CF910F8" w:rsidR="00BC6700" w:rsidRDefault="005B4705" w:rsidP="003034B7">
      <w:pPr>
        <w:jc w:val="both"/>
      </w:pPr>
      <w:r>
        <w:rPr>
          <w:noProof/>
        </w:rPr>
        <mc:AlternateContent>
          <mc:Choice Requires="wps">
            <w:drawing>
              <wp:anchor distT="45720" distB="45720" distL="114300" distR="114300" simplePos="0" relativeHeight="251683840" behindDoc="0" locked="0" layoutInCell="1" allowOverlap="1" wp14:anchorId="551A54E7" wp14:editId="6E58C2BC">
                <wp:simplePos x="0" y="0"/>
                <wp:positionH relativeFrom="column">
                  <wp:posOffset>4170680</wp:posOffset>
                </wp:positionH>
                <wp:positionV relativeFrom="paragraph">
                  <wp:posOffset>416560</wp:posOffset>
                </wp:positionV>
                <wp:extent cx="1863725" cy="1223010"/>
                <wp:effectExtent l="0" t="0" r="22225"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725" cy="1223010"/>
                        </a:xfrm>
                        <a:prstGeom prst="rect">
                          <a:avLst/>
                        </a:prstGeom>
                        <a:solidFill>
                          <a:srgbClr val="FFFFFF"/>
                        </a:solidFill>
                        <a:ln w="9525">
                          <a:solidFill>
                            <a:srgbClr val="000000"/>
                          </a:solidFill>
                          <a:miter lim="800000"/>
                          <a:headEnd/>
                          <a:tailEnd/>
                        </a:ln>
                      </wps:spPr>
                      <wps:txbx>
                        <w:txbxContent>
                          <w:p w14:paraId="74A1D35D" w14:textId="77777777" w:rsidR="00114764" w:rsidRDefault="006C17FA" w:rsidP="006C17FA">
                            <w:r w:rsidRPr="001040F7">
                              <w:rPr>
                                <w:b/>
                                <w:bCs/>
                              </w:rPr>
                              <w:t xml:space="preserve">Figure </w:t>
                            </w:r>
                            <w:r w:rsidR="00711322">
                              <w:rPr>
                                <w:b/>
                                <w:bCs/>
                              </w:rPr>
                              <w:t>8</w:t>
                            </w:r>
                            <w:r>
                              <w:t xml:space="preserve">. </w:t>
                            </w:r>
                            <w:r w:rsidR="00711322">
                              <w:t xml:space="preserve">Residuals versus fitted values from </w:t>
                            </w:r>
                            <w:proofErr w:type="gramStart"/>
                            <w:r w:rsidR="00711322" w:rsidRPr="005B4705">
                              <w:rPr>
                                <w:rFonts w:ascii="Courier New" w:hAnsi="Courier New" w:cs="Courier New"/>
                              </w:rPr>
                              <w:t>ggfortify::</w:t>
                            </w:r>
                            <w:proofErr w:type="gramEnd"/>
                            <w:r w:rsidR="00711322" w:rsidRPr="005B4705">
                              <w:rPr>
                                <w:rFonts w:ascii="Courier New" w:hAnsi="Courier New" w:cs="Courier New"/>
                              </w:rPr>
                              <w:t>autoplot</w:t>
                            </w:r>
                            <w:r w:rsidR="00711322">
                              <w:t xml:space="preserve">. </w:t>
                            </w:r>
                          </w:p>
                          <w:p w14:paraId="26D25F7E" w14:textId="79EC2DB1" w:rsidR="006C17FA" w:rsidRPr="00711322" w:rsidRDefault="00711322" w:rsidP="006C17FA">
                            <w:r w:rsidRPr="00711322">
                              <w:rPr>
                                <w:b/>
                                <w:bCs/>
                              </w:rPr>
                              <w:t>8A-B</w:t>
                            </w:r>
                            <w:r>
                              <w:t xml:space="preserve"> are for </w:t>
                            </w:r>
                            <w:r>
                              <w:rPr>
                                <w:b/>
                                <w:bCs/>
                              </w:rPr>
                              <w:t>Model 2</w:t>
                            </w:r>
                            <w:r>
                              <w:t xml:space="preserve">, </w:t>
                            </w:r>
                            <w:r w:rsidRPr="00711322">
                              <w:rPr>
                                <w:b/>
                                <w:bCs/>
                              </w:rPr>
                              <w:t>8C-D</w:t>
                            </w:r>
                            <w:r>
                              <w:t xml:space="preserve"> are for </w:t>
                            </w:r>
                            <w:r>
                              <w:rPr>
                                <w:b/>
                                <w:bCs/>
                              </w:rPr>
                              <w:t>Model 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A54E7" id="_x0000_s1035" type="#_x0000_t202" style="position:absolute;left:0;text-align:left;margin-left:328.4pt;margin-top:32.8pt;width:146.75pt;height:96.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">
                <v:textbox>
                  <w:txbxContent>
                    <w:p w14:paraId="74A1D35D" w14:textId="77777777" w:rsidR="00114764" w:rsidRDefault="006C17FA" w:rsidP="006C17FA">
                      <w:r w:rsidRPr="001040F7">
                        <w:rPr>
                          <w:b/>
                          <w:bCs/>
                        </w:rPr>
                        <w:t xml:space="preserve">Figure </w:t>
                      </w:r>
                      <w:r w:rsidR="00711322">
                        <w:rPr>
                          <w:b/>
                          <w:bCs/>
                        </w:rPr>
                        <w:t>8</w:t>
                      </w:r>
                      <w:r>
                        <w:t xml:space="preserve">. </w:t>
                      </w:r>
                      <w:r w:rsidR="00711322">
                        <w:t xml:space="preserve">Residuals versus fitted values from </w:t>
                      </w:r>
                      <w:proofErr w:type="gramStart"/>
                      <w:r w:rsidR="00711322" w:rsidRPr="005B4705">
                        <w:rPr>
                          <w:rFonts w:ascii="Courier New" w:hAnsi="Courier New" w:cs="Courier New"/>
                        </w:rPr>
                        <w:t>ggfortify::</w:t>
                      </w:r>
                      <w:proofErr w:type="gramEnd"/>
                      <w:r w:rsidR="00711322" w:rsidRPr="005B4705">
                        <w:rPr>
                          <w:rFonts w:ascii="Courier New" w:hAnsi="Courier New" w:cs="Courier New"/>
                        </w:rPr>
                        <w:t>autoplot</w:t>
                      </w:r>
                      <w:r w:rsidR="00711322">
                        <w:t xml:space="preserve">. </w:t>
                      </w:r>
                    </w:p>
                    <w:p w14:paraId="26D25F7E" w14:textId="79EC2DB1" w:rsidR="006C17FA" w:rsidRPr="00711322" w:rsidRDefault="00711322" w:rsidP="006C17FA">
                      <w:r w:rsidRPr="00711322">
                        <w:rPr>
                          <w:b/>
                          <w:bCs/>
                        </w:rPr>
                        <w:t>8A-B</w:t>
                      </w:r>
                      <w:r>
                        <w:t xml:space="preserve"> are for </w:t>
                      </w:r>
                      <w:r>
                        <w:rPr>
                          <w:b/>
                          <w:bCs/>
                        </w:rPr>
                        <w:t>Model 2</w:t>
                      </w:r>
                      <w:r>
                        <w:t xml:space="preserve">, </w:t>
                      </w:r>
                      <w:r w:rsidRPr="00711322">
                        <w:rPr>
                          <w:b/>
                          <w:bCs/>
                        </w:rPr>
                        <w:t>8C-D</w:t>
                      </w:r>
                      <w:r>
                        <w:t xml:space="preserve"> are for </w:t>
                      </w:r>
                      <w:r>
                        <w:rPr>
                          <w:b/>
                          <w:bCs/>
                        </w:rPr>
                        <w:t>Model 3</w:t>
                      </w:r>
                      <w:r>
                        <w:t>.</w:t>
                      </w:r>
                    </w:p>
                  </w:txbxContent>
                </v:textbox>
                <w10:wrap type="square"/>
              </v:shape>
            </w:pict>
          </mc:Fallback>
        </mc:AlternateContent>
      </w:r>
      <w:r w:rsidR="008E05FD">
        <w:rPr>
          <w:noProof/>
        </w:rPr>
        <mc:AlternateContent>
          <mc:Choice Requires="wps">
            <w:drawing>
              <wp:anchor distT="45720" distB="45720" distL="114300" distR="114300" simplePos="0" relativeHeight="251692032" behindDoc="0" locked="0" layoutInCell="1" allowOverlap="1" wp14:anchorId="3B93D9C0" wp14:editId="19DCF741">
                <wp:simplePos x="0" y="0"/>
                <wp:positionH relativeFrom="column">
                  <wp:posOffset>1952196</wp:posOffset>
                </wp:positionH>
                <wp:positionV relativeFrom="paragraph">
                  <wp:posOffset>1860550</wp:posOffset>
                </wp:positionV>
                <wp:extent cx="524786" cy="310101"/>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 cy="310101"/>
                        </a:xfrm>
                        <a:prstGeom prst="rect">
                          <a:avLst/>
                        </a:prstGeom>
                        <a:noFill/>
                        <a:ln w="9525">
                          <a:noFill/>
                          <a:miter lim="800000"/>
                          <a:headEnd/>
                          <a:tailEnd/>
                        </a:ln>
                      </wps:spPr>
                      <wps:txbx>
                        <w:txbxContent>
                          <w:p w14:paraId="077C81BD" w14:textId="75CB01B0" w:rsidR="006C17FA" w:rsidRPr="006C17FA" w:rsidRDefault="006C17FA" w:rsidP="006C17FA">
                            <w:pPr>
                              <w:rPr>
                                <w:b/>
                                <w:bCs/>
                                <w:sz w:val="28"/>
                                <w:szCs w:val="28"/>
                                <w:lang w:val="en-US"/>
                              </w:rPr>
                            </w:pPr>
                            <w:r>
                              <w:rPr>
                                <w:b/>
                                <w:bCs/>
                                <w:sz w:val="28"/>
                                <w:szCs w:val="28"/>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3D9C0" id="_x0000_s1036" type="#_x0000_t202" style="position:absolute;left:0;text-align:left;margin-left:153.7pt;margin-top:146.5pt;width:41.3pt;height:24.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" filled="f" stroked="f">
                <v:textbox>
                  <w:txbxContent>
                    <w:p w14:paraId="077C81BD" w14:textId="75CB01B0" w:rsidR="006C17FA" w:rsidRPr="006C17FA" w:rsidRDefault="006C17FA" w:rsidP="006C17FA">
                      <w:pPr>
                        <w:rPr>
                          <w:b/>
                          <w:bCs/>
                          <w:sz w:val="28"/>
                          <w:szCs w:val="28"/>
                          <w:lang w:val="en-US"/>
                        </w:rPr>
                      </w:pPr>
                      <w:r>
                        <w:rPr>
                          <w:b/>
                          <w:bCs/>
                          <w:sz w:val="28"/>
                          <w:szCs w:val="28"/>
                          <w:lang w:val="en-US"/>
                        </w:rPr>
                        <w:t>D</w:t>
                      </w:r>
                    </w:p>
                  </w:txbxContent>
                </v:textbox>
              </v:shape>
            </w:pict>
          </mc:Fallback>
        </mc:AlternateContent>
      </w:r>
      <w:r w:rsidR="008E05FD">
        <w:rPr>
          <w:noProof/>
        </w:rPr>
        <mc:AlternateContent>
          <mc:Choice Requires="wps">
            <w:drawing>
              <wp:anchor distT="45720" distB="45720" distL="114300" distR="114300" simplePos="0" relativeHeight="251687936" behindDoc="0" locked="0" layoutInCell="1" allowOverlap="1" wp14:anchorId="04A8256A" wp14:editId="0A510222">
                <wp:simplePos x="0" y="0"/>
                <wp:positionH relativeFrom="column">
                  <wp:posOffset>1951817</wp:posOffset>
                </wp:positionH>
                <wp:positionV relativeFrom="paragraph">
                  <wp:posOffset>298005</wp:posOffset>
                </wp:positionV>
                <wp:extent cx="524786" cy="310101"/>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 cy="310101"/>
                        </a:xfrm>
                        <a:prstGeom prst="rect">
                          <a:avLst/>
                        </a:prstGeom>
                        <a:noFill/>
                        <a:ln w="9525">
                          <a:noFill/>
                          <a:miter lim="800000"/>
                          <a:headEnd/>
                          <a:tailEnd/>
                        </a:ln>
                      </wps:spPr>
                      <wps:txbx>
                        <w:txbxContent>
                          <w:p w14:paraId="542C9FD7" w14:textId="3EF75F1E" w:rsidR="006C17FA" w:rsidRPr="006C17FA" w:rsidRDefault="006C17FA" w:rsidP="006C17FA">
                            <w:pPr>
                              <w:rPr>
                                <w:b/>
                                <w:bCs/>
                                <w:sz w:val="28"/>
                                <w:szCs w:val="28"/>
                                <w:lang w:val="en-US"/>
                              </w:rPr>
                            </w:pPr>
                            <w:r>
                              <w:rPr>
                                <w:b/>
                                <w:bCs/>
                                <w:sz w:val="28"/>
                                <w:szCs w:val="28"/>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8256A" id="_x0000_s1037" type="#_x0000_t202" style="position:absolute;left:0;text-align:left;margin-left:153.7pt;margin-top:23.45pt;width:41.3pt;height:24.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" filled="f" stroked="f">
                <v:textbox>
                  <w:txbxContent>
                    <w:p w14:paraId="542C9FD7" w14:textId="3EF75F1E" w:rsidR="006C17FA" w:rsidRPr="006C17FA" w:rsidRDefault="006C17FA" w:rsidP="006C17FA">
                      <w:pPr>
                        <w:rPr>
                          <w:b/>
                          <w:bCs/>
                          <w:sz w:val="28"/>
                          <w:szCs w:val="28"/>
                          <w:lang w:val="en-US"/>
                        </w:rPr>
                      </w:pPr>
                      <w:r>
                        <w:rPr>
                          <w:b/>
                          <w:bCs/>
                          <w:sz w:val="28"/>
                          <w:szCs w:val="28"/>
                          <w:lang w:val="en-US"/>
                        </w:rPr>
                        <w:t>B</w:t>
                      </w:r>
                    </w:p>
                  </w:txbxContent>
                </v:textbox>
              </v:shape>
            </w:pict>
          </mc:Fallback>
        </mc:AlternateContent>
      </w:r>
      <w:r w:rsidR="008E05FD">
        <w:rPr>
          <w:noProof/>
        </w:rPr>
        <mc:AlternateContent>
          <mc:Choice Requires="wps">
            <w:drawing>
              <wp:anchor distT="45720" distB="45720" distL="114300" distR="114300" simplePos="0" relativeHeight="251689984" behindDoc="0" locked="0" layoutInCell="1" allowOverlap="1" wp14:anchorId="5986E094" wp14:editId="63630F37">
                <wp:simplePos x="0" y="0"/>
                <wp:positionH relativeFrom="column">
                  <wp:posOffset>27759</wp:posOffset>
                </wp:positionH>
                <wp:positionV relativeFrom="paragraph">
                  <wp:posOffset>1861820</wp:posOffset>
                </wp:positionV>
                <wp:extent cx="524786" cy="310101"/>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 cy="310101"/>
                        </a:xfrm>
                        <a:prstGeom prst="rect">
                          <a:avLst/>
                        </a:prstGeom>
                        <a:noFill/>
                        <a:ln w="9525">
                          <a:noFill/>
                          <a:miter lim="800000"/>
                          <a:headEnd/>
                          <a:tailEnd/>
                        </a:ln>
                      </wps:spPr>
                      <wps:txbx>
                        <w:txbxContent>
                          <w:p w14:paraId="3308D6A5" w14:textId="1772A705" w:rsidR="006C17FA" w:rsidRPr="006C17FA" w:rsidRDefault="006C17FA" w:rsidP="006C17FA">
                            <w:pPr>
                              <w:rPr>
                                <w:b/>
                                <w:bCs/>
                                <w:sz w:val="28"/>
                                <w:szCs w:val="28"/>
                                <w:lang w:val="en-US"/>
                              </w:rPr>
                            </w:pPr>
                            <w:r>
                              <w:rPr>
                                <w:b/>
                                <w:bCs/>
                                <w:sz w:val="28"/>
                                <w:szCs w:val="28"/>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6E094" id="_x0000_s1038" type="#_x0000_t202" style="position:absolute;left:0;text-align:left;margin-left:2.2pt;margin-top:146.6pt;width:41.3pt;height:24.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" filled="f" stroked="f">
                <v:textbox>
                  <w:txbxContent>
                    <w:p w14:paraId="3308D6A5" w14:textId="1772A705" w:rsidR="006C17FA" w:rsidRPr="006C17FA" w:rsidRDefault="006C17FA" w:rsidP="006C17FA">
                      <w:pPr>
                        <w:rPr>
                          <w:b/>
                          <w:bCs/>
                          <w:sz w:val="28"/>
                          <w:szCs w:val="28"/>
                          <w:lang w:val="en-US"/>
                        </w:rPr>
                      </w:pPr>
                      <w:r>
                        <w:rPr>
                          <w:b/>
                          <w:bCs/>
                          <w:sz w:val="28"/>
                          <w:szCs w:val="28"/>
                          <w:lang w:val="en-US"/>
                        </w:rPr>
                        <w:t>C</w:t>
                      </w:r>
                    </w:p>
                  </w:txbxContent>
                </v:textbox>
              </v:shape>
            </w:pict>
          </mc:Fallback>
        </mc:AlternateContent>
      </w:r>
      <w:r w:rsidR="008E05FD">
        <w:rPr>
          <w:noProof/>
        </w:rPr>
        <mc:AlternateContent>
          <mc:Choice Requires="wps">
            <w:drawing>
              <wp:anchor distT="45720" distB="45720" distL="114300" distR="114300" simplePos="0" relativeHeight="251685888" behindDoc="0" locked="0" layoutInCell="1" allowOverlap="1" wp14:anchorId="368331B3" wp14:editId="1BF0F38C">
                <wp:simplePos x="0" y="0"/>
                <wp:positionH relativeFrom="column">
                  <wp:posOffset>27124</wp:posOffset>
                </wp:positionH>
                <wp:positionV relativeFrom="paragraph">
                  <wp:posOffset>311150</wp:posOffset>
                </wp:positionV>
                <wp:extent cx="524786" cy="310101"/>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 cy="310101"/>
                        </a:xfrm>
                        <a:prstGeom prst="rect">
                          <a:avLst/>
                        </a:prstGeom>
                        <a:noFill/>
                        <a:ln w="9525">
                          <a:noFill/>
                          <a:miter lim="800000"/>
                          <a:headEnd/>
                          <a:tailEnd/>
                        </a:ln>
                      </wps:spPr>
                      <wps:txbx>
                        <w:txbxContent>
                          <w:p w14:paraId="5DCCF789" w14:textId="768E7CA9" w:rsidR="006C17FA" w:rsidRPr="006C17FA" w:rsidRDefault="006C17FA" w:rsidP="006C17FA">
                            <w:pPr>
                              <w:rPr>
                                <w:b/>
                                <w:bCs/>
                                <w:sz w:val="28"/>
                                <w:szCs w:val="28"/>
                                <w:lang w:val="en-US"/>
                              </w:rPr>
                            </w:pPr>
                            <w:r w:rsidRPr="006C17FA">
                              <w:rPr>
                                <w:b/>
                                <w:bCs/>
                                <w:sz w:val="28"/>
                                <w:szCs w:val="28"/>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331B3" id="_x0000_s1039" type="#_x0000_t202" style="position:absolute;left:0;text-align:left;margin-left:2.15pt;margin-top:24.5pt;width:41.3pt;height:24.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" filled="f" stroked="f">
                <v:textbox>
                  <w:txbxContent>
                    <w:p w14:paraId="5DCCF789" w14:textId="768E7CA9" w:rsidR="006C17FA" w:rsidRPr="006C17FA" w:rsidRDefault="006C17FA" w:rsidP="006C17FA">
                      <w:pPr>
                        <w:rPr>
                          <w:b/>
                          <w:bCs/>
                          <w:sz w:val="28"/>
                          <w:szCs w:val="28"/>
                          <w:lang w:val="en-US"/>
                        </w:rPr>
                      </w:pPr>
                      <w:r w:rsidRPr="006C17FA">
                        <w:rPr>
                          <w:b/>
                          <w:bCs/>
                          <w:sz w:val="28"/>
                          <w:szCs w:val="28"/>
                          <w:lang w:val="en-US"/>
                        </w:rPr>
                        <w:t>A</w:t>
                      </w:r>
                    </w:p>
                  </w:txbxContent>
                </v:textbox>
              </v:shape>
            </w:pict>
          </mc:Fallback>
        </mc:AlternateContent>
      </w:r>
      <w:r w:rsidR="00114764">
        <w:rPr>
          <w:noProof/>
        </w:rPr>
        <w:drawing>
          <wp:anchor distT="0" distB="0" distL="114300" distR="114300" simplePos="0" relativeHeight="251681792" behindDoc="0" locked="0" layoutInCell="1" allowOverlap="1" wp14:anchorId="72391E8E" wp14:editId="218B4B97">
            <wp:simplePos x="0" y="0"/>
            <wp:positionH relativeFrom="column">
              <wp:posOffset>-59690</wp:posOffset>
            </wp:positionH>
            <wp:positionV relativeFrom="paragraph">
              <wp:posOffset>360045</wp:posOffset>
            </wp:positionV>
            <wp:extent cx="4089400" cy="3502660"/>
            <wp:effectExtent l="0" t="0" r="635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400" cy="350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D28C4" w14:textId="0DE12438" w:rsidR="00BC6700" w:rsidRPr="00A9241E" w:rsidRDefault="00BC6700" w:rsidP="00CD6469">
      <w:pPr>
        <w:ind w:firstLine="360"/>
        <w:jc w:val="both"/>
      </w:pPr>
    </w:p>
    <w:p w14:paraId="1CD1E848" w14:textId="2C31C788" w:rsidR="0083314C" w:rsidRDefault="0083314C" w:rsidP="0083314C">
      <w:pPr>
        <w:pStyle w:val="Heading5"/>
        <w:numPr>
          <w:ilvl w:val="2"/>
          <w:numId w:val="1"/>
        </w:numPr>
      </w:pPr>
      <w:r>
        <w:t>Independence of observations</w:t>
      </w:r>
    </w:p>
    <w:p w14:paraId="033F4116" w14:textId="36B6F205" w:rsidR="00BD1E9C" w:rsidRPr="00F16578" w:rsidRDefault="00C13404" w:rsidP="00BF7932">
      <w:pPr>
        <w:ind w:firstLine="360"/>
        <w:jc w:val="both"/>
      </w:pPr>
      <w:r w:rsidRPr="00C13404">
        <w:t>The final assumption of a linear model is that the observations are independent.</w:t>
      </w:r>
      <w:r w:rsidR="005D5CA3">
        <w:t xml:space="preserve"> The ADNI dataset examined in this analysis contains N=701 distinct and biologically independent individuals</w:t>
      </w:r>
      <w:r w:rsidR="00BF7932">
        <w:t xml:space="preserve">, and as the </w:t>
      </w:r>
      <w:r w:rsidR="00BF7932">
        <w:lastRenderedPageBreak/>
        <w:t>dataset is not time-series data, there is no concern for temporal autocorrelation. As such, it is safe to assume that all observations in this dataset are independent, thus fulfilling this final assumption.</w:t>
      </w:r>
    </w:p>
    <w:p w14:paraId="4A116666" w14:textId="6F89D8CC" w:rsidR="00976D0B" w:rsidRDefault="00E7621C" w:rsidP="00976D0B">
      <w:pPr>
        <w:pStyle w:val="Heading3"/>
        <w:numPr>
          <w:ilvl w:val="0"/>
          <w:numId w:val="1"/>
        </w:numPr>
        <w:jc w:val="both"/>
      </w:pPr>
      <w:r>
        <w:t>Results</w:t>
      </w:r>
    </w:p>
    <w:tbl>
      <w:tblPr>
        <w:tblStyle w:val="PlainTable1"/>
        <w:tblpPr w:leftFromText="180" w:rightFromText="180" w:vertAnchor="text" w:horzAnchor="margin" w:tblpY="92"/>
        <w:tblW w:w="9510" w:type="dxa"/>
        <w:tblLook w:val="04A0" w:firstRow="1" w:lastRow="0" w:firstColumn="1" w:lastColumn="0" w:noHBand="0" w:noVBand="1"/>
      </w:tblPr>
      <w:tblGrid>
        <w:gridCol w:w="3484"/>
        <w:gridCol w:w="2099"/>
        <w:gridCol w:w="2099"/>
        <w:gridCol w:w="1828"/>
      </w:tblGrid>
      <w:tr w:rsidR="000E2096" w:rsidRPr="003E4929" w14:paraId="37438A95" w14:textId="77777777" w:rsidTr="00B7113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top w:val="single" w:sz="8" w:space="0" w:color="auto"/>
              <w:left w:val="single" w:sz="8" w:space="0" w:color="auto"/>
              <w:bottom w:val="single" w:sz="8" w:space="0" w:color="auto"/>
            </w:tcBorders>
            <w:noWrap/>
            <w:hideMark/>
          </w:tcPr>
          <w:p w14:paraId="13BF0280" w14:textId="77777777" w:rsidR="000E2096" w:rsidRPr="003E4929" w:rsidRDefault="000E2096" w:rsidP="00B71137">
            <w:pPr>
              <w:rPr>
                <w:rFonts w:ascii="Calibri" w:eastAsia="Times New Roman" w:hAnsi="Calibri" w:cs="Calibri"/>
                <w:b w:val="0"/>
                <w:bCs w:val="0"/>
                <w:color w:val="000000"/>
                <w:lang w:eastAsia="en-AU"/>
              </w:rPr>
            </w:pPr>
            <w:r w:rsidRPr="003E4929">
              <w:rPr>
                <w:rFonts w:ascii="Calibri" w:eastAsia="Times New Roman" w:hAnsi="Calibri" w:cs="Calibri"/>
                <w:color w:val="000000"/>
                <w:lang w:eastAsia="en-AU"/>
              </w:rPr>
              <w:t>Term</w:t>
            </w:r>
          </w:p>
        </w:tc>
        <w:tc>
          <w:tcPr>
            <w:tcW w:w="2099" w:type="dxa"/>
            <w:tcBorders>
              <w:top w:val="single" w:sz="8" w:space="0" w:color="auto"/>
              <w:bottom w:val="single" w:sz="8" w:space="0" w:color="auto"/>
            </w:tcBorders>
            <w:noWrap/>
            <w:hideMark/>
          </w:tcPr>
          <w:p w14:paraId="21CFAEDC" w14:textId="77777777" w:rsidR="000E2096" w:rsidRPr="003E4929" w:rsidRDefault="000E2096" w:rsidP="00B711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AU"/>
              </w:rPr>
            </w:pPr>
            <w:r w:rsidRPr="003E4929">
              <w:rPr>
                <w:rFonts w:ascii="Calibri" w:eastAsia="Times New Roman" w:hAnsi="Calibri" w:cs="Calibri"/>
                <w:color w:val="000000"/>
                <w:lang w:eastAsia="en-AU"/>
              </w:rPr>
              <w:t>Model</w:t>
            </w:r>
            <w:r>
              <w:rPr>
                <w:rFonts w:ascii="Calibri" w:eastAsia="Times New Roman" w:hAnsi="Calibri" w:cs="Calibri"/>
                <w:color w:val="000000"/>
                <w:lang w:eastAsia="en-AU"/>
              </w:rPr>
              <w:t xml:space="preserve"> </w:t>
            </w:r>
            <w:r w:rsidRPr="003E4929">
              <w:rPr>
                <w:rFonts w:ascii="Calibri" w:eastAsia="Times New Roman" w:hAnsi="Calibri" w:cs="Calibri"/>
                <w:color w:val="000000"/>
                <w:lang w:eastAsia="en-AU"/>
              </w:rPr>
              <w:t>3</w:t>
            </w:r>
          </w:p>
        </w:tc>
        <w:tc>
          <w:tcPr>
            <w:tcW w:w="2099" w:type="dxa"/>
            <w:tcBorders>
              <w:top w:val="single" w:sz="8" w:space="0" w:color="auto"/>
              <w:bottom w:val="single" w:sz="8" w:space="0" w:color="auto"/>
            </w:tcBorders>
            <w:noWrap/>
            <w:hideMark/>
          </w:tcPr>
          <w:p w14:paraId="3773F6E7" w14:textId="77777777" w:rsidR="000E2096" w:rsidRPr="003E4929" w:rsidRDefault="000E2096" w:rsidP="00B711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AU"/>
              </w:rPr>
            </w:pPr>
            <w:r w:rsidRPr="003E4929">
              <w:rPr>
                <w:rFonts w:ascii="Calibri" w:eastAsia="Times New Roman" w:hAnsi="Calibri" w:cs="Calibri"/>
                <w:color w:val="000000"/>
                <w:lang w:eastAsia="en-AU"/>
              </w:rPr>
              <w:t>Model</w:t>
            </w:r>
            <w:r>
              <w:rPr>
                <w:rFonts w:ascii="Calibri" w:eastAsia="Times New Roman" w:hAnsi="Calibri" w:cs="Calibri"/>
                <w:color w:val="000000"/>
                <w:lang w:eastAsia="en-AU"/>
              </w:rPr>
              <w:t xml:space="preserve"> </w:t>
            </w:r>
            <w:r w:rsidRPr="003E4929">
              <w:rPr>
                <w:rFonts w:ascii="Calibri" w:eastAsia="Times New Roman" w:hAnsi="Calibri" w:cs="Calibri"/>
                <w:color w:val="000000"/>
                <w:lang w:eastAsia="en-AU"/>
              </w:rPr>
              <w:t>4</w:t>
            </w:r>
          </w:p>
        </w:tc>
        <w:tc>
          <w:tcPr>
            <w:tcW w:w="1828" w:type="dxa"/>
            <w:tcBorders>
              <w:top w:val="single" w:sz="8" w:space="0" w:color="auto"/>
              <w:bottom w:val="single" w:sz="8" w:space="0" w:color="auto"/>
              <w:right w:val="single" w:sz="8" w:space="0" w:color="auto"/>
            </w:tcBorders>
            <w:noWrap/>
            <w:hideMark/>
          </w:tcPr>
          <w:p w14:paraId="76D3D29B" w14:textId="77777777" w:rsidR="000E2096" w:rsidRPr="003E4929" w:rsidRDefault="000E2096" w:rsidP="00B711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AU"/>
              </w:rPr>
            </w:pPr>
            <w:r w:rsidRPr="003E4929">
              <w:rPr>
                <w:rFonts w:ascii="Calibri" w:eastAsia="Times New Roman" w:hAnsi="Calibri" w:cs="Calibri"/>
                <w:color w:val="000000"/>
                <w:lang w:eastAsia="en-AU"/>
              </w:rPr>
              <w:t>Model</w:t>
            </w:r>
            <w:r>
              <w:rPr>
                <w:rFonts w:ascii="Calibri" w:eastAsia="Times New Roman" w:hAnsi="Calibri" w:cs="Calibri"/>
                <w:color w:val="000000"/>
                <w:lang w:eastAsia="en-AU"/>
              </w:rPr>
              <w:t xml:space="preserve"> </w:t>
            </w:r>
            <w:r w:rsidRPr="003E4929">
              <w:rPr>
                <w:rFonts w:ascii="Calibri" w:eastAsia="Times New Roman" w:hAnsi="Calibri" w:cs="Calibri"/>
                <w:color w:val="000000"/>
                <w:lang w:eastAsia="en-AU"/>
              </w:rPr>
              <w:t>5</w:t>
            </w:r>
          </w:p>
        </w:tc>
      </w:tr>
      <w:tr w:rsidR="000E2096" w:rsidRPr="003E4929" w14:paraId="589301B4"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top w:val="single" w:sz="8" w:space="0" w:color="auto"/>
              <w:left w:val="single" w:sz="8" w:space="0" w:color="auto"/>
            </w:tcBorders>
            <w:noWrap/>
            <w:hideMark/>
          </w:tcPr>
          <w:p w14:paraId="35283CCA" w14:textId="77777777" w:rsidR="000E2096" w:rsidRPr="00B71137" w:rsidRDefault="000E2096" w:rsidP="00B71137">
            <w:pPr>
              <w:rPr>
                <w:rFonts w:ascii="Calibri" w:eastAsia="Times New Roman" w:hAnsi="Calibri" w:cs="Calibri"/>
                <w:b w:val="0"/>
                <w:bCs w:val="0"/>
                <w:color w:val="000000"/>
                <w:lang w:eastAsia="en-AU"/>
              </w:rPr>
            </w:pPr>
            <w:r w:rsidRPr="00B71137">
              <w:rPr>
                <w:rFonts w:ascii="Calibri" w:eastAsia="Times New Roman" w:hAnsi="Calibri" w:cs="Calibri"/>
                <w:color w:val="000000"/>
                <w:lang w:eastAsia="en-AU"/>
              </w:rPr>
              <w:t>APOE4TRUE</w:t>
            </w:r>
          </w:p>
        </w:tc>
        <w:tc>
          <w:tcPr>
            <w:tcW w:w="2099" w:type="dxa"/>
            <w:tcBorders>
              <w:top w:val="single" w:sz="8" w:space="0" w:color="auto"/>
            </w:tcBorders>
            <w:noWrap/>
            <w:hideMark/>
          </w:tcPr>
          <w:p w14:paraId="63B0CFDF"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0.21*** (0.035)</w:t>
            </w:r>
          </w:p>
        </w:tc>
        <w:tc>
          <w:tcPr>
            <w:tcW w:w="2099" w:type="dxa"/>
            <w:tcBorders>
              <w:top w:val="single" w:sz="8" w:space="0" w:color="auto"/>
            </w:tcBorders>
            <w:noWrap/>
            <w:hideMark/>
          </w:tcPr>
          <w:p w14:paraId="11238A96"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0.21*** (0.037)</w:t>
            </w:r>
          </w:p>
        </w:tc>
        <w:tc>
          <w:tcPr>
            <w:tcW w:w="1828" w:type="dxa"/>
            <w:tcBorders>
              <w:top w:val="single" w:sz="8" w:space="0" w:color="auto"/>
              <w:right w:val="single" w:sz="8" w:space="0" w:color="auto"/>
            </w:tcBorders>
            <w:noWrap/>
            <w:hideMark/>
          </w:tcPr>
          <w:p w14:paraId="1B88578A"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0.205* (0.035)</w:t>
            </w:r>
          </w:p>
        </w:tc>
      </w:tr>
      <w:tr w:rsidR="000E2096" w:rsidRPr="003E4929" w14:paraId="58242710"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1AB5358D" w14:textId="77777777" w:rsidR="000E2096" w:rsidRPr="00B71137" w:rsidRDefault="000E2096" w:rsidP="00B71137">
            <w:pPr>
              <w:rPr>
                <w:rFonts w:ascii="Calibri" w:eastAsia="Times New Roman" w:hAnsi="Calibri" w:cs="Calibri"/>
                <w:b w:val="0"/>
                <w:bCs w:val="0"/>
                <w:color w:val="000000"/>
                <w:lang w:eastAsia="en-AU"/>
              </w:rPr>
            </w:pPr>
            <w:r w:rsidRPr="00B71137">
              <w:rPr>
                <w:rFonts w:ascii="Calibri" w:eastAsia="Times New Roman" w:hAnsi="Calibri" w:cs="Calibri"/>
                <w:color w:val="000000"/>
                <w:lang w:eastAsia="en-AU"/>
              </w:rPr>
              <w:t>ADAS13</w:t>
            </w:r>
          </w:p>
        </w:tc>
        <w:tc>
          <w:tcPr>
            <w:tcW w:w="2099" w:type="dxa"/>
            <w:noWrap/>
            <w:hideMark/>
          </w:tcPr>
          <w:p w14:paraId="34D42FED"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0.103** (0.03)</w:t>
            </w:r>
          </w:p>
        </w:tc>
        <w:tc>
          <w:tcPr>
            <w:tcW w:w="2099" w:type="dxa"/>
            <w:noWrap/>
            <w:hideMark/>
          </w:tcPr>
          <w:p w14:paraId="4B3F586F"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0.103* (0.031)</w:t>
            </w:r>
          </w:p>
        </w:tc>
        <w:tc>
          <w:tcPr>
            <w:tcW w:w="1828" w:type="dxa"/>
            <w:tcBorders>
              <w:right w:val="single" w:sz="8" w:space="0" w:color="auto"/>
            </w:tcBorders>
            <w:noWrap/>
            <w:hideMark/>
          </w:tcPr>
          <w:p w14:paraId="58308326"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0.102* (0.027)</w:t>
            </w:r>
          </w:p>
        </w:tc>
      </w:tr>
      <w:tr w:rsidR="000E2096" w:rsidRPr="003E4929" w14:paraId="20F89F3E"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7DFB7DFB" w14:textId="77777777" w:rsidR="000E2096" w:rsidRPr="00B71137" w:rsidRDefault="000E2096" w:rsidP="00B71137">
            <w:pPr>
              <w:rPr>
                <w:rFonts w:ascii="Calibri" w:eastAsia="Times New Roman" w:hAnsi="Calibri" w:cs="Calibri"/>
                <w:b w:val="0"/>
                <w:bCs w:val="0"/>
                <w:color w:val="000000"/>
                <w:lang w:eastAsia="en-AU"/>
              </w:rPr>
            </w:pPr>
            <w:r w:rsidRPr="00B71137">
              <w:rPr>
                <w:rFonts w:ascii="Calibri" w:eastAsia="Times New Roman" w:hAnsi="Calibri" w:cs="Calibri"/>
                <w:color w:val="000000"/>
                <w:lang w:eastAsia="en-AU"/>
              </w:rPr>
              <w:t>AGE</w:t>
            </w:r>
          </w:p>
        </w:tc>
        <w:tc>
          <w:tcPr>
            <w:tcW w:w="2099" w:type="dxa"/>
            <w:noWrap/>
            <w:hideMark/>
          </w:tcPr>
          <w:p w14:paraId="341CF8FA"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0.097*** (0.019)</w:t>
            </w:r>
          </w:p>
        </w:tc>
        <w:tc>
          <w:tcPr>
            <w:tcW w:w="2099" w:type="dxa"/>
            <w:noWrap/>
            <w:hideMark/>
          </w:tcPr>
          <w:p w14:paraId="56884CC9"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0.097*** (0.02)</w:t>
            </w:r>
          </w:p>
        </w:tc>
        <w:tc>
          <w:tcPr>
            <w:tcW w:w="1828" w:type="dxa"/>
            <w:tcBorders>
              <w:right w:val="single" w:sz="8" w:space="0" w:color="auto"/>
            </w:tcBorders>
            <w:noWrap/>
            <w:hideMark/>
          </w:tcPr>
          <w:p w14:paraId="45F69D2D"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0.095* (0.018)</w:t>
            </w:r>
          </w:p>
        </w:tc>
      </w:tr>
      <w:tr w:rsidR="000E2096" w:rsidRPr="003E4929" w14:paraId="4C6C0CEA"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7D01C378" w14:textId="77777777" w:rsidR="000E2096" w:rsidRPr="00B71137" w:rsidRDefault="000E2096" w:rsidP="00B71137">
            <w:pPr>
              <w:rPr>
                <w:rFonts w:ascii="Calibri" w:eastAsia="Times New Roman" w:hAnsi="Calibri" w:cs="Calibri"/>
                <w:b w:val="0"/>
                <w:bCs w:val="0"/>
                <w:color w:val="000000"/>
                <w:lang w:eastAsia="en-AU"/>
              </w:rPr>
            </w:pPr>
            <w:proofErr w:type="spellStart"/>
            <w:r w:rsidRPr="00B71137">
              <w:rPr>
                <w:rFonts w:ascii="Calibri" w:eastAsia="Times New Roman" w:hAnsi="Calibri" w:cs="Calibri"/>
                <w:color w:val="000000"/>
                <w:lang w:eastAsia="en-AU"/>
              </w:rPr>
              <w:t>PTGENDERFemale</w:t>
            </w:r>
            <w:proofErr w:type="spellEnd"/>
          </w:p>
        </w:tc>
        <w:tc>
          <w:tcPr>
            <w:tcW w:w="2099" w:type="dxa"/>
            <w:noWrap/>
            <w:hideMark/>
          </w:tcPr>
          <w:p w14:paraId="47B4CA67"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0.096* (0.04)</w:t>
            </w:r>
          </w:p>
        </w:tc>
        <w:tc>
          <w:tcPr>
            <w:tcW w:w="2099" w:type="dxa"/>
            <w:noWrap/>
            <w:hideMark/>
          </w:tcPr>
          <w:p w14:paraId="7DC5BC56"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0.096* (0.039)</w:t>
            </w:r>
          </w:p>
        </w:tc>
        <w:tc>
          <w:tcPr>
            <w:tcW w:w="1828" w:type="dxa"/>
            <w:tcBorders>
              <w:right w:val="single" w:sz="8" w:space="0" w:color="auto"/>
            </w:tcBorders>
            <w:noWrap/>
            <w:hideMark/>
          </w:tcPr>
          <w:p w14:paraId="25D7372A"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0.078* (0.037)</w:t>
            </w:r>
          </w:p>
        </w:tc>
      </w:tr>
      <w:tr w:rsidR="000E2096" w:rsidRPr="003E4929" w14:paraId="48C3201A"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683851DC" w14:textId="77777777" w:rsidR="000E2096" w:rsidRPr="00B71137" w:rsidRDefault="000E2096" w:rsidP="00B71137">
            <w:pPr>
              <w:rPr>
                <w:rFonts w:ascii="Calibri" w:eastAsia="Times New Roman" w:hAnsi="Calibri" w:cs="Calibri"/>
                <w:b w:val="0"/>
                <w:bCs w:val="0"/>
                <w:color w:val="000000"/>
                <w:lang w:eastAsia="en-AU"/>
              </w:rPr>
            </w:pPr>
            <w:r w:rsidRPr="00B71137">
              <w:rPr>
                <w:rFonts w:ascii="Calibri" w:eastAsia="Times New Roman" w:hAnsi="Calibri" w:cs="Calibri"/>
                <w:color w:val="000000"/>
                <w:lang w:eastAsia="en-AU"/>
              </w:rPr>
              <w:t>WholeBrain</w:t>
            </w:r>
          </w:p>
        </w:tc>
        <w:tc>
          <w:tcPr>
            <w:tcW w:w="2099" w:type="dxa"/>
            <w:noWrap/>
            <w:hideMark/>
          </w:tcPr>
          <w:p w14:paraId="53A9517E"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0.063* (0.029)</w:t>
            </w:r>
          </w:p>
        </w:tc>
        <w:tc>
          <w:tcPr>
            <w:tcW w:w="2099" w:type="dxa"/>
            <w:noWrap/>
            <w:hideMark/>
          </w:tcPr>
          <w:p w14:paraId="21A8302F"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0.063* (0.029)</w:t>
            </w:r>
          </w:p>
        </w:tc>
        <w:tc>
          <w:tcPr>
            <w:tcW w:w="1828" w:type="dxa"/>
            <w:tcBorders>
              <w:right w:val="single" w:sz="8" w:space="0" w:color="auto"/>
            </w:tcBorders>
            <w:noWrap/>
            <w:hideMark/>
          </w:tcPr>
          <w:p w14:paraId="4C4D33A5"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0.053* (0.022)</w:t>
            </w:r>
          </w:p>
        </w:tc>
      </w:tr>
      <w:tr w:rsidR="000E2096" w:rsidRPr="003E4929" w14:paraId="13B0BA7A"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00B35326" w14:textId="77777777" w:rsidR="000E2096" w:rsidRPr="003769F2" w:rsidRDefault="000E2096" w:rsidP="00B71137">
            <w:pPr>
              <w:rPr>
                <w:rFonts w:ascii="Calibri" w:eastAsia="Times New Roman" w:hAnsi="Calibri" w:cs="Calibri"/>
                <w:b w:val="0"/>
                <w:bCs w:val="0"/>
                <w:color w:val="000000"/>
                <w:lang w:eastAsia="en-AU"/>
              </w:rPr>
            </w:pPr>
            <w:r w:rsidRPr="003769F2">
              <w:rPr>
                <w:rFonts w:ascii="Calibri" w:eastAsia="Times New Roman" w:hAnsi="Calibri" w:cs="Calibri"/>
                <w:b w:val="0"/>
                <w:bCs w:val="0"/>
                <w:color w:val="000000"/>
                <w:lang w:eastAsia="en-AU"/>
              </w:rPr>
              <w:t>Entorhinal</w:t>
            </w:r>
          </w:p>
        </w:tc>
        <w:tc>
          <w:tcPr>
            <w:tcW w:w="2099" w:type="dxa"/>
            <w:noWrap/>
            <w:hideMark/>
          </w:tcPr>
          <w:p w14:paraId="7A899A24"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0.028 (0.023)</w:t>
            </w:r>
          </w:p>
        </w:tc>
        <w:tc>
          <w:tcPr>
            <w:tcW w:w="2099" w:type="dxa"/>
            <w:noWrap/>
            <w:hideMark/>
          </w:tcPr>
          <w:p w14:paraId="0BEB3FE8"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0.028 (0.024)</w:t>
            </w:r>
          </w:p>
        </w:tc>
        <w:tc>
          <w:tcPr>
            <w:tcW w:w="1828" w:type="dxa"/>
            <w:tcBorders>
              <w:right w:val="single" w:sz="8" w:space="0" w:color="auto"/>
            </w:tcBorders>
            <w:noWrap/>
            <w:hideMark/>
          </w:tcPr>
          <w:p w14:paraId="5AFF6ACA"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 </w:t>
            </w:r>
          </w:p>
        </w:tc>
      </w:tr>
      <w:tr w:rsidR="000E2096" w:rsidRPr="003E4929" w14:paraId="072FFA08"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7DEE8DCB" w14:textId="77777777" w:rsidR="000E2096" w:rsidRPr="003769F2" w:rsidRDefault="000E2096" w:rsidP="00B71137">
            <w:pPr>
              <w:rPr>
                <w:rFonts w:ascii="Calibri" w:eastAsia="Times New Roman" w:hAnsi="Calibri" w:cs="Calibri"/>
                <w:b w:val="0"/>
                <w:bCs w:val="0"/>
                <w:color w:val="000000"/>
                <w:lang w:eastAsia="en-AU"/>
              </w:rPr>
            </w:pPr>
            <w:r w:rsidRPr="003769F2">
              <w:rPr>
                <w:rFonts w:ascii="Calibri" w:eastAsia="Times New Roman" w:hAnsi="Calibri" w:cs="Calibri"/>
                <w:b w:val="0"/>
                <w:bCs w:val="0"/>
                <w:color w:val="000000"/>
                <w:lang w:eastAsia="en-AU"/>
              </w:rPr>
              <w:t>Fusiform</w:t>
            </w:r>
          </w:p>
        </w:tc>
        <w:tc>
          <w:tcPr>
            <w:tcW w:w="2099" w:type="dxa"/>
            <w:noWrap/>
            <w:hideMark/>
          </w:tcPr>
          <w:p w14:paraId="43C29CC8"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0.01 (0.025)</w:t>
            </w:r>
          </w:p>
        </w:tc>
        <w:tc>
          <w:tcPr>
            <w:tcW w:w="2099" w:type="dxa"/>
            <w:noWrap/>
            <w:hideMark/>
          </w:tcPr>
          <w:p w14:paraId="1C057E33"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0.01 (0.024)</w:t>
            </w:r>
          </w:p>
        </w:tc>
        <w:tc>
          <w:tcPr>
            <w:tcW w:w="1828" w:type="dxa"/>
            <w:tcBorders>
              <w:right w:val="single" w:sz="8" w:space="0" w:color="auto"/>
            </w:tcBorders>
            <w:noWrap/>
            <w:hideMark/>
          </w:tcPr>
          <w:p w14:paraId="19C72054"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 </w:t>
            </w:r>
          </w:p>
        </w:tc>
      </w:tr>
      <w:tr w:rsidR="000E2096" w:rsidRPr="003E4929" w14:paraId="42AE0B35"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5697AB45" w14:textId="77777777" w:rsidR="000E2096" w:rsidRPr="003769F2" w:rsidRDefault="000E2096" w:rsidP="00B71137">
            <w:pPr>
              <w:rPr>
                <w:rFonts w:ascii="Calibri" w:eastAsia="Times New Roman" w:hAnsi="Calibri" w:cs="Calibri"/>
                <w:b w:val="0"/>
                <w:bCs w:val="0"/>
                <w:color w:val="000000"/>
                <w:lang w:eastAsia="en-AU"/>
              </w:rPr>
            </w:pPr>
            <w:r w:rsidRPr="003769F2">
              <w:rPr>
                <w:rFonts w:ascii="Calibri" w:eastAsia="Times New Roman" w:hAnsi="Calibri" w:cs="Calibri"/>
                <w:b w:val="0"/>
                <w:bCs w:val="0"/>
                <w:color w:val="000000"/>
                <w:lang w:eastAsia="en-AU"/>
              </w:rPr>
              <w:t>PTHIGHEREDTRUE</w:t>
            </w:r>
          </w:p>
        </w:tc>
        <w:tc>
          <w:tcPr>
            <w:tcW w:w="2099" w:type="dxa"/>
            <w:noWrap/>
            <w:hideMark/>
          </w:tcPr>
          <w:p w14:paraId="13924FE9"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0.005 (0.032)</w:t>
            </w:r>
          </w:p>
        </w:tc>
        <w:tc>
          <w:tcPr>
            <w:tcW w:w="2099" w:type="dxa"/>
            <w:noWrap/>
            <w:hideMark/>
          </w:tcPr>
          <w:p w14:paraId="6F1048F3"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0.005 (0.033)</w:t>
            </w:r>
          </w:p>
        </w:tc>
        <w:tc>
          <w:tcPr>
            <w:tcW w:w="1828" w:type="dxa"/>
            <w:tcBorders>
              <w:right w:val="single" w:sz="8" w:space="0" w:color="auto"/>
            </w:tcBorders>
            <w:noWrap/>
            <w:hideMark/>
          </w:tcPr>
          <w:p w14:paraId="5ECB9207"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 </w:t>
            </w:r>
          </w:p>
        </w:tc>
      </w:tr>
      <w:tr w:rsidR="000E2096" w:rsidRPr="003E4929" w14:paraId="5889083C"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29F0C2FA" w14:textId="77777777" w:rsidR="000E2096" w:rsidRPr="003769F2" w:rsidRDefault="000E2096" w:rsidP="00B71137">
            <w:pPr>
              <w:rPr>
                <w:rFonts w:ascii="Calibri" w:eastAsia="Times New Roman" w:hAnsi="Calibri" w:cs="Calibri"/>
                <w:b w:val="0"/>
                <w:bCs w:val="0"/>
                <w:color w:val="000000"/>
                <w:lang w:eastAsia="en-AU"/>
              </w:rPr>
            </w:pPr>
            <w:proofErr w:type="spellStart"/>
            <w:r w:rsidRPr="003769F2">
              <w:rPr>
                <w:rFonts w:ascii="Calibri" w:eastAsia="Times New Roman" w:hAnsi="Calibri" w:cs="Calibri"/>
                <w:b w:val="0"/>
                <w:bCs w:val="0"/>
                <w:color w:val="000000"/>
                <w:lang w:eastAsia="en-AU"/>
              </w:rPr>
              <w:t>PTMARRYNever</w:t>
            </w:r>
            <w:proofErr w:type="spellEnd"/>
            <w:r w:rsidRPr="003769F2">
              <w:rPr>
                <w:rFonts w:ascii="Calibri" w:eastAsia="Times New Roman" w:hAnsi="Calibri" w:cs="Calibri"/>
                <w:b w:val="0"/>
                <w:bCs w:val="0"/>
                <w:color w:val="000000"/>
                <w:lang w:eastAsia="en-AU"/>
              </w:rPr>
              <w:t xml:space="preserve"> married</w:t>
            </w:r>
          </w:p>
        </w:tc>
        <w:tc>
          <w:tcPr>
            <w:tcW w:w="2099" w:type="dxa"/>
            <w:noWrap/>
            <w:hideMark/>
          </w:tcPr>
          <w:p w14:paraId="1474B8AE"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0.001 (0.087)</w:t>
            </w:r>
          </w:p>
        </w:tc>
        <w:tc>
          <w:tcPr>
            <w:tcW w:w="2099" w:type="dxa"/>
            <w:noWrap/>
            <w:hideMark/>
          </w:tcPr>
          <w:p w14:paraId="5CDDA61A"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0.001 (0.092)</w:t>
            </w:r>
          </w:p>
        </w:tc>
        <w:tc>
          <w:tcPr>
            <w:tcW w:w="1828" w:type="dxa"/>
            <w:tcBorders>
              <w:right w:val="single" w:sz="8" w:space="0" w:color="auto"/>
            </w:tcBorders>
            <w:noWrap/>
            <w:hideMark/>
          </w:tcPr>
          <w:p w14:paraId="3E3A2ACE"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 </w:t>
            </w:r>
          </w:p>
        </w:tc>
      </w:tr>
      <w:tr w:rsidR="000E2096" w:rsidRPr="003E4929" w14:paraId="6B26613A"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1C0DD91D" w14:textId="77777777" w:rsidR="000E2096" w:rsidRPr="003769F2" w:rsidRDefault="000E2096" w:rsidP="00B71137">
            <w:pPr>
              <w:rPr>
                <w:rFonts w:ascii="Calibri" w:eastAsia="Times New Roman" w:hAnsi="Calibri" w:cs="Calibri"/>
                <w:b w:val="0"/>
                <w:bCs w:val="0"/>
                <w:color w:val="000000"/>
                <w:lang w:eastAsia="en-AU"/>
              </w:rPr>
            </w:pPr>
            <w:r w:rsidRPr="003769F2">
              <w:rPr>
                <w:rFonts w:ascii="Calibri" w:eastAsia="Times New Roman" w:hAnsi="Calibri" w:cs="Calibri"/>
                <w:b w:val="0"/>
                <w:bCs w:val="0"/>
                <w:color w:val="000000"/>
                <w:lang w:eastAsia="en-AU"/>
              </w:rPr>
              <w:t>CDRSB</w:t>
            </w:r>
          </w:p>
        </w:tc>
        <w:tc>
          <w:tcPr>
            <w:tcW w:w="2099" w:type="dxa"/>
            <w:noWrap/>
            <w:hideMark/>
          </w:tcPr>
          <w:p w14:paraId="5A4EF5EA"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-0.004 (0.026)</w:t>
            </w:r>
          </w:p>
        </w:tc>
        <w:tc>
          <w:tcPr>
            <w:tcW w:w="2099" w:type="dxa"/>
            <w:noWrap/>
            <w:hideMark/>
          </w:tcPr>
          <w:p w14:paraId="223CFDAF"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-0.004 (0.03)</w:t>
            </w:r>
          </w:p>
        </w:tc>
        <w:tc>
          <w:tcPr>
            <w:tcW w:w="1828" w:type="dxa"/>
            <w:tcBorders>
              <w:right w:val="single" w:sz="8" w:space="0" w:color="auto"/>
            </w:tcBorders>
            <w:noWrap/>
            <w:hideMark/>
          </w:tcPr>
          <w:p w14:paraId="18DCD6BA"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 </w:t>
            </w:r>
          </w:p>
        </w:tc>
      </w:tr>
      <w:tr w:rsidR="000E2096" w:rsidRPr="003E4929" w14:paraId="7262EFAF"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3A6CEF19" w14:textId="77777777" w:rsidR="000E2096" w:rsidRPr="003769F2" w:rsidRDefault="000E2096" w:rsidP="00B71137">
            <w:pPr>
              <w:rPr>
                <w:rFonts w:ascii="Calibri" w:eastAsia="Times New Roman" w:hAnsi="Calibri" w:cs="Calibri"/>
                <w:b w:val="0"/>
                <w:bCs w:val="0"/>
                <w:color w:val="000000"/>
                <w:lang w:eastAsia="en-AU"/>
              </w:rPr>
            </w:pPr>
            <w:proofErr w:type="spellStart"/>
            <w:r w:rsidRPr="003769F2">
              <w:rPr>
                <w:rFonts w:ascii="Calibri" w:eastAsia="Times New Roman" w:hAnsi="Calibri" w:cs="Calibri"/>
                <w:b w:val="0"/>
                <w:bCs w:val="0"/>
                <w:color w:val="000000"/>
                <w:lang w:eastAsia="en-AU"/>
              </w:rPr>
              <w:t>PTMARRYWidowed</w:t>
            </w:r>
            <w:proofErr w:type="spellEnd"/>
          </w:p>
        </w:tc>
        <w:tc>
          <w:tcPr>
            <w:tcW w:w="2099" w:type="dxa"/>
            <w:noWrap/>
            <w:hideMark/>
          </w:tcPr>
          <w:p w14:paraId="001D63D5"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-0.034 (0.055)</w:t>
            </w:r>
          </w:p>
        </w:tc>
        <w:tc>
          <w:tcPr>
            <w:tcW w:w="2099" w:type="dxa"/>
            <w:noWrap/>
            <w:hideMark/>
          </w:tcPr>
          <w:p w14:paraId="028B9C61"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-0.034 (0.058)</w:t>
            </w:r>
          </w:p>
        </w:tc>
        <w:tc>
          <w:tcPr>
            <w:tcW w:w="1828" w:type="dxa"/>
            <w:tcBorders>
              <w:right w:val="single" w:sz="8" w:space="0" w:color="auto"/>
            </w:tcBorders>
            <w:noWrap/>
            <w:hideMark/>
          </w:tcPr>
          <w:p w14:paraId="40FAD8FB"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 </w:t>
            </w:r>
          </w:p>
        </w:tc>
      </w:tr>
      <w:tr w:rsidR="000E2096" w:rsidRPr="003E4929" w14:paraId="33C2600D"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5891F6AC" w14:textId="77777777" w:rsidR="000E2096" w:rsidRPr="003769F2" w:rsidRDefault="000E2096" w:rsidP="00B71137">
            <w:pPr>
              <w:rPr>
                <w:rFonts w:ascii="Calibri" w:eastAsia="Times New Roman" w:hAnsi="Calibri" w:cs="Calibri"/>
                <w:b w:val="0"/>
                <w:bCs w:val="0"/>
                <w:color w:val="000000"/>
                <w:lang w:eastAsia="en-AU"/>
              </w:rPr>
            </w:pPr>
            <w:proofErr w:type="spellStart"/>
            <w:r w:rsidRPr="003769F2">
              <w:rPr>
                <w:rFonts w:ascii="Calibri" w:eastAsia="Times New Roman" w:hAnsi="Calibri" w:cs="Calibri"/>
                <w:b w:val="0"/>
                <w:bCs w:val="0"/>
                <w:color w:val="000000"/>
                <w:lang w:eastAsia="en-AU"/>
              </w:rPr>
              <w:t>MidTemp</w:t>
            </w:r>
            <w:proofErr w:type="spellEnd"/>
          </w:p>
        </w:tc>
        <w:tc>
          <w:tcPr>
            <w:tcW w:w="2099" w:type="dxa"/>
            <w:noWrap/>
            <w:hideMark/>
          </w:tcPr>
          <w:p w14:paraId="72B1061D"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-0.035 (0.027)</w:t>
            </w:r>
          </w:p>
        </w:tc>
        <w:tc>
          <w:tcPr>
            <w:tcW w:w="2099" w:type="dxa"/>
            <w:noWrap/>
            <w:hideMark/>
          </w:tcPr>
          <w:p w14:paraId="0C447A61"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-0.035 (0.027)</w:t>
            </w:r>
          </w:p>
        </w:tc>
        <w:tc>
          <w:tcPr>
            <w:tcW w:w="1828" w:type="dxa"/>
            <w:tcBorders>
              <w:right w:val="single" w:sz="8" w:space="0" w:color="auto"/>
            </w:tcBorders>
            <w:noWrap/>
            <w:hideMark/>
          </w:tcPr>
          <w:p w14:paraId="3A1787D2"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 </w:t>
            </w:r>
          </w:p>
        </w:tc>
      </w:tr>
      <w:tr w:rsidR="000E2096" w:rsidRPr="003E4929" w14:paraId="39B299E9"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42EBA79E" w14:textId="77777777" w:rsidR="000E2096" w:rsidRPr="00B71137" w:rsidRDefault="000E2096" w:rsidP="00B71137">
            <w:pPr>
              <w:rPr>
                <w:rFonts w:ascii="Calibri" w:eastAsia="Times New Roman" w:hAnsi="Calibri" w:cs="Calibri"/>
                <w:b w:val="0"/>
                <w:bCs w:val="0"/>
                <w:color w:val="000000"/>
                <w:lang w:eastAsia="en-AU"/>
              </w:rPr>
            </w:pPr>
            <w:r w:rsidRPr="00B71137">
              <w:rPr>
                <w:rFonts w:ascii="Calibri" w:eastAsia="Times New Roman" w:hAnsi="Calibri" w:cs="Calibri"/>
                <w:color w:val="000000"/>
                <w:lang w:eastAsia="en-AU"/>
              </w:rPr>
              <w:t>FDG</w:t>
            </w:r>
          </w:p>
        </w:tc>
        <w:tc>
          <w:tcPr>
            <w:tcW w:w="2099" w:type="dxa"/>
            <w:noWrap/>
            <w:hideMark/>
          </w:tcPr>
          <w:p w14:paraId="658A2A85"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-0.045* (0.022)</w:t>
            </w:r>
          </w:p>
        </w:tc>
        <w:tc>
          <w:tcPr>
            <w:tcW w:w="2099" w:type="dxa"/>
            <w:noWrap/>
            <w:hideMark/>
          </w:tcPr>
          <w:p w14:paraId="008E0D28"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-0.045* (0.022)</w:t>
            </w:r>
          </w:p>
        </w:tc>
        <w:tc>
          <w:tcPr>
            <w:tcW w:w="1828" w:type="dxa"/>
            <w:tcBorders>
              <w:right w:val="single" w:sz="8" w:space="0" w:color="auto"/>
            </w:tcBorders>
            <w:noWrap/>
            <w:hideMark/>
          </w:tcPr>
          <w:p w14:paraId="649B6D07"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-0.05* (0.021)</w:t>
            </w:r>
          </w:p>
        </w:tc>
      </w:tr>
      <w:tr w:rsidR="000E2096" w:rsidRPr="003E4929" w14:paraId="674D1737"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13C741F6" w14:textId="77777777" w:rsidR="000E2096" w:rsidRPr="00B71137" w:rsidRDefault="000E2096" w:rsidP="00B71137">
            <w:pPr>
              <w:rPr>
                <w:rFonts w:ascii="Calibri" w:eastAsia="Times New Roman" w:hAnsi="Calibri" w:cs="Calibri"/>
                <w:color w:val="000000"/>
                <w:lang w:eastAsia="en-AU"/>
              </w:rPr>
            </w:pPr>
            <w:r w:rsidRPr="00B71137">
              <w:rPr>
                <w:rFonts w:ascii="Calibri" w:eastAsia="Times New Roman" w:hAnsi="Calibri" w:cs="Calibri"/>
                <w:color w:val="000000"/>
                <w:lang w:eastAsia="en-AU"/>
              </w:rPr>
              <w:t>Hippocampus</w:t>
            </w:r>
          </w:p>
        </w:tc>
        <w:tc>
          <w:tcPr>
            <w:tcW w:w="2099" w:type="dxa"/>
            <w:noWrap/>
            <w:hideMark/>
          </w:tcPr>
          <w:p w14:paraId="5E3A2453"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-0.045 (0.026)</w:t>
            </w:r>
          </w:p>
        </w:tc>
        <w:tc>
          <w:tcPr>
            <w:tcW w:w="2099" w:type="dxa"/>
            <w:noWrap/>
            <w:hideMark/>
          </w:tcPr>
          <w:p w14:paraId="77907990"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-0.045 (0.027)</w:t>
            </w:r>
          </w:p>
        </w:tc>
        <w:tc>
          <w:tcPr>
            <w:tcW w:w="1828" w:type="dxa"/>
            <w:tcBorders>
              <w:right w:val="single" w:sz="8" w:space="0" w:color="auto"/>
            </w:tcBorders>
            <w:noWrap/>
            <w:hideMark/>
          </w:tcPr>
          <w:p w14:paraId="7C947B5A"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-0.039* (0.023)</w:t>
            </w:r>
          </w:p>
        </w:tc>
      </w:tr>
      <w:tr w:rsidR="000E2096" w:rsidRPr="003E4929" w14:paraId="60BF3620"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13808C00" w14:textId="77777777" w:rsidR="000E2096" w:rsidRPr="00B71137" w:rsidRDefault="000E2096" w:rsidP="00B71137">
            <w:pPr>
              <w:rPr>
                <w:rFonts w:ascii="Calibri" w:eastAsia="Times New Roman" w:hAnsi="Calibri" w:cs="Calibri"/>
                <w:b w:val="0"/>
                <w:bCs w:val="0"/>
                <w:color w:val="000000"/>
                <w:lang w:eastAsia="en-AU"/>
              </w:rPr>
            </w:pPr>
            <w:r w:rsidRPr="00B71137">
              <w:rPr>
                <w:rFonts w:ascii="Calibri" w:eastAsia="Times New Roman" w:hAnsi="Calibri" w:cs="Calibri"/>
                <w:color w:val="000000"/>
                <w:lang w:eastAsia="en-AU"/>
              </w:rPr>
              <w:t>ABETA</w:t>
            </w:r>
          </w:p>
        </w:tc>
        <w:tc>
          <w:tcPr>
            <w:tcW w:w="2099" w:type="dxa"/>
            <w:noWrap/>
            <w:hideMark/>
          </w:tcPr>
          <w:p w14:paraId="45878882"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-0.074*** (0.019)</w:t>
            </w:r>
          </w:p>
        </w:tc>
        <w:tc>
          <w:tcPr>
            <w:tcW w:w="2099" w:type="dxa"/>
            <w:noWrap/>
            <w:hideMark/>
          </w:tcPr>
          <w:p w14:paraId="7B8CB904"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-0.074*** (0.017)</w:t>
            </w:r>
          </w:p>
        </w:tc>
        <w:tc>
          <w:tcPr>
            <w:tcW w:w="1828" w:type="dxa"/>
            <w:tcBorders>
              <w:right w:val="single" w:sz="8" w:space="0" w:color="auto"/>
            </w:tcBorders>
            <w:noWrap/>
            <w:hideMark/>
          </w:tcPr>
          <w:p w14:paraId="60A2CDD4"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-0.075* (0.019)</w:t>
            </w:r>
          </w:p>
        </w:tc>
      </w:tr>
      <w:tr w:rsidR="000E2096" w:rsidRPr="003E4929" w14:paraId="570574F4"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228C49FC" w14:textId="77777777" w:rsidR="000E2096" w:rsidRPr="00B71137" w:rsidRDefault="000E2096" w:rsidP="00B71137">
            <w:pPr>
              <w:rPr>
                <w:rFonts w:ascii="Calibri" w:eastAsia="Times New Roman" w:hAnsi="Calibri" w:cs="Calibri"/>
                <w:b w:val="0"/>
                <w:bCs w:val="0"/>
                <w:color w:val="000000"/>
                <w:lang w:eastAsia="en-AU"/>
              </w:rPr>
            </w:pPr>
            <w:r w:rsidRPr="00B71137">
              <w:rPr>
                <w:rFonts w:ascii="Calibri" w:eastAsia="Times New Roman" w:hAnsi="Calibri" w:cs="Calibri"/>
                <w:color w:val="000000"/>
                <w:lang w:eastAsia="en-AU"/>
              </w:rPr>
              <w:t>MMSE</w:t>
            </w:r>
          </w:p>
        </w:tc>
        <w:tc>
          <w:tcPr>
            <w:tcW w:w="2099" w:type="dxa"/>
            <w:noWrap/>
            <w:hideMark/>
          </w:tcPr>
          <w:p w14:paraId="7AFF12A6"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-0.075* (0.026)</w:t>
            </w:r>
          </w:p>
        </w:tc>
        <w:tc>
          <w:tcPr>
            <w:tcW w:w="2099" w:type="dxa"/>
            <w:noWrap/>
            <w:hideMark/>
          </w:tcPr>
          <w:p w14:paraId="267B5CCC"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-0.075* (0.028)</w:t>
            </w:r>
          </w:p>
        </w:tc>
        <w:tc>
          <w:tcPr>
            <w:tcW w:w="1828" w:type="dxa"/>
            <w:tcBorders>
              <w:right w:val="single" w:sz="8" w:space="0" w:color="auto"/>
            </w:tcBorders>
            <w:noWrap/>
            <w:hideMark/>
          </w:tcPr>
          <w:p w14:paraId="65A3C690"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-0.07* (0.024)</w:t>
            </w:r>
          </w:p>
        </w:tc>
      </w:tr>
      <w:tr w:rsidR="000E2096" w:rsidRPr="003E4929" w14:paraId="02B96B25"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07648B09" w14:textId="77777777" w:rsidR="000E2096" w:rsidRPr="003769F2" w:rsidRDefault="000E2096" w:rsidP="00B71137">
            <w:pPr>
              <w:rPr>
                <w:rFonts w:ascii="Calibri" w:eastAsia="Times New Roman" w:hAnsi="Calibri" w:cs="Calibri"/>
                <w:b w:val="0"/>
                <w:bCs w:val="0"/>
                <w:color w:val="000000"/>
                <w:lang w:eastAsia="en-AU"/>
              </w:rPr>
            </w:pPr>
            <w:proofErr w:type="spellStart"/>
            <w:r w:rsidRPr="003769F2">
              <w:rPr>
                <w:rFonts w:ascii="Calibri" w:eastAsia="Times New Roman" w:hAnsi="Calibri" w:cs="Calibri"/>
                <w:b w:val="0"/>
                <w:bCs w:val="0"/>
                <w:color w:val="000000"/>
                <w:lang w:eastAsia="en-AU"/>
              </w:rPr>
              <w:t>PTMARRYDivorced</w:t>
            </w:r>
            <w:proofErr w:type="spellEnd"/>
          </w:p>
        </w:tc>
        <w:tc>
          <w:tcPr>
            <w:tcW w:w="2099" w:type="dxa"/>
            <w:noWrap/>
            <w:hideMark/>
          </w:tcPr>
          <w:p w14:paraId="37369C4E"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-0.082 (0.06)</w:t>
            </w:r>
          </w:p>
        </w:tc>
        <w:tc>
          <w:tcPr>
            <w:tcW w:w="2099" w:type="dxa"/>
            <w:noWrap/>
            <w:hideMark/>
          </w:tcPr>
          <w:p w14:paraId="4517337A"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-0.082 (0.059)</w:t>
            </w:r>
          </w:p>
        </w:tc>
        <w:tc>
          <w:tcPr>
            <w:tcW w:w="1828" w:type="dxa"/>
            <w:tcBorders>
              <w:right w:val="single" w:sz="8" w:space="0" w:color="auto"/>
            </w:tcBorders>
            <w:noWrap/>
            <w:hideMark/>
          </w:tcPr>
          <w:p w14:paraId="261EB2AD"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 </w:t>
            </w:r>
          </w:p>
        </w:tc>
      </w:tr>
      <w:tr w:rsidR="000E2096" w:rsidRPr="003E4929" w14:paraId="2A4C2D4D"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1E502B2F" w14:textId="77777777" w:rsidR="000E2096" w:rsidRPr="003769F2" w:rsidRDefault="000E2096" w:rsidP="00B71137">
            <w:pPr>
              <w:rPr>
                <w:rFonts w:ascii="Calibri" w:eastAsia="Times New Roman" w:hAnsi="Calibri" w:cs="Calibri"/>
                <w:b w:val="0"/>
                <w:bCs w:val="0"/>
                <w:color w:val="000000"/>
                <w:lang w:eastAsia="en-AU"/>
              </w:rPr>
            </w:pPr>
            <w:proofErr w:type="spellStart"/>
            <w:r w:rsidRPr="003769F2">
              <w:rPr>
                <w:rFonts w:ascii="Calibri" w:eastAsia="Times New Roman" w:hAnsi="Calibri" w:cs="Calibri"/>
                <w:b w:val="0"/>
                <w:bCs w:val="0"/>
                <w:color w:val="000000"/>
                <w:lang w:eastAsia="en-AU"/>
              </w:rPr>
              <w:t>PTRACCATAsian</w:t>
            </w:r>
            <w:proofErr w:type="spellEnd"/>
          </w:p>
        </w:tc>
        <w:tc>
          <w:tcPr>
            <w:tcW w:w="2099" w:type="dxa"/>
            <w:noWrap/>
            <w:hideMark/>
          </w:tcPr>
          <w:p w14:paraId="04955B29"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-0.135 (0.146)</w:t>
            </w:r>
          </w:p>
        </w:tc>
        <w:tc>
          <w:tcPr>
            <w:tcW w:w="2099" w:type="dxa"/>
            <w:noWrap/>
            <w:hideMark/>
          </w:tcPr>
          <w:p w14:paraId="70D6D709"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-0.135 (0.231)</w:t>
            </w:r>
          </w:p>
        </w:tc>
        <w:tc>
          <w:tcPr>
            <w:tcW w:w="1828" w:type="dxa"/>
            <w:tcBorders>
              <w:right w:val="single" w:sz="8" w:space="0" w:color="auto"/>
            </w:tcBorders>
            <w:noWrap/>
            <w:hideMark/>
          </w:tcPr>
          <w:p w14:paraId="7D045560"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-0.135 (0.145)</w:t>
            </w:r>
          </w:p>
        </w:tc>
      </w:tr>
      <w:tr w:rsidR="000E2096" w:rsidRPr="003E4929" w14:paraId="6EBF0F54"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4772AC54" w14:textId="77777777" w:rsidR="000E2096" w:rsidRPr="003769F2" w:rsidRDefault="000E2096" w:rsidP="00B71137">
            <w:pPr>
              <w:rPr>
                <w:rFonts w:ascii="Calibri" w:eastAsia="Times New Roman" w:hAnsi="Calibri" w:cs="Calibri"/>
                <w:b w:val="0"/>
                <w:bCs w:val="0"/>
                <w:color w:val="000000"/>
                <w:lang w:eastAsia="en-AU"/>
              </w:rPr>
            </w:pPr>
            <w:proofErr w:type="spellStart"/>
            <w:r w:rsidRPr="003769F2">
              <w:rPr>
                <w:rFonts w:ascii="Calibri" w:eastAsia="Times New Roman" w:hAnsi="Calibri" w:cs="Calibri"/>
                <w:b w:val="0"/>
                <w:bCs w:val="0"/>
                <w:color w:val="000000"/>
                <w:lang w:eastAsia="en-AU"/>
              </w:rPr>
              <w:t>PTRACCATBlack</w:t>
            </w:r>
            <w:proofErr w:type="spellEnd"/>
          </w:p>
        </w:tc>
        <w:tc>
          <w:tcPr>
            <w:tcW w:w="2099" w:type="dxa"/>
            <w:noWrap/>
            <w:hideMark/>
          </w:tcPr>
          <w:p w14:paraId="1549E5B0"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-0.146 (0.093)</w:t>
            </w:r>
          </w:p>
        </w:tc>
        <w:tc>
          <w:tcPr>
            <w:tcW w:w="2099" w:type="dxa"/>
            <w:noWrap/>
            <w:hideMark/>
          </w:tcPr>
          <w:p w14:paraId="4EFD5C3D"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-0.146 (0.101)</w:t>
            </w:r>
          </w:p>
        </w:tc>
        <w:tc>
          <w:tcPr>
            <w:tcW w:w="1828" w:type="dxa"/>
            <w:tcBorders>
              <w:right w:val="single" w:sz="8" w:space="0" w:color="auto"/>
            </w:tcBorders>
            <w:noWrap/>
            <w:hideMark/>
          </w:tcPr>
          <w:p w14:paraId="68C87F0D"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-0.142 (0.091)</w:t>
            </w:r>
          </w:p>
        </w:tc>
      </w:tr>
      <w:tr w:rsidR="000E2096" w:rsidRPr="003E4929" w14:paraId="6FEAADCB"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32BC0227" w14:textId="77777777" w:rsidR="000E2096" w:rsidRPr="00B71137" w:rsidRDefault="000E2096" w:rsidP="00B71137">
            <w:pPr>
              <w:rPr>
                <w:rFonts w:ascii="Calibri" w:eastAsia="Times New Roman" w:hAnsi="Calibri" w:cs="Calibri"/>
                <w:b w:val="0"/>
                <w:bCs w:val="0"/>
                <w:color w:val="000000"/>
                <w:lang w:eastAsia="en-AU"/>
              </w:rPr>
            </w:pPr>
            <w:r w:rsidRPr="00B71137">
              <w:rPr>
                <w:rFonts w:ascii="Calibri" w:eastAsia="Times New Roman" w:hAnsi="Calibri" w:cs="Calibri"/>
                <w:color w:val="000000"/>
                <w:lang w:eastAsia="en-AU"/>
              </w:rPr>
              <w:t>Ventricles</w:t>
            </w:r>
          </w:p>
        </w:tc>
        <w:tc>
          <w:tcPr>
            <w:tcW w:w="2099" w:type="dxa"/>
            <w:noWrap/>
            <w:hideMark/>
          </w:tcPr>
          <w:p w14:paraId="71AB56BA"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-0.174*** (0.019)</w:t>
            </w:r>
          </w:p>
        </w:tc>
        <w:tc>
          <w:tcPr>
            <w:tcW w:w="2099" w:type="dxa"/>
            <w:noWrap/>
            <w:hideMark/>
          </w:tcPr>
          <w:p w14:paraId="552AFF20"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-0.174*** (0.02)</w:t>
            </w:r>
          </w:p>
        </w:tc>
        <w:tc>
          <w:tcPr>
            <w:tcW w:w="1828" w:type="dxa"/>
            <w:tcBorders>
              <w:right w:val="single" w:sz="8" w:space="0" w:color="auto"/>
            </w:tcBorders>
            <w:noWrap/>
            <w:hideMark/>
          </w:tcPr>
          <w:p w14:paraId="6D8A5BA5"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-0.176* (0.019)</w:t>
            </w:r>
          </w:p>
        </w:tc>
      </w:tr>
      <w:tr w:rsidR="000E2096" w:rsidRPr="003E4929" w14:paraId="5855F259"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191A3178" w14:textId="77777777" w:rsidR="000E2096" w:rsidRPr="00B71137" w:rsidRDefault="000E2096" w:rsidP="00B71137">
            <w:pPr>
              <w:rPr>
                <w:rFonts w:ascii="Calibri" w:eastAsia="Times New Roman" w:hAnsi="Calibri" w:cs="Calibri"/>
                <w:b w:val="0"/>
                <w:bCs w:val="0"/>
                <w:color w:val="000000"/>
                <w:lang w:eastAsia="en-AU"/>
              </w:rPr>
            </w:pPr>
            <w:proofErr w:type="spellStart"/>
            <w:r w:rsidRPr="00B71137">
              <w:rPr>
                <w:rFonts w:ascii="Calibri" w:eastAsia="Times New Roman" w:hAnsi="Calibri" w:cs="Calibri"/>
                <w:color w:val="000000"/>
                <w:lang w:eastAsia="en-AU"/>
              </w:rPr>
              <w:t>PTRACCATMore</w:t>
            </w:r>
            <w:proofErr w:type="spellEnd"/>
            <w:r w:rsidRPr="00B71137">
              <w:rPr>
                <w:rFonts w:ascii="Calibri" w:eastAsia="Times New Roman" w:hAnsi="Calibri" w:cs="Calibri"/>
                <w:color w:val="000000"/>
                <w:lang w:eastAsia="en-AU"/>
              </w:rPr>
              <w:t xml:space="preserve"> than one</w:t>
            </w:r>
          </w:p>
        </w:tc>
        <w:tc>
          <w:tcPr>
            <w:tcW w:w="2099" w:type="dxa"/>
            <w:noWrap/>
            <w:hideMark/>
          </w:tcPr>
          <w:p w14:paraId="1CE891A7"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-0.274* (0.138)</w:t>
            </w:r>
          </w:p>
        </w:tc>
        <w:tc>
          <w:tcPr>
            <w:tcW w:w="2099" w:type="dxa"/>
            <w:noWrap/>
            <w:hideMark/>
          </w:tcPr>
          <w:p w14:paraId="21286AF8"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-0.274* (0.1)</w:t>
            </w:r>
          </w:p>
        </w:tc>
        <w:tc>
          <w:tcPr>
            <w:tcW w:w="1828" w:type="dxa"/>
            <w:tcBorders>
              <w:right w:val="single" w:sz="8" w:space="0" w:color="auto"/>
            </w:tcBorders>
            <w:noWrap/>
            <w:hideMark/>
          </w:tcPr>
          <w:p w14:paraId="269C6185"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-0.275 (0.137)</w:t>
            </w:r>
          </w:p>
        </w:tc>
      </w:tr>
      <w:tr w:rsidR="000E2096" w:rsidRPr="003E4929" w14:paraId="5A41554D"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tcBorders>
            <w:noWrap/>
            <w:hideMark/>
          </w:tcPr>
          <w:p w14:paraId="743F21A9" w14:textId="77777777" w:rsidR="000E2096" w:rsidRPr="003769F2" w:rsidRDefault="000E2096" w:rsidP="00B71137">
            <w:pPr>
              <w:rPr>
                <w:rFonts w:ascii="Calibri" w:eastAsia="Times New Roman" w:hAnsi="Calibri" w:cs="Calibri"/>
                <w:b w:val="0"/>
                <w:bCs w:val="0"/>
                <w:color w:val="000000"/>
                <w:lang w:eastAsia="en-AU"/>
              </w:rPr>
            </w:pPr>
            <w:proofErr w:type="spellStart"/>
            <w:r w:rsidRPr="003769F2">
              <w:rPr>
                <w:rFonts w:ascii="Calibri" w:eastAsia="Times New Roman" w:hAnsi="Calibri" w:cs="Calibri"/>
                <w:b w:val="0"/>
                <w:bCs w:val="0"/>
                <w:color w:val="000000"/>
                <w:lang w:eastAsia="en-AU"/>
              </w:rPr>
              <w:t>PTRACCATAm</w:t>
            </w:r>
            <w:proofErr w:type="spellEnd"/>
            <w:r w:rsidRPr="003769F2">
              <w:rPr>
                <w:rFonts w:ascii="Calibri" w:eastAsia="Times New Roman" w:hAnsi="Calibri" w:cs="Calibri"/>
                <w:b w:val="0"/>
                <w:bCs w:val="0"/>
                <w:color w:val="000000"/>
                <w:lang w:eastAsia="en-AU"/>
              </w:rPr>
              <w:t xml:space="preserve"> Indian/Alaskan</w:t>
            </w:r>
          </w:p>
        </w:tc>
        <w:tc>
          <w:tcPr>
            <w:tcW w:w="2099" w:type="dxa"/>
            <w:noWrap/>
            <w:hideMark/>
          </w:tcPr>
          <w:p w14:paraId="34FB4EBA"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-0.374 (0.292)</w:t>
            </w:r>
          </w:p>
        </w:tc>
        <w:tc>
          <w:tcPr>
            <w:tcW w:w="2099" w:type="dxa"/>
            <w:noWrap/>
            <w:hideMark/>
          </w:tcPr>
          <w:p w14:paraId="2807F2A3"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-0.374 (0.218)</w:t>
            </w:r>
          </w:p>
        </w:tc>
        <w:tc>
          <w:tcPr>
            <w:tcW w:w="1828" w:type="dxa"/>
            <w:tcBorders>
              <w:right w:val="single" w:sz="8" w:space="0" w:color="auto"/>
            </w:tcBorders>
            <w:noWrap/>
            <w:hideMark/>
          </w:tcPr>
          <w:p w14:paraId="53F4327A" w14:textId="77777777" w:rsidR="000E2096" w:rsidRPr="00B71137" w:rsidRDefault="000E2096" w:rsidP="00B711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-0.376 (0.289)</w:t>
            </w:r>
          </w:p>
        </w:tc>
      </w:tr>
      <w:tr w:rsidR="000E2096" w:rsidRPr="003E4929" w14:paraId="0D57758D"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bottom w:val="single" w:sz="8" w:space="0" w:color="auto"/>
            </w:tcBorders>
            <w:noWrap/>
            <w:hideMark/>
          </w:tcPr>
          <w:p w14:paraId="177242CB" w14:textId="77777777" w:rsidR="000E2096" w:rsidRPr="00B71137" w:rsidRDefault="000E2096" w:rsidP="00B71137">
            <w:pPr>
              <w:rPr>
                <w:rFonts w:ascii="Calibri" w:eastAsia="Times New Roman" w:hAnsi="Calibri" w:cs="Calibri"/>
                <w:b w:val="0"/>
                <w:bCs w:val="0"/>
                <w:color w:val="000000"/>
                <w:lang w:eastAsia="en-AU"/>
              </w:rPr>
            </w:pPr>
            <w:proofErr w:type="spellStart"/>
            <w:r w:rsidRPr="00B71137">
              <w:rPr>
                <w:rFonts w:ascii="Calibri" w:eastAsia="Times New Roman" w:hAnsi="Calibri" w:cs="Calibri"/>
                <w:color w:val="000000"/>
                <w:lang w:eastAsia="en-AU"/>
              </w:rPr>
              <w:t>PTRACCATHawaiian</w:t>
            </w:r>
            <w:proofErr w:type="spellEnd"/>
            <w:r w:rsidRPr="00B71137">
              <w:rPr>
                <w:rFonts w:ascii="Calibri" w:eastAsia="Times New Roman" w:hAnsi="Calibri" w:cs="Calibri"/>
                <w:color w:val="000000"/>
                <w:lang w:eastAsia="en-AU"/>
              </w:rPr>
              <w:t>/Other PI</w:t>
            </w:r>
          </w:p>
        </w:tc>
        <w:tc>
          <w:tcPr>
            <w:tcW w:w="2099" w:type="dxa"/>
            <w:tcBorders>
              <w:bottom w:val="single" w:sz="8" w:space="0" w:color="auto"/>
            </w:tcBorders>
            <w:noWrap/>
            <w:hideMark/>
          </w:tcPr>
          <w:p w14:paraId="157914BB"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-0.418 (0.292)</w:t>
            </w:r>
          </w:p>
        </w:tc>
        <w:tc>
          <w:tcPr>
            <w:tcW w:w="2099" w:type="dxa"/>
            <w:tcBorders>
              <w:bottom w:val="single" w:sz="8" w:space="0" w:color="auto"/>
            </w:tcBorders>
            <w:noWrap/>
            <w:hideMark/>
          </w:tcPr>
          <w:p w14:paraId="611CF923"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AU"/>
              </w:rPr>
            </w:pPr>
            <w:r w:rsidRPr="00B71137">
              <w:rPr>
                <w:rFonts w:ascii="Calibri" w:eastAsia="Times New Roman" w:hAnsi="Calibri" w:cs="Calibri"/>
                <w:b/>
                <w:bCs/>
                <w:color w:val="000000"/>
                <w:lang w:eastAsia="en-AU"/>
              </w:rPr>
              <w:t>-0.418*** (0.059)</w:t>
            </w:r>
          </w:p>
        </w:tc>
        <w:tc>
          <w:tcPr>
            <w:tcW w:w="1828" w:type="dxa"/>
            <w:tcBorders>
              <w:bottom w:val="single" w:sz="8" w:space="0" w:color="auto"/>
              <w:right w:val="single" w:sz="8" w:space="0" w:color="auto"/>
            </w:tcBorders>
            <w:noWrap/>
            <w:hideMark/>
          </w:tcPr>
          <w:p w14:paraId="2F8E9E30" w14:textId="77777777" w:rsidR="000E2096" w:rsidRPr="00B71137" w:rsidRDefault="000E2096" w:rsidP="00B711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-0.406 (0.288)</w:t>
            </w:r>
          </w:p>
        </w:tc>
      </w:tr>
      <w:tr w:rsidR="000E2096" w:rsidRPr="003E4929" w14:paraId="6F13B12E" w14:textId="77777777" w:rsidTr="00B71137">
        <w:trPr>
          <w:trHeight w:val="288"/>
        </w:trPr>
        <w:tc>
          <w:tcPr>
            <w:cnfStyle w:val="001000000000" w:firstRow="0" w:lastRow="0" w:firstColumn="1" w:lastColumn="0" w:oddVBand="0" w:evenVBand="0" w:oddHBand="0" w:evenHBand="0" w:firstRowFirstColumn="0" w:firstRowLastColumn="0" w:lastRowFirstColumn="0" w:lastRowLastColumn="0"/>
            <w:tcW w:w="3484" w:type="dxa"/>
            <w:tcBorders>
              <w:top w:val="single" w:sz="8" w:space="0" w:color="auto"/>
              <w:left w:val="single" w:sz="8" w:space="0" w:color="auto"/>
            </w:tcBorders>
            <w:noWrap/>
            <w:hideMark/>
          </w:tcPr>
          <w:p w14:paraId="6F455B17" w14:textId="77777777" w:rsidR="000E2096" w:rsidRPr="00B71137" w:rsidRDefault="000E2096" w:rsidP="00B71137">
            <w:pPr>
              <w:rPr>
                <w:rFonts w:ascii="Calibri" w:eastAsia="Times New Roman" w:hAnsi="Calibri" w:cs="Calibri"/>
                <w:color w:val="000000"/>
                <w:lang w:eastAsia="en-AU"/>
              </w:rPr>
            </w:pPr>
            <w:r w:rsidRPr="00B71137">
              <w:rPr>
                <w:rFonts w:ascii="Calibri" w:eastAsia="Times New Roman" w:hAnsi="Calibri" w:cs="Calibri"/>
                <w:color w:val="000000"/>
                <w:lang w:eastAsia="en-AU"/>
              </w:rPr>
              <w:t>R</w:t>
            </w:r>
            <w:r w:rsidRPr="00B71137">
              <w:rPr>
                <w:rFonts w:ascii="Calibri" w:eastAsia="Times New Roman" w:hAnsi="Calibri" w:cs="Calibri"/>
                <w:color w:val="000000"/>
                <w:vertAlign w:val="superscript"/>
                <w:lang w:eastAsia="en-AU"/>
              </w:rPr>
              <w:t>2</w:t>
            </w:r>
          </w:p>
        </w:tc>
        <w:tc>
          <w:tcPr>
            <w:tcW w:w="2099" w:type="dxa"/>
            <w:tcBorders>
              <w:top w:val="single" w:sz="8" w:space="0" w:color="auto"/>
            </w:tcBorders>
            <w:noWrap/>
            <w:hideMark/>
          </w:tcPr>
          <w:p w14:paraId="52C47C63" w14:textId="77777777" w:rsidR="000E2096" w:rsidRPr="00B71137" w:rsidRDefault="000E2096" w:rsidP="00B711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0.3870</w:t>
            </w:r>
          </w:p>
        </w:tc>
        <w:tc>
          <w:tcPr>
            <w:tcW w:w="2099" w:type="dxa"/>
            <w:tcBorders>
              <w:top w:val="single" w:sz="8" w:space="0" w:color="auto"/>
            </w:tcBorders>
            <w:noWrap/>
            <w:hideMark/>
          </w:tcPr>
          <w:p w14:paraId="56E4C5B1" w14:textId="77777777" w:rsidR="000E2096" w:rsidRPr="00B71137" w:rsidRDefault="000E2096" w:rsidP="00B711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0.3870</w:t>
            </w:r>
          </w:p>
        </w:tc>
        <w:tc>
          <w:tcPr>
            <w:tcW w:w="1828" w:type="dxa"/>
            <w:tcBorders>
              <w:top w:val="single" w:sz="8" w:space="0" w:color="auto"/>
              <w:right w:val="single" w:sz="8" w:space="0" w:color="auto"/>
            </w:tcBorders>
            <w:noWrap/>
            <w:hideMark/>
          </w:tcPr>
          <w:p w14:paraId="21810E70" w14:textId="77777777" w:rsidR="000E2096" w:rsidRPr="00B71137" w:rsidRDefault="000E2096" w:rsidP="00B711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0.3820</w:t>
            </w:r>
          </w:p>
        </w:tc>
      </w:tr>
      <w:tr w:rsidR="000E2096" w:rsidRPr="003E4929" w14:paraId="29BD5128" w14:textId="77777777" w:rsidTr="00B711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4" w:type="dxa"/>
            <w:tcBorders>
              <w:left w:val="single" w:sz="8" w:space="0" w:color="auto"/>
              <w:bottom w:val="single" w:sz="8" w:space="0" w:color="auto"/>
            </w:tcBorders>
            <w:noWrap/>
            <w:hideMark/>
          </w:tcPr>
          <w:p w14:paraId="61813163" w14:textId="77777777" w:rsidR="000E2096" w:rsidRPr="00B71137" w:rsidRDefault="000E2096" w:rsidP="00B71137">
            <w:pPr>
              <w:rPr>
                <w:rFonts w:ascii="Calibri" w:eastAsia="Times New Roman" w:hAnsi="Calibri" w:cs="Calibri"/>
                <w:color w:val="000000"/>
                <w:lang w:eastAsia="en-AU"/>
              </w:rPr>
            </w:pPr>
            <w:r w:rsidRPr="00B71137">
              <w:rPr>
                <w:rFonts w:ascii="Calibri" w:eastAsia="Times New Roman" w:hAnsi="Calibri" w:cs="Calibri"/>
                <w:color w:val="000000"/>
                <w:lang w:eastAsia="en-AU"/>
              </w:rPr>
              <w:t>Adjusted R</w:t>
            </w:r>
            <w:r w:rsidRPr="00B71137">
              <w:rPr>
                <w:rFonts w:ascii="Calibri" w:eastAsia="Times New Roman" w:hAnsi="Calibri" w:cs="Calibri"/>
                <w:color w:val="000000"/>
                <w:vertAlign w:val="superscript"/>
                <w:lang w:eastAsia="en-AU"/>
              </w:rPr>
              <w:t>2</w:t>
            </w:r>
          </w:p>
        </w:tc>
        <w:tc>
          <w:tcPr>
            <w:tcW w:w="2099" w:type="dxa"/>
            <w:tcBorders>
              <w:bottom w:val="single" w:sz="8" w:space="0" w:color="auto"/>
            </w:tcBorders>
            <w:noWrap/>
            <w:hideMark/>
          </w:tcPr>
          <w:p w14:paraId="34509096" w14:textId="77777777" w:rsidR="000E2096" w:rsidRPr="00B71137" w:rsidRDefault="000E2096" w:rsidP="00B7113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0.3662</w:t>
            </w:r>
          </w:p>
        </w:tc>
        <w:tc>
          <w:tcPr>
            <w:tcW w:w="2099" w:type="dxa"/>
            <w:tcBorders>
              <w:bottom w:val="single" w:sz="8" w:space="0" w:color="auto"/>
            </w:tcBorders>
            <w:noWrap/>
            <w:hideMark/>
          </w:tcPr>
          <w:p w14:paraId="11C79A5E" w14:textId="77777777" w:rsidR="000E2096" w:rsidRPr="00B71137" w:rsidRDefault="000E2096" w:rsidP="00B7113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0.3662</w:t>
            </w:r>
          </w:p>
        </w:tc>
        <w:tc>
          <w:tcPr>
            <w:tcW w:w="1828" w:type="dxa"/>
            <w:tcBorders>
              <w:bottom w:val="single" w:sz="8" w:space="0" w:color="auto"/>
              <w:right w:val="single" w:sz="8" w:space="0" w:color="auto"/>
            </w:tcBorders>
            <w:noWrap/>
            <w:hideMark/>
          </w:tcPr>
          <w:p w14:paraId="3179D3C1" w14:textId="77777777" w:rsidR="000E2096" w:rsidRPr="00B71137" w:rsidRDefault="000E2096" w:rsidP="00B7113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71137">
              <w:rPr>
                <w:rFonts w:ascii="Calibri" w:eastAsia="Times New Roman" w:hAnsi="Calibri" w:cs="Calibri"/>
                <w:color w:val="000000"/>
                <w:lang w:eastAsia="en-AU"/>
              </w:rPr>
              <w:t>0.3685</w:t>
            </w:r>
          </w:p>
        </w:tc>
      </w:tr>
    </w:tbl>
    <w:p w14:paraId="750199F9" w14:textId="72B38D5E" w:rsidR="003354E6" w:rsidRDefault="003354E6" w:rsidP="00C72DB5">
      <w:pPr>
        <w:ind w:firstLine="360"/>
        <w:jc w:val="center"/>
      </w:pPr>
      <w:r>
        <w:rPr>
          <w:b/>
          <w:bCs/>
        </w:rPr>
        <w:t xml:space="preserve">Table </w:t>
      </w:r>
      <w:r w:rsidR="00763A3F">
        <w:rPr>
          <w:b/>
          <w:bCs/>
        </w:rPr>
        <w:t>3</w:t>
      </w:r>
      <w:r>
        <w:t>.</w:t>
      </w:r>
      <w:r w:rsidR="00894218">
        <w:t xml:space="preserve"> Comparison of predictor term coefficients across OLS Models 3, 4, and 5. Values are presented as coefficient (SE).</w:t>
      </w:r>
      <w:r w:rsidR="00D93B64">
        <w:t xml:space="preserve"> Predictor terms in bold had statistically significant coefficient estimates in at least one of the three models.</w:t>
      </w:r>
      <w:r w:rsidR="00593AA9">
        <w:t xml:space="preserve"> Blank cells in the Model 5 column correspond to terms which were not retained in the stepwise regression model.</w:t>
      </w:r>
      <w:r w:rsidR="00894218">
        <w:t xml:space="preserve"> ***p&lt;0.001, **p&lt;0.01, *p&lt;0.05.</w:t>
      </w:r>
    </w:p>
    <w:p w14:paraId="23188664" w14:textId="77777777" w:rsidR="00C72DB5" w:rsidRDefault="00C72DB5" w:rsidP="00C72DB5">
      <w:pPr>
        <w:ind w:firstLine="360"/>
        <w:jc w:val="center"/>
      </w:pPr>
    </w:p>
    <w:p w14:paraId="6BB0C030" w14:textId="3747ED85" w:rsidR="000E7D46" w:rsidRDefault="00B47CF1" w:rsidP="000E7D46">
      <w:pPr>
        <w:ind w:firstLine="360"/>
        <w:jc w:val="both"/>
      </w:pPr>
      <w:r>
        <w:t xml:space="preserve">The resulting coefficients from OLS </w:t>
      </w:r>
      <w:r w:rsidR="00976D0B" w:rsidRPr="00976D0B">
        <w:rPr>
          <w:b/>
          <w:bCs/>
        </w:rPr>
        <w:t>M</w:t>
      </w:r>
      <w:r w:rsidRPr="00976D0B">
        <w:rPr>
          <w:b/>
          <w:bCs/>
        </w:rPr>
        <w:t>odels 3 and 4</w:t>
      </w:r>
      <w:r>
        <w:t xml:space="preserve"> are shown in </w:t>
      </w:r>
      <w:r>
        <w:rPr>
          <w:b/>
          <w:bCs/>
        </w:rPr>
        <w:t xml:space="preserve">Table </w:t>
      </w:r>
      <w:r w:rsidR="009126AC">
        <w:rPr>
          <w:b/>
          <w:bCs/>
        </w:rPr>
        <w:t>3</w:t>
      </w:r>
      <w:r>
        <w:t>. Values are presented as the estimated coefficient (standard error).</w:t>
      </w:r>
      <w:r w:rsidR="009A61FB">
        <w:t xml:space="preserve"> In the case of </w:t>
      </w:r>
      <w:r w:rsidR="009A61FB">
        <w:rPr>
          <w:b/>
          <w:bCs/>
        </w:rPr>
        <w:t>Model 4</w:t>
      </w:r>
      <w:r w:rsidR="009A61FB">
        <w:t xml:space="preserve">, the standard error (SE) values are those derived from the heteroscedasticity-robust standard estimator (see section 3.2.3). </w:t>
      </w:r>
      <w:r w:rsidR="00102BE2">
        <w:t xml:space="preserve">As these models both contain all predictor terms (with the exception of ADAS11 and ICV as discussed in section 3.2.1), I opted to explore feature selection with </w:t>
      </w:r>
      <w:r w:rsidR="000E7D46">
        <w:t xml:space="preserve">bidirectional </w:t>
      </w:r>
      <w:r w:rsidR="00102BE2">
        <w:t xml:space="preserve">stepwise regression using the </w:t>
      </w:r>
      <w:proofErr w:type="spellStart"/>
      <w:r w:rsidR="00102BE2" w:rsidRPr="00F34D77">
        <w:rPr>
          <w:rFonts w:ascii="Courier New" w:hAnsi="Courier New" w:cs="Courier New"/>
        </w:rPr>
        <w:t>stepAIC</w:t>
      </w:r>
      <w:proofErr w:type="spellEnd"/>
      <w:r w:rsidR="00102BE2" w:rsidRPr="00F34D77">
        <w:rPr>
          <w:rFonts w:ascii="Courier New" w:hAnsi="Courier New" w:cs="Courier New"/>
        </w:rPr>
        <w:t>()</w:t>
      </w:r>
      <w:r w:rsidR="00102BE2">
        <w:t xml:space="preserve"> function from the </w:t>
      </w:r>
      <w:r w:rsidR="00102BE2" w:rsidRPr="00F34D77">
        <w:rPr>
          <w:rFonts w:ascii="Courier New" w:hAnsi="Courier New" w:cs="Courier New"/>
        </w:rPr>
        <w:t>MASS</w:t>
      </w:r>
      <w:r w:rsidR="00102BE2">
        <w:t xml:space="preserve"> package</w:t>
      </w:r>
      <w:r w:rsidR="000E7D46">
        <w:fldChar w:fldCharType="begin"/>
      </w:r>
      <w:r w:rsidR="000E7D46">
        <w:instrText xml:space="preserve"> ADDIN ZOTERO_ITEM CSL_CITATION {"citationID":"SgKQAgvr","properties":{"formattedCitation":"\\super 16\\nosupersub{}","plainCitation":"16","noteIndex":0},"citationItems":[{"id":1074,"uris":["http://zotero.org/users/local/xTg0WhcH/items/3PN7LXAN"],"itemData":{"id":1074,"type":"book","abstract":"S is a powerful environment for the statistical and graphical analysis of data. It provides the tools to implement many statistical ideas that have been made possible by the widespread availability of workstations having good graphics and computational capabilities. This book is a guide to using S environments to perform statistical analyses and provides both an introduction to the use of S and a course in modern statistical methods. Implementations of S are available commercially in S-PLUS(R) workstations and as the Open Source R for a wide range of computer systems. The aim of this book is to show how to use S as a powerful and graphical data analysis system. Readers are assumed to have a basic grounding in statistics, and so the book is intended for would-be users of S-PLUS or R and both students and researchers using statistics. Throughout, the emphasis is on presenting practical problems and full analyses of real data sets. Many of the methods discussed are state of the art approaches to topics such as linear, nonlinear and smooth regression models, tree-based methods, multivariate analysis, pattern recognition, survival analysis, time series and spatial statistics. Throughout modern techniques such as robust methods, non-parametric smoothing and bootstrapping are used where appropriate. This fourth edition is intended for users of S-PLUS 6.0 or R 1.5.0 or later. A substantial change from the third edition is updating for the current versions of S-PLUS and adding coverage of R. The introductory material has been rewritten to emphasis the import, export and manipulation of data. Increased computational power allows even more computer-intensive methods to be used, and methods such as GLMMs, MARS, SOM and support vector machines are considered.","ISBN":"978-1-4757-3121-7","language":"en","note":"Google-Books-ID: tovgBwAAQBAJ","number-of-pages":"508","publisher":"Springer Science &amp; Business Media","source":"Google Books","title":"Modern Applied Statistics with S-PLUS","author":[{"family":"Venables","given":"W. N."},{"family":"Ripley","given":"B. D."}],"issued":{"date-parts":[["2013",4,17]]}}}],"schema":"https://github.com/citation-style-language/schema/raw/master/csl-citation.json"} </w:instrText>
      </w:r>
      <w:r w:rsidR="000E7D46">
        <w:fldChar w:fldCharType="separate"/>
      </w:r>
      <w:r w:rsidR="000E7D46" w:rsidRPr="000E7D46">
        <w:rPr>
          <w:rFonts w:ascii="Calibri" w:hAnsi="Calibri" w:cs="Calibri"/>
          <w:szCs w:val="24"/>
          <w:vertAlign w:val="superscript"/>
        </w:rPr>
        <w:t>16</w:t>
      </w:r>
      <w:r w:rsidR="000E7D46">
        <w:fldChar w:fldCharType="end"/>
      </w:r>
      <w:r w:rsidR="00102BE2">
        <w:t>.</w:t>
      </w:r>
      <w:r w:rsidR="000E7D46">
        <w:t xml:space="preserve"> In this method, predictor terms are iteratively added based on their improvement to the model’s Akaike Information Criterion (AIC), and terms are subsequently pruned if they do not contribute any benefit to model performance (as measured via AIC). The resulting model from stepwise </w:t>
      </w:r>
      <w:r w:rsidR="000E7D46">
        <w:lastRenderedPageBreak/>
        <w:t xml:space="preserve">regression is referred to as </w:t>
      </w:r>
      <w:r w:rsidR="000E7D46">
        <w:rPr>
          <w:b/>
          <w:bCs/>
        </w:rPr>
        <w:t>Model 5</w:t>
      </w:r>
      <w:r w:rsidR="000E7D46">
        <w:t xml:space="preserve">, and the coefficients and SEs from retained predictor terms are also shown in </w:t>
      </w:r>
      <w:r w:rsidR="000E7D46">
        <w:rPr>
          <w:b/>
          <w:bCs/>
        </w:rPr>
        <w:t xml:space="preserve">Table </w:t>
      </w:r>
      <w:r w:rsidR="007D1945">
        <w:rPr>
          <w:b/>
          <w:bCs/>
        </w:rPr>
        <w:t>3</w:t>
      </w:r>
      <w:r w:rsidR="000E7D46">
        <w:t>.</w:t>
      </w:r>
      <w:r w:rsidR="00A3383A">
        <w:t xml:space="preserve"> </w:t>
      </w:r>
    </w:p>
    <w:p w14:paraId="044EB5AF" w14:textId="5827DED2" w:rsidR="00620F62" w:rsidRDefault="00620F62" w:rsidP="000E7D46">
      <w:pPr>
        <w:ind w:firstLine="360"/>
        <w:jc w:val="both"/>
      </w:pPr>
      <w:r>
        <w:t xml:space="preserve">Of note, the predictor terms with statistically significant coefficients are generally very consistent across the three models compared in </w:t>
      </w:r>
      <w:r>
        <w:rPr>
          <w:b/>
          <w:bCs/>
        </w:rPr>
        <w:t xml:space="preserve">Table </w:t>
      </w:r>
      <w:r w:rsidR="007D1945">
        <w:rPr>
          <w:b/>
          <w:bCs/>
        </w:rPr>
        <w:t>3</w:t>
      </w:r>
      <w:r>
        <w:t xml:space="preserve">. </w:t>
      </w:r>
      <w:r w:rsidR="00F96481">
        <w:t>There are three key exceptions: (1) Hippocampus</w:t>
      </w:r>
      <w:r w:rsidR="008777A1">
        <w:t xml:space="preserve"> volume</w:t>
      </w:r>
      <w:r w:rsidR="00F96481">
        <w:t xml:space="preserve"> is only significant in </w:t>
      </w:r>
      <w:r w:rsidR="00F96481">
        <w:rPr>
          <w:b/>
          <w:bCs/>
        </w:rPr>
        <w:t>Model 5</w:t>
      </w:r>
      <w:r w:rsidR="00F96481">
        <w:t xml:space="preserve">; </w:t>
      </w:r>
      <w:proofErr w:type="spellStart"/>
      <w:r w:rsidR="003E557F">
        <w:t>PTRACCATMore</w:t>
      </w:r>
      <w:proofErr w:type="spellEnd"/>
      <w:r w:rsidR="003E557F">
        <w:t xml:space="preserve"> than one (</w:t>
      </w:r>
      <w:proofErr w:type="gramStart"/>
      <w:r w:rsidR="003E557F">
        <w:t>i.e.</w:t>
      </w:r>
      <w:proofErr w:type="gramEnd"/>
      <w:r w:rsidR="003E557F">
        <w:t xml:space="preserve"> being of more than one race) is only significant in </w:t>
      </w:r>
      <w:r w:rsidR="003E557F">
        <w:rPr>
          <w:b/>
          <w:bCs/>
        </w:rPr>
        <w:t>Models 3 and 4</w:t>
      </w:r>
      <w:r w:rsidR="003E557F">
        <w:t xml:space="preserve">; and </w:t>
      </w:r>
      <w:proofErr w:type="spellStart"/>
      <w:r w:rsidR="003E557F">
        <w:t>PRACCATHawaiian</w:t>
      </w:r>
      <w:proofErr w:type="spellEnd"/>
      <w:r w:rsidR="003E557F">
        <w:t xml:space="preserve">/Other PI (i.e. being of Hawaiian/Pacific Islander descent) is only significant in </w:t>
      </w:r>
      <w:r w:rsidR="003E557F">
        <w:rPr>
          <w:b/>
          <w:bCs/>
        </w:rPr>
        <w:t>Model 4</w:t>
      </w:r>
      <w:r w:rsidR="003E557F">
        <w:t xml:space="preserve">. Otherwise, the statistically significant predictors with a positive association with PTAU CSF are APOE4TRUE (presence of one or two E4 alleles in the </w:t>
      </w:r>
      <w:r w:rsidR="003E557F">
        <w:rPr>
          <w:i/>
          <w:iCs/>
        </w:rPr>
        <w:t>APOE</w:t>
      </w:r>
      <w:r w:rsidR="003E557F">
        <w:t xml:space="preserve"> gene), ADAS13, AGE, </w:t>
      </w:r>
      <w:proofErr w:type="spellStart"/>
      <w:r w:rsidR="003E557F">
        <w:t>PTGENDERFemale</w:t>
      </w:r>
      <w:proofErr w:type="spellEnd"/>
      <w:r w:rsidR="003E557F">
        <w:t>, and WholeBrain, while the significant predictors with a negative association with PTAU CSF are FDG</w:t>
      </w:r>
      <w:r w:rsidR="008777A1">
        <w:t>-PET metabolism</w:t>
      </w:r>
      <w:r w:rsidR="003E557F">
        <w:t>, ABETA</w:t>
      </w:r>
      <w:r w:rsidR="008777A1">
        <w:t xml:space="preserve"> levels in CSF</w:t>
      </w:r>
      <w:r w:rsidR="003E557F">
        <w:t>, MMSE</w:t>
      </w:r>
      <w:r w:rsidR="008777A1">
        <w:t xml:space="preserve"> cognitive scores</w:t>
      </w:r>
      <w:r w:rsidR="003E557F">
        <w:t>, Ventricle</w:t>
      </w:r>
      <w:r w:rsidR="008777A1">
        <w:t xml:space="preserve"> volume</w:t>
      </w:r>
      <w:r w:rsidR="003E557F">
        <w:t>,</w:t>
      </w:r>
      <w:r w:rsidR="00351105">
        <w:t xml:space="preserve"> </w:t>
      </w:r>
      <w:proofErr w:type="spellStart"/>
      <w:r w:rsidR="00351105">
        <w:t>PTRACCATMore</w:t>
      </w:r>
      <w:proofErr w:type="spellEnd"/>
      <w:r w:rsidR="00351105">
        <w:t xml:space="preserve"> than one, and </w:t>
      </w:r>
      <w:proofErr w:type="spellStart"/>
      <w:r w:rsidR="00351105">
        <w:t>PTRACCATHawaiian</w:t>
      </w:r>
      <w:proofErr w:type="spellEnd"/>
      <w:r w:rsidR="00351105">
        <w:t>/Other PI</w:t>
      </w:r>
      <w:r w:rsidR="000F6131">
        <w:t>.</w:t>
      </w:r>
    </w:p>
    <w:p w14:paraId="2CD48398" w14:textId="1CD576ED" w:rsidR="00B47CF1" w:rsidRPr="009A61FB" w:rsidRDefault="00BD40FC" w:rsidP="00C079E0">
      <w:pPr>
        <w:ind w:firstLine="360"/>
        <w:jc w:val="both"/>
      </w:pPr>
      <w:r>
        <w:t xml:space="preserve">The three models compared in </w:t>
      </w:r>
      <w:r>
        <w:rPr>
          <w:b/>
          <w:bCs/>
        </w:rPr>
        <w:t xml:space="preserve">Table </w:t>
      </w:r>
      <w:r w:rsidR="009126AC">
        <w:rPr>
          <w:b/>
          <w:bCs/>
        </w:rPr>
        <w:t>3</w:t>
      </w:r>
      <w:r>
        <w:t xml:space="preserve"> exhibit very similar adjusted R</w:t>
      </w:r>
      <w:r>
        <w:rPr>
          <w:vertAlign w:val="superscript"/>
        </w:rPr>
        <w:t>2</w:t>
      </w:r>
      <w:r>
        <w:t xml:space="preserve"> values: </w:t>
      </w:r>
      <w:r w:rsidRPr="00281F68">
        <w:rPr>
          <w:b/>
          <w:bCs/>
        </w:rPr>
        <w:t>Model 3</w:t>
      </w:r>
      <w:r>
        <w:t xml:space="preserve"> = 0.3662, </w:t>
      </w:r>
      <w:r w:rsidRPr="00281F68">
        <w:rPr>
          <w:b/>
          <w:bCs/>
        </w:rPr>
        <w:t>Model 4</w:t>
      </w:r>
      <w:r>
        <w:t xml:space="preserve"> = 0.3662, and </w:t>
      </w:r>
      <w:r w:rsidRPr="00281F68">
        <w:rPr>
          <w:b/>
          <w:bCs/>
        </w:rPr>
        <w:t>Model 5</w:t>
      </w:r>
      <w:r>
        <w:t xml:space="preserve"> = 0.3685. The marginal improvement in R</w:t>
      </w:r>
      <w:r>
        <w:rPr>
          <w:vertAlign w:val="superscript"/>
        </w:rPr>
        <w:t>2</w:t>
      </w:r>
      <w:r>
        <w:t xml:space="preserve"> in </w:t>
      </w:r>
      <w:r>
        <w:rPr>
          <w:b/>
          <w:bCs/>
        </w:rPr>
        <w:t>Model 5</w:t>
      </w:r>
      <w:r>
        <w:t xml:space="preserve"> is likely due to the decreased number of predictor terms following stepwise regression, as fewer terms incur a smaller penalty for the adjusted R</w:t>
      </w:r>
      <w:r>
        <w:rPr>
          <w:vertAlign w:val="superscript"/>
        </w:rPr>
        <w:t>2</w:t>
      </w:r>
      <w:r>
        <w:t xml:space="preserve"> value.</w:t>
      </w:r>
      <w:r w:rsidR="0074034B">
        <w:t xml:space="preserve"> The lack of appreciable difference in variance explained between </w:t>
      </w:r>
      <w:r w:rsidR="0074034B" w:rsidRPr="00A067F9">
        <w:rPr>
          <w:b/>
          <w:bCs/>
        </w:rPr>
        <w:t>Models 3/4</w:t>
      </w:r>
      <w:r w:rsidR="0074034B">
        <w:t xml:space="preserve"> and </w:t>
      </w:r>
      <w:r w:rsidR="0074034B" w:rsidRPr="00A067F9">
        <w:rPr>
          <w:b/>
          <w:bCs/>
        </w:rPr>
        <w:t>Model 5</w:t>
      </w:r>
      <w:r w:rsidR="0074034B">
        <w:t xml:space="preserve"> indicates that the variables omitted from </w:t>
      </w:r>
      <w:r w:rsidR="0074034B" w:rsidRPr="00A067F9">
        <w:rPr>
          <w:b/>
          <w:bCs/>
        </w:rPr>
        <w:t>Model 5</w:t>
      </w:r>
      <w:r w:rsidR="0074034B">
        <w:t xml:space="preserve"> </w:t>
      </w:r>
      <w:r w:rsidR="00AE68EB">
        <w:t xml:space="preserve">explain minimal variance </w:t>
      </w:r>
      <w:r w:rsidR="0074034B">
        <w:t>in CSF PTAU levels.</w:t>
      </w:r>
    </w:p>
    <w:p w14:paraId="2661CBEA" w14:textId="29207BAA" w:rsidR="00E7621C" w:rsidRDefault="00E7621C" w:rsidP="003A5626">
      <w:pPr>
        <w:jc w:val="both"/>
      </w:pPr>
    </w:p>
    <w:p w14:paraId="6271A195" w14:textId="17B47987" w:rsidR="00E7621C" w:rsidRDefault="00E7621C" w:rsidP="003A5626">
      <w:pPr>
        <w:pStyle w:val="Heading3"/>
        <w:numPr>
          <w:ilvl w:val="0"/>
          <w:numId w:val="1"/>
        </w:numPr>
        <w:jc w:val="both"/>
      </w:pPr>
      <w:r>
        <w:t>Discussion and conclusions</w:t>
      </w:r>
    </w:p>
    <w:p w14:paraId="6CC4096C" w14:textId="2B1CC745" w:rsidR="0064682F" w:rsidRDefault="00312C0D" w:rsidP="001628AC">
      <w:pPr>
        <w:ind w:firstLine="360"/>
        <w:jc w:val="both"/>
      </w:pPr>
      <w:r>
        <w:t>This analysis sought to elucidate the linear relationships between a diverse set of predictor terms and the amount of PTAU in the CSF of a large multi-centre AD biomarker consortium with statistically robust methodology.</w:t>
      </w:r>
      <w:r w:rsidR="00047160">
        <w:t xml:space="preserve"> </w:t>
      </w:r>
      <w:r w:rsidR="00CE39AE">
        <w:t xml:space="preserve">This analysis, while not causal in nature, identified several key clinical and neurobiological factors associated with CSF PTAU levels. </w:t>
      </w:r>
      <w:r w:rsidR="009A79BC">
        <w:t xml:space="preserve">The </w:t>
      </w:r>
      <w:r w:rsidR="008C030F">
        <w:t>p</w:t>
      </w:r>
      <w:r w:rsidR="000A687B">
        <w:t xml:space="preserve">resence of one or more E4 alleles in the </w:t>
      </w:r>
      <w:r w:rsidR="000A687B">
        <w:rPr>
          <w:i/>
          <w:iCs/>
        </w:rPr>
        <w:t xml:space="preserve">APOE </w:t>
      </w:r>
      <w:r w:rsidR="000A687B">
        <w:t xml:space="preserve">gene had the largest coefficient that remained statistically significant across all models examined; </w:t>
      </w:r>
      <w:r w:rsidR="001628AC">
        <w:t xml:space="preserve">this is congruent with </w:t>
      </w:r>
      <w:r w:rsidR="00136713">
        <w:t xml:space="preserve">a rich </w:t>
      </w:r>
      <w:r w:rsidR="001628AC">
        <w:t xml:space="preserve">literature documenting the </w:t>
      </w:r>
      <w:r w:rsidR="00136713">
        <w:t>association between presence of the E4 allele and AD severity</w:t>
      </w:r>
      <w:r w:rsidR="002C11BE">
        <w:fldChar w:fldCharType="begin"/>
      </w:r>
      <w:r w:rsidR="002C11BE">
        <w:instrText xml:space="preserve"> ADDIN ZOTERO_ITEM CSL_CITATION {"citationID":"KfNf13zG","properties":{"formattedCitation":"\\super 17\\nosupersub{}","plainCitation":"17","noteIndex":0},"citationItems":[{"id":1081,"uris":["http://zotero.org/users/local/xTg0WhcH/items/VHU99UN9"],"itemData":{"id":1081,"type":"article-journal","abstract":"Apolipoprotein E (Apo-E) is a major cholesterol carrier that supports lipid transport and injury repair in the brain. APOE polymorphic alleles are the main genetic determinants of Alzheimer disease (AD) risk: individuals carrying the ε4 allele are at increased risk of AD compared with those carrying the more common ε3 allele, whereas the ε2 allele decreases risk. Presence of the APOE ε4 allele is also associated with increased risk of cerebral amyloid angiopathy and age-related cognitive decline during normal ageing. Apo-E–lipoproteins bind to several cell-surface receptors to deliver lipids, and also to hydrophobic amyloid</w:instrText>
      </w:r>
      <w:r w:rsidR="002C11BE">
        <w:rPr>
          <w:rFonts w:ascii="Cambria Math" w:hAnsi="Cambria Math" w:cs="Cambria Math"/>
        </w:rPr>
        <w:instrText>‑</w:instrText>
      </w:r>
      <w:r w:rsidR="002C11BE">
        <w:rPr>
          <w:rFonts w:ascii="Calibri" w:hAnsi="Calibri" w:cs="Calibri"/>
        </w:rPr>
        <w:instrText>β</w:instrText>
      </w:r>
      <w:r w:rsidR="002C11BE">
        <w:instrText xml:space="preserve"> (A</w:instrText>
      </w:r>
      <w:r w:rsidR="002C11BE">
        <w:rPr>
          <w:rFonts w:ascii="Calibri" w:hAnsi="Calibri" w:cs="Calibri"/>
        </w:rPr>
        <w:instrText>β</w:instrText>
      </w:r>
      <w:r w:rsidR="002C11BE">
        <w:instrText xml:space="preserve">) peptide, which is thought to initiate toxic events that lead to synaptic dysfunction and neurodegeneration in AD. Apo-E isoforms differentially regulate Aβ aggregation and clearance in the brain, and have distinct functions in regulating brain lipid transport, glucose metabolism, neuronal signalling, neuroinflammation, and mitochondrial function. In this Review, we describe current knowledge on Apo-E in the CNS, with a particular emphasis on the clinical and pathological features associated with carriers of different Apo-E isoforms. We also discuss Aβ-dependent and Aβ-independent mechanisms that link Apo-E4 status with AD risk, and consider how to design effective strategies for AD therapy by targeting Apo-E.","container-title":"Nature Reviews Neurology","DOI":"10.1038/nrneurol.2012.263","ISSN":"1759-4758, 1759-4766","issue":"2","journalAbbreviation":"Nat Rev Neurol","language":"en","page":"106-118","source":"DOI.org (Crossref)","title":"Apolipoprotein E and Alzheimer disease: risk, mechanisms and therapy","title-short":"Apolipoprotein E and Alzheimer disease","volume":"9","author":[{"family":"Liu","given":"Chia-Chen"},{"family":"Kanekiyo","given":"Takahisa"},{"family":"Xu","given":"Huaxi"},{"family":"Bu","given":"Guojun"}],"issued":{"date-parts":[["2013",2]]}}}],"schema":"https://github.com/citation-style-language/schema/raw/master/csl-citation.json"} </w:instrText>
      </w:r>
      <w:r w:rsidR="002C11BE">
        <w:fldChar w:fldCharType="separate"/>
      </w:r>
      <w:r w:rsidR="002C11BE" w:rsidRPr="002C11BE">
        <w:rPr>
          <w:rFonts w:ascii="Calibri" w:hAnsi="Calibri" w:cs="Calibri"/>
          <w:szCs w:val="24"/>
          <w:vertAlign w:val="superscript"/>
        </w:rPr>
        <w:t>17</w:t>
      </w:r>
      <w:r w:rsidR="002C11BE">
        <w:fldChar w:fldCharType="end"/>
      </w:r>
      <w:r w:rsidR="002C11BE">
        <w:t>.</w:t>
      </w:r>
      <w:r w:rsidR="00A45570">
        <w:t xml:space="preserve"> A higher score on the ADAS13 test </w:t>
      </w:r>
      <w:r w:rsidR="00DF1C86">
        <w:t>indicates greater severity in cognitive decline, which helps explain the positive association between ADAS13 scores and CSF PTAU.</w:t>
      </w:r>
      <w:r w:rsidR="00DA5601">
        <w:t xml:space="preserve"> Previous work has characterized a positive linear relationship between age and CSF PTAU levels even in healthy adults</w:t>
      </w:r>
      <w:r w:rsidR="00537E97">
        <w:fldChar w:fldCharType="begin"/>
      </w:r>
      <w:r w:rsidR="00537E97">
        <w:instrText xml:space="preserve"> ADDIN ZOTERO_ITEM CSL_CITATION {"citationID":"LsagBfPo","properties":{"formattedCitation":"\\super 18\\nosupersub{}","plainCitation":"18","noteIndex":0},"citationItems":[{"id":1082,"uris":["http://zotero.org/users/local/xTg0WhcH/items/ST7F2HPX"],"itemData":{"id":1082,"type":"article-journal","abstract":"Background: Tau protein and the 42-amino acid form of β-amyloid (Aβ42) measured in cerebrospinal fluid (CSF) have been proposed as potential biochemical diagnostic markers for Alzheimer disease. For the introduction of these assays in clinical practice, adequate reference values are of importance.Methods: CSF samples were obtained from 231 neurologically and psychiatrically healthy individuals, 21–93 years of age, all with a MiniMental State examination score of 28 or above. Standardized ELISAs were used to measure tau and Aβ42 in CSF. Following IFCC recommendations, we used a rank-based method; the 0.90 and 0.10 fractiles were estimated to establish reference values for CSF-tau and CSF-Aβ42, respectively. Putative confounding factors, such as the influence of the passage of proteins from peripheral blood to CSF, influence of dysfunction of the blood-brain barrier, and freezing and thawing of CSF, were investigated.Results: A correlation with age was found for CSF-tau (r = 0.60; P &amp;lt;0.001). Therefore, separate reference values for different age groups were established for CSF-tau: &amp;lt;300 ng/L in the group 21–50 years of age, &amp;lt;450 ng/L in the group 51–70 years of age, and &amp;lt;500 ng/L in the group 71–93 years of age. CSF-Aβ42 did not correlate with age (r = −0.045), and the reference value was set to &amp;gt;500 ng/L. No correlation was found between blood-brain barrier function and CSF-tau or CSF-Aβ42.Conclusions: These reference values can be applied when using CSF-tau and CSF-Aβ42 in clinical practice.","container-title":"Clinical Chemistry","DOI":"10.1093/clinchem/47.10.1776","ISSN":"0009-9147","issue":"10","journalAbbreviation":"Clinical Chemistry","page":"1776-1781","source":"Silverchair","title":"Tau and Aβ42 in Cerebrospinal Fluid from Healthy Adults 21–93 Years of Age: Establishment of Reference Values","title-short":"Tau and Aβ42 in Cerebrospinal Fluid from Healthy Adults 21–93 Years of Age","volume":"47","author":[{"family":"Sjögren","given":"Magnus"},{"family":"Vanderstichele","given":"Hugo"},{"family":"Ågren","given":"Hans"},{"family":"Zachrisson","given":"Olof"},{"family":"Edsbagge","given":"Mikael"},{"family":"Wikkelsø","given":"Carsten"},{"family":"Skoog","given":"Ingmar"},{"family":"Wallin","given":"Anders"},{"family":"Wahlund","given":"Lars-Olof"},{"family":"Marcusson","given":"Jan"},{"family":"Nägga","given":"Katarina"},{"family":"Andreasen","given":"Niels"},{"family":"Davidsson","given":"Pia"},{"family":"Vanmechelen","given":"Eugeen"},{"family":"Blennow","given":"Kaj"}],"issued":{"date-parts":[["2001",10,1]]}}}],"schema":"https://github.com/citation-style-language/schema/raw/master/csl-citation.json"} </w:instrText>
      </w:r>
      <w:r w:rsidR="00537E97">
        <w:fldChar w:fldCharType="separate"/>
      </w:r>
      <w:r w:rsidR="00537E97" w:rsidRPr="00537E97">
        <w:rPr>
          <w:rFonts w:ascii="Calibri" w:hAnsi="Calibri" w:cs="Calibri"/>
          <w:szCs w:val="24"/>
          <w:vertAlign w:val="superscript"/>
        </w:rPr>
        <w:t>18</w:t>
      </w:r>
      <w:r w:rsidR="00537E97">
        <w:fldChar w:fldCharType="end"/>
      </w:r>
      <w:r w:rsidR="00537E97">
        <w:t xml:space="preserve">, which is </w:t>
      </w:r>
      <w:r w:rsidR="00525ACA">
        <w:t>echoed in the results presented here.</w:t>
      </w:r>
      <w:r w:rsidR="00DF1C86">
        <w:t xml:space="preserve"> </w:t>
      </w:r>
      <w:r w:rsidR="0064682F">
        <w:t>The significant positive coefficient for female sex is in line with findings that being female comes with higher risk of developing AD</w:t>
      </w:r>
      <w:r w:rsidR="0064682F">
        <w:fldChar w:fldCharType="begin"/>
      </w:r>
      <w:r w:rsidR="0064682F">
        <w:instrText xml:space="preserve"> ADDIN ZOTERO_ITEM CSL_CITATION {"citationID":"uq3vSszN","properties":{"formattedCitation":"\\super 19\\nosupersub{}","plainCitation":"19","noteIndex":0},"citationItems":[{"id":1088,"uris":["http://zotero.org/users/local/xTg0WhcH/items/Z8MGZCNR"],"itemData":{"id":1088,"type":"article-journal","abstract":"Along with advanced age and apolipoprotein E (APOE)-4 genotype, female sex is a major risk factor for developing late-onset Alzheimer’s disease (AD). Considering that AD pathology begins decades prior to clinical symptoms, the higher risk in women cannot simply be accounted for by their greater longevity as compared to men. Recent investigation into sex-specific pathophysiological mechanisms behind AD risk has implicated the menopause transition (MT), a midlife neuroendocrine transition state unique to females. Commonly characterized as ending in reproductive senescence, many symptoms of MT are neurological, including disruption of estrogen-regulated systems such as thermoregulation, sleep, and circadian rhythms, as well as depression and impairment in multiple cognitive domains. Preclinical studies have shown that, during MT, the estrogen network uncouples from the brain bioenergetic system. The resulting hypometabolic state could serve as the substrate for neurological dysfunction. Indeed, translational brain imaging studies demonstrate that 40–60 year-old perimenopausal and postmenopausal women exhibit an AD-endophenotype characterized by decreased metabolic activity and increased brain amyloid-beta deposition as compared to premenopausal women and to age-matched men. This review discusses the MT as a window of opportunity for therapeutic interventions to compensate for brain bioenergetic crisis and combat the subsequent increased risk for AD in women.","container-title":"The Journal of Prevention of Alzheimer's Disease","DOI":"10.14283/jpad.2018.34","ISSN":"2426-0266","issue":"4","journalAbbreviation":"J Prev Alzheimers Dis","language":"en","page":"225-230","source":"Springer Link","title":"Female Sex and Alzheimer’s Risk: The Menopause Connection","title-short":"Female Sex and Alzheimer’s Risk","volume":"5","author":[{"family":"Scheyer","given":"O."},{"family":"Rahman","given":"A."},{"family":"Hristov","given":"H."},{"family":"Berkowitz","given":"C."},{"family":"Isaacson","given":"R. S."},{"family":"Diaz Brinton","given":"R."},{"family":"Mosconi","given":"Lisa"}],"issued":{"date-parts":[["2018",10,1]]}}}],"schema":"https://github.com/citation-style-language/schema/raw/master/csl-citation.json"} </w:instrText>
      </w:r>
      <w:r w:rsidR="0064682F">
        <w:fldChar w:fldCharType="separate"/>
      </w:r>
      <w:r w:rsidR="0064682F" w:rsidRPr="0064682F">
        <w:rPr>
          <w:rFonts w:ascii="Calibri" w:hAnsi="Calibri" w:cs="Calibri"/>
          <w:szCs w:val="24"/>
          <w:vertAlign w:val="superscript"/>
        </w:rPr>
        <w:t>19</w:t>
      </w:r>
      <w:r w:rsidR="0064682F">
        <w:fldChar w:fldCharType="end"/>
      </w:r>
      <w:r w:rsidR="0064682F">
        <w:t>; however, a transgenic mouse model of AD showed that female sex was associated with heightened amyloid-beta pathology but not tau pathology</w:t>
      </w:r>
      <w:r w:rsidR="0064682F">
        <w:fldChar w:fldCharType="begin"/>
      </w:r>
      <w:r w:rsidR="0064682F">
        <w:instrText xml:space="preserve"> ADDIN ZOTERO_ITEM CSL_CITATION {"citationID":"mLYuXbHi","properties":{"formattedCitation":"\\super 20\\nosupersub{}","plainCitation":"20","noteIndex":0},"citationItems":[{"id":1086,"uris":["http://zotero.org/users/local/xTg0WhcH/items/PUIRFN9J"],"itemData":{"id":1086,"type":"article-journal","abstract":"Epidemiological studies indicate that women have a higher risk of Alzheimer's disease (AD) even after adjustment for age. Though transgenic mouse models of AD develop AD-related amyloid beta (Abeta) and/or tau pathology, gender differences have not been well documented in these models. In this study, we found that female 3xTg-AD transgenic mice expressing mutant APP, presenilin-1 and tau have significantly more aggressive Abeta pathology. We also found an increase in beta-secretase activity and a reduction of neprilysin in female mice compared to males; this suggests that a combination of increased Abeta production and decreased Abeta degradation may contribute to higher risk of AD in females. In contrast to significantly more aggressive Abeta pathology in females, gender did not affect the levels of phosphorylated tau in 3xTg-AD mice. These results point to the involvement of Abeta pathways in the higher risk of AD in women. In addition to comparison of pathology between genders at 9, 16 and 23 months of age, we examined the progression of Abeta pathology at additional age points; i.e., brain Abeta load, intraneuronal oligomeric Abeta distribution and plaque load, in male 3xTg-AD mice at 3, 6, 9, 12, 16, 20 and 23 months of age. These findings confirm progressive Abeta pathology in 3xTg-AD transgenic mice, and provide guidance for their use in therapeutic research.","container-title":"Brain Research","DOI":"10.1016/j.brainres.2008.03.079","ISSN":"0006-8993","journalAbbreviation":"Brain Research","language":"en","page":"92-103","source":"ScienceDirect","title":"Females exhibit more extensive amyloid, but not tau, pathology in an Alzheimer transgenic model","volume":"1216","author":[{"family":"Hirata-Fukae","given":"Chiho"},{"family":"Li","given":"Hui-Fang"},{"family":"Hoe","given":"Hyang-Sook"},{"family":"Gray","given":"Audrey J."},{"family":"Minami","given":"S. Sakura"},{"family":"Hamada","given":"Katsuyoshi"},{"family":"Niikura","given":"Takako"},{"family":"Hua","given":"Fang"},{"family":"Tsukagoshi-Nagai","given":"Hiroe"},{"family":"Horikoshi-Sakuraba","given":"Yuko"},{"family":"Mughal","given":"Mohamed"},{"family":"Rebeck","given":"G. William"},{"family":"LaFerla","given":"Frank M."},{"family":"Mattson","given":"Mark P."},{"family":"Iwata","given":"Nobuhisa"},{"family":"Saido","given":"Takaomi C."},{"family":"Klein","given":"William L."},{"family":"Duff","given":"Karen E."},{"family":"Aisen","given":"Paul S."},{"family":"Matsuoka","given":"Yasuji"}],"issued":{"date-parts":[["2008",6,24]]}}}],"schema":"https://github.com/citation-style-language/schema/raw/master/csl-citation.json"} </w:instrText>
      </w:r>
      <w:r w:rsidR="0064682F">
        <w:fldChar w:fldCharType="separate"/>
      </w:r>
      <w:r w:rsidR="0064682F" w:rsidRPr="0064682F">
        <w:rPr>
          <w:rFonts w:ascii="Calibri" w:hAnsi="Calibri" w:cs="Calibri"/>
          <w:szCs w:val="24"/>
          <w:vertAlign w:val="superscript"/>
        </w:rPr>
        <w:t>20</w:t>
      </w:r>
      <w:r w:rsidR="0064682F">
        <w:fldChar w:fldCharType="end"/>
      </w:r>
      <w:r w:rsidR="0064682F">
        <w:t>.</w:t>
      </w:r>
      <w:r w:rsidR="00FA2E7E">
        <w:t xml:space="preserve"> The positive association between whole-brain volume and CSF PTAU is surprising given that elevated CSF PTAU is typically associated with neurodegeneration and reduced brain volume</w:t>
      </w:r>
      <w:r w:rsidR="00FA2E7E">
        <w:fldChar w:fldCharType="begin"/>
      </w:r>
      <w:r w:rsidR="00FA2E7E">
        <w:instrText xml:space="preserve"> ADDIN ZOTERO_ITEM CSL_CITATION {"citationID":"JtlIjxSJ","properties":{"formattedCitation":"\\super 21\\nosupersub{}","plainCitation":"21","noteIndex":0},"citationItems":[{"id":1092,"uris":["http://zotero.org/users/local/xTg0WhcH/items/Z56FCQZN"],"itemData":{"id":1092,"type":"article-journal","abstract":"Background\nThe influence of reserve variables and Alzheimer’s disease (AD) biomarkers on cognitive test performance has been fairly well-characterized. However, less is known about the influence of these factors on “non-cognitive” outcomes, including functional abilities and mood.\n\nObjective\nWe examined whether cognitive and brain reserve variables mediate how AD biomarker levels in cognitively normal persons predict future changes in function, mood, and neuropsychiatric behavior.\n\nMethods\nNon-cognitive outcomes were examined in 328 individuals 50 years and older enrolled in ongoing studies of aging and dementia at the Knight Alzheimer Disease Research Center (ADRC). All participants were cognitively normal at baseline (Clinical Dementia Rating [CDR] 0), completed cerebrospinal fluid (CSF) and structural neuroimaging studies within one year of baseline, and were followed for an average of 4.6 annual visits. Linear mixed effects models explored how cognitive reserve and brain reserve variables mediate the relationships between AD biomarker levels and changes in function, mood, and neuropsychiatric behavior in cognitively normal participants.\n\nResults\nEducation levels did not have a significant effect on predicting non-cognitive decline. However, participants with smaller brain volumes exhibited the worst outcomes on measures of mood, functional abilities, and behavioral disturbance. This effect was most pronounced in individuals who also had abnormal CSF biomarkers.\n\nConclusions\nThe findings suggest that brain reserve plays a stronger, or earlier, role than cognitive reserve in protecting against non-cognitive impairment in AD.","container-title":"Journal of Alzheimer's disease : JAD","DOI":"10.3233/JAD-150478","ISSN":"1387-2877","issue":"3","journalAbbreviation":"J Alzheimers Dis","note":"PMID: 27104893\nPMCID: PMC5031142","page":"1055-1064","source":"PubMed Central","title":"Cerebrospinal Fluid Biomarkers and Reserve Variables as Predictors of Future “Non-Cognitive” Outcomes of Alzheimer’s Disease","volume":"52","author":[{"family":"Ingber","given":"Adam P."},{"family":"Hassenstab","given":"Jason"},{"family":"Fagan","given":"Anne M."},{"family":"Benzinger","given":"Tammie L.S."},{"family":"Grant","given":"Elizabeth A."},{"family":"Holtzman","given":"David M."},{"family":"Morris","given":"John C."},{"family":"Roe","given":"Catherine M."}],"issued":{"date-parts":[["2016"]]}}}],"schema":"https://github.com/citation-style-language/schema/raw/master/csl-citation.json"} </w:instrText>
      </w:r>
      <w:r w:rsidR="00FA2E7E">
        <w:fldChar w:fldCharType="separate"/>
      </w:r>
      <w:r w:rsidR="00FA2E7E" w:rsidRPr="00FA2E7E">
        <w:rPr>
          <w:rFonts w:ascii="Calibri" w:hAnsi="Calibri" w:cs="Calibri"/>
          <w:szCs w:val="24"/>
          <w:vertAlign w:val="superscript"/>
        </w:rPr>
        <w:t>21</w:t>
      </w:r>
      <w:r w:rsidR="00FA2E7E">
        <w:fldChar w:fldCharType="end"/>
      </w:r>
    </w:p>
    <w:p w14:paraId="4FCFDE85" w14:textId="478B3F3A" w:rsidR="007E2232" w:rsidRDefault="002C3F99" w:rsidP="00DE23AC">
      <w:pPr>
        <w:ind w:firstLine="360"/>
        <w:jc w:val="both"/>
      </w:pPr>
      <w:r>
        <w:t xml:space="preserve">Decreased FDG-PET indicates reduced synaptic activity and is directly related to neurodegeneration in AD; the negative </w:t>
      </w:r>
      <w:r w:rsidR="00FA2E7E">
        <w:t xml:space="preserve">coefficient for FDG-PET metabolism </w:t>
      </w:r>
      <w:r>
        <w:t xml:space="preserve">found in this analysis </w:t>
      </w:r>
      <w:r w:rsidR="00C27FBA">
        <w:t xml:space="preserve">corresponds </w:t>
      </w:r>
      <w:r>
        <w:t>with previous findings</w:t>
      </w:r>
      <w:r>
        <w:fldChar w:fldCharType="begin"/>
      </w:r>
      <w:r>
        <w:instrText xml:space="preserve"> ADDIN ZOTERO_ITEM CSL_CITATION {"citationID":"Z2xZ0mDy","properties":{"formattedCitation":"\\super 22\\nosupersub{}","plainCitation":"22","noteIndex":0},"citationItems":[{"id":1096,"uris":["http://zotero.org/users/local/xTg0WhcH/items/E4TQ377Q"],"itemData":{"id":1096,"type":"article-journal","abstract":"Alterations in cerebrospinal fluid (CSF) tau and β-amyloid peptide 1-42 (Aβ42) levels and rates of cerebral glucose metabolism (CMRglu) on fluorodeoxyglucose positron emission tomography (FDG-PET) occur years before clinical symptoms of Alzheimer disease (AD) become manifest, but their relationship remains unclear.To determine whether CSF AD biomarker levels and CMRglu in healthy individuals correlate in brain structures affected early in AD.Cohort study.Alzheimer disease research center.Twenty individuals without dementia aged 46 to 83 years.Lumbar CSF sampling and FDG-PET imaging of CMRglu. The CSF Aβ42, tau, and tau phosphorylated at threonine 181 (ptau181) levels were measured using immunobead-based multiplex assays.Correlations between CMRglu and CSF biomarker levels were analyzed via voxel-based and volume-of-interest approaches.Voxel-based analyses demonstrated significant negative correlations between CSF tau and ptau181 levels and CMRglu in the posterior cingulate, precuneus, and parahippocampal regions. In contrast, a limited positive correlation was found between CSF Aβ42 levels and CMRglu in the inferior temporal cortex. Volume-of-interest analyses confirmed negative associations between CSF tau and ptau181 levels and CMRglu in the parietal and medial parietal lobes and a positive association between CSF Aβ42 levels and CMRglu in the parahippocampal gyrus.In healthy individuals, higher CSF tau and ptau181 concentrations were associated with more severe hypometabolism in several brain regions affected very early in AD, whereas lower CSF Aβ42 concentrations were associated with hypometabolism only in the medial temporal lobe. This suggests that early tau and Aβ abnormalities may be associated with subtle synaptic changes in brain regions vulnerable to AD. A longitudinal assessment of CSF and FDG-PET biomarkers is needed to determine whether these changes predict cognitive impairment and incipient AD.Arch Neurol. 2009;66(5):632-637--&gt;","container-title":"Archives of Neurology","DOI":"10.1001/archneurol.2009.59","ISSN":"0003-9942","issue":"5","journalAbbreviation":"Archives of Neurology","page":"632-637","source":"Silverchair","title":"Preclinical Evidence of Alzheimer Changes: Convergent Cerebrospinal Fluid Biomarker and Fluorodeoxyglucose Positron Emission Tomography Findings","title-short":"Preclinical Evidence of Alzheimer Changes","volume":"66","author":[{"family":"Petrie","given":"Eric C."},{"family":"Cross","given":"Donna J."},{"family":"Galasko","given":"Douglas"},{"family":"Schellenberg","given":"Gerard D."},{"family":"Raskind","given":"Murray A."},{"family":"Peskind","given":"Elaine R."},{"family":"Minoshima","given":"Satoshi"}],"issued":{"date-parts":[["2009",5,1]]}}}],"schema":"https://github.com/citation-style-language/schema/raw/master/csl-citation.json"} </w:instrText>
      </w:r>
      <w:r>
        <w:fldChar w:fldCharType="separate"/>
      </w:r>
      <w:r w:rsidRPr="002C3F99">
        <w:rPr>
          <w:rFonts w:ascii="Calibri" w:hAnsi="Calibri" w:cs="Calibri"/>
          <w:szCs w:val="24"/>
          <w:vertAlign w:val="superscript"/>
        </w:rPr>
        <w:t>22</w:t>
      </w:r>
      <w:r>
        <w:fldChar w:fldCharType="end"/>
      </w:r>
      <w:r>
        <w:t>.</w:t>
      </w:r>
      <w:r w:rsidR="00A61824">
        <w:t xml:space="preserve"> The negative coefficient for CSF ABETA is surprising, given that previous studies reported a positive correlation between CSF PTAU and ABETA levels</w:t>
      </w:r>
      <w:r w:rsidR="0017305C">
        <w:fldChar w:fldCharType="begin"/>
      </w:r>
      <w:r w:rsidR="0017305C">
        <w:instrText xml:space="preserve"> ADDIN ZOTERO_ITEM CSL_CITATION {"citationID":"1XvhmCYM","properties":{"formattedCitation":"\\super 23\\nosupersub{}","plainCitation":"23","noteIndex":0},"citationItems":[{"id":1100,"uris":["http://zotero.org/users/local/xTg0WhcH/items/IVAXER3E"],"itemData":{"id":1100,"type":"article-journal","abstract":"Introduction\nWe studied whether fully automated Elecsys cerebrospinal fluid (CSF) immunoassay results were concordant with positron emission tomography (PET) and predicted clinical progression, even with cutoffs established in an independent cohort.\nMethods\nCutoffs for Elecsys amyloid-β1–42 (Aβ), total tau/Aβ(1–42), and phosphorylated tau/Aβ(1–42) were defined against [18F]flutemetamol PET in Swedish BioFINDER (n = 277) and validated against [18F]florbetapir PET in Alzheimer's Disease Neuroimaging Initiative (n = 646). Clinical progression in patients with mild cognitive impairment (n = 619) was studied.\nResults\nCSF total tau/Aβ(1–42) and phosphorylated tau/Aβ(1–42) ratios were highly concordant with PET classification in BioFINDER (overall percent agreement: 90%; area under the curve: 94%). The CSF biomarker statuses established by predefined cutoffs were highly concordant with PET classification in Alzheimer's Disease Neuroimaging Initiative (overall percent agreement: 89%–90%; area under the curves: 96%) and predicted greater 2-year clinical decline in patients with mild cognitive impairment. Strikingly, tau/Aβ ratios were as accurate as semiquantitative PET image assessment in predicting visual read–based outcomes.\nDiscussion\nElecsys CSF biomarker assays may provide reliable alternatives to PET in Alzheimer's disease diagnosis.","container-title":"Alzheimer's &amp; Dementia","DOI":"10.1016/j.jalz.2018.01.010","ISSN":"1552-5260","issue":"11","journalAbbreviation":"Alzheimer's &amp; Dementia","language":"en","page":"1470-1481","source":"ScienceDirect","title":"CSF biomarkers of Alzheimer's disease concord with amyloid-β PET and predict clinical progression: A study of fully automated immunoassays in BioFINDER and ADNI cohorts","title-short":"CSF biomarkers of Alzheimer's disease concord with amyloid-β PET and predict clinical progression","volume":"14","author":[{"family":"Hansson","given":"Oskar"},{"family":"Seibyl","given":"John"},{"family":"Stomrud","given":"Erik"},{"family":"Zetterberg","given":"Henrik"},{"family":"Trojanowski","given":"John Q."},{"family":"Bittner","given":"Tobias"},{"family":"Lifke","given":"Valeria"},{"family":"Corradini","given":"Veronika"},{"family":"Eichenlaub","given":"Udo"},{"family":"Batrla","given":"Richard"},{"family":"Buck","given":"Katharina"},{"family":"Zink","given":"Katharina"},{"family":"Rabe","given":"Christina"},{"family":"Blennow","given":"Kaj"},{"family":"Shaw","given":"Leslie M."}],"issued":{"date-parts":[["2018",11,1]]}}}],"schema":"https://github.com/citation-style-language/schema/raw/master/csl-citation.json"} </w:instrText>
      </w:r>
      <w:r w:rsidR="0017305C">
        <w:fldChar w:fldCharType="separate"/>
      </w:r>
      <w:r w:rsidR="0017305C" w:rsidRPr="0017305C">
        <w:rPr>
          <w:rFonts w:ascii="Calibri" w:hAnsi="Calibri" w:cs="Calibri"/>
          <w:szCs w:val="24"/>
          <w:vertAlign w:val="superscript"/>
        </w:rPr>
        <w:t>23</w:t>
      </w:r>
      <w:r w:rsidR="0017305C">
        <w:fldChar w:fldCharType="end"/>
      </w:r>
      <w:r w:rsidR="0017305C">
        <w:t>.</w:t>
      </w:r>
      <w:r w:rsidR="00DE23AC">
        <w:t xml:space="preserve"> The negative association between MMSE scores and CSF PTAU is in line with previous findings and may be partially mediated by amyloid-beta pathology</w:t>
      </w:r>
      <w:r w:rsidR="00DE23AC">
        <w:fldChar w:fldCharType="begin"/>
      </w:r>
      <w:r w:rsidR="00DE23AC">
        <w:instrText xml:space="preserve"> ADDIN ZOTERO_ITEM CSL_CITATION {"citationID":"o4JX2VXg","properties":{"formattedCitation":"\\super 24\\nosupersub{}","plainCitation":"24","noteIndex":0},"citationItems":[{"id":1104,"uris":["http://zotero.org/users/local/xTg0WhcH/items/GKVKFK6H"],"itemData":{"id":1104,"type":"article-journal","abstract":"We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practice.","container-title":"Scientific Reports","DOI":"10.1038/s41598-019-54204-z","ISSN":"2045-2322","issue":"1","journalAbbreviation":"Sci Rep","language":"en","note":"number: 1\npublisher: Nature Publishing Group","page":"19024","source":"www.nature.com","title":"Predicting clinical decline and conversion to Alzheimer’s disease or dementia using novel Elecsys Aβ(1–42), pTau and tTau CSF immunoassays","volume":"9","author":[{"family":"Blennow","given":"Kaj"},{"family":"Shaw","given":"Leslie M."},{"family":"Stomrud","given":"Erik"},{"family":"Mattsson","given":"Niklas"},{"family":"Toledo","given":"Jon B."},{"family":"Buck","given":"Katharina"},{"family":"Wahl","given":"Simone"},{"family":"Eichenlaub","given":"Udo"},{"family":"Lifke","given":"Valeria"},{"family":"Simon","given":"Maryline"},{"family":"Trojanowski","given":"John Q."},{"family":"Hansson","given":"Oskar"}],"issued":{"date-parts":[["2019",12,13]]}}}],"schema":"https://github.com/citation-style-language/schema/raw/master/csl-citation.json"} </w:instrText>
      </w:r>
      <w:r w:rsidR="00DE23AC">
        <w:fldChar w:fldCharType="separate"/>
      </w:r>
      <w:r w:rsidR="00DE23AC" w:rsidRPr="00DE23AC">
        <w:rPr>
          <w:rFonts w:ascii="Calibri" w:hAnsi="Calibri" w:cs="Calibri"/>
          <w:szCs w:val="24"/>
          <w:vertAlign w:val="superscript"/>
        </w:rPr>
        <w:t>24</w:t>
      </w:r>
      <w:r w:rsidR="00DE23AC">
        <w:fldChar w:fldCharType="end"/>
      </w:r>
      <w:r w:rsidR="00DE23AC">
        <w:t xml:space="preserve">. </w:t>
      </w:r>
      <w:r w:rsidR="007E2232">
        <w:t xml:space="preserve">The </w:t>
      </w:r>
      <w:r w:rsidR="00DE23AC">
        <w:t>negative coefficient for</w:t>
      </w:r>
      <w:r w:rsidR="007E2232">
        <w:t xml:space="preserve"> ventricular volume is </w:t>
      </w:r>
      <w:r w:rsidR="00DE23AC">
        <w:t>consistent</w:t>
      </w:r>
      <w:r w:rsidR="007E2232">
        <w:t xml:space="preserve"> with a previous study that found a similar relationship, with APOE allele status exerting a modulatory effect</w:t>
      </w:r>
      <w:r w:rsidR="00F42D00">
        <w:fldChar w:fldCharType="begin"/>
      </w:r>
      <w:r w:rsidR="00DE23AC">
        <w:instrText xml:space="preserve"> ADDIN ZOTERO_ITEM CSL_CITATION {"citationID":"05Eto4ol","properties":{"formattedCitation":"\\super 25\\nosupersub{}","plainCitation":"25","noteIndex":0},"citationItems":[{"id":1076,"uris":["http://zotero.org/users/local/xTg0WhcH/items/QQ8UDHAK"],"itemData":{"id":1076,"type":"article-journal","abstract":"The frequent co-occurrence of Alzheimer's disease (AD) pathology in patients with normal pressure hydrocephalus suggests a possible link between ventricular dilation and AD. If enlarging ventricles serve as a marker of faulty cerebrospinal fluid (CSF) clearance mechanisms, then a relationship may be demonstrable between increasing ventricular volume and decreasing levels of amyloid-beta peptide (Abeta) in CSF in preclinical and early AD. CSF biomarker data (Abeta, tau, and phosphorylated tau) as well as direct measurements of whole brain and ventricular volumes were obtained from the Alzheimer's Disease Neuroimaging Initiative dataset. The ratio of ventricular volume to whole brain volume was derived as a secondary independent measure. Baseline data were used for the group analyses of 288 subjects classified as being either normal (n=87), having the syndrome of mild cognitive impairment (n=136), or mild AD (n=65). Linear regression models were derived for each biomarker as the dependent variable, using the MRI volume measures and age as independent variables. For controls, ventricular volume was negatively associated with CSF Abeta in APOE epsilon4 positive subjects. A different pattern was seen in AD subjects, in whom ventricular volume was negatively associated with tau, but not Abeta in epsilon4 positive subjects. Increased ventricular volume may be associated with decreased levels of CSF Abeta in preclinical AD. The basis for the apparent effect of APOE epsilon4 genotype on the relationship of ventricular volume to Abeta and tau levels is unknown, but could involve altered CSF-blood-brain barrier function during the course of disease.","container-title":"Journal of Alzheimer's disease: JAD","DOI":"10.3233/JAD-2010-1406","ISSN":"1875-8908","issue":"2","journalAbbreviation":"J Alzheimers Dis","language":"eng","note":"PMID: 20182051\nPMCID: PMC3078034","page":"647-657","source":"PubMed","title":"Brain ventricular volume and cerebrospinal fluid biomarkers of Alzheimer's disease","volume":"20","author":[{"family":"Ott","given":"Brian R."},{"family":"Cohen","given":"Ronald A."},{"family":"Gongvatana","given":"Assawin"},{"family":"Okonkwo","given":"Ozioma C."},{"family":"Johanson","given":"Conrad E."},{"family":"Stopa","given":"Edward G."},{"family":"Donahue","given":"John E."},{"family":"Silverberg","given":"Gerald D."},{"literal":"Alzheimer's Disease Neuroimaging Initiative"}],"issued":{"date-parts":[["2010"]]}}}],"schema":"https://github.com/citation-style-language/schema/raw/master/csl-citation.json"} </w:instrText>
      </w:r>
      <w:r w:rsidR="00F42D00">
        <w:fldChar w:fldCharType="separate"/>
      </w:r>
      <w:r w:rsidR="00DE23AC" w:rsidRPr="00DE23AC">
        <w:rPr>
          <w:rFonts w:ascii="Calibri" w:hAnsi="Calibri" w:cs="Calibri"/>
          <w:szCs w:val="24"/>
          <w:vertAlign w:val="superscript"/>
        </w:rPr>
        <w:t>25</w:t>
      </w:r>
      <w:r w:rsidR="00F42D00">
        <w:fldChar w:fldCharType="end"/>
      </w:r>
      <w:r w:rsidR="00F42D00">
        <w:t>.</w:t>
      </w:r>
      <w:r w:rsidR="001C5E00">
        <w:t xml:space="preserve"> The negative coefficients for two racial backgrounds (“More than one” and “Hawaiian/Other PI”) are to be interpreted with caution given the </w:t>
      </w:r>
      <w:r w:rsidR="003C53DA">
        <w:t xml:space="preserve">very </w:t>
      </w:r>
      <w:r w:rsidR="001C5E00">
        <w:t>small number of participants in these groups (N=</w:t>
      </w:r>
      <w:r w:rsidR="003A4BE0">
        <w:t>9</w:t>
      </w:r>
      <w:r w:rsidR="001C5E00">
        <w:t xml:space="preserve"> and N=</w:t>
      </w:r>
      <w:r w:rsidR="003C53DA">
        <w:t>2</w:t>
      </w:r>
      <w:r w:rsidR="001C5E00">
        <w:t xml:space="preserve">, respectively). However, as the </w:t>
      </w:r>
      <w:r w:rsidR="001C5E00">
        <w:lastRenderedPageBreak/>
        <w:t>relationship between race and CSF biomarkers in AD has yet to be comprehensively analysed, these potential relationships warrant further study</w:t>
      </w:r>
      <w:r w:rsidR="003A4BE0">
        <w:t xml:space="preserve"> in a more racially diverse study population.</w:t>
      </w:r>
    </w:p>
    <w:p w14:paraId="2C08F893" w14:textId="4C2FD0AB" w:rsidR="0064689C" w:rsidRDefault="0064689C" w:rsidP="00DE23AC">
      <w:pPr>
        <w:ind w:firstLine="360"/>
        <w:jc w:val="both"/>
      </w:pPr>
      <w:r>
        <w:t xml:space="preserve">In addition to the </w:t>
      </w:r>
      <w:proofErr w:type="gramStart"/>
      <w:r>
        <w:t>aforementioned limitation</w:t>
      </w:r>
      <w:proofErr w:type="gramEnd"/>
      <w:r>
        <w:t xml:space="preserve"> due to limited non-Caucasian participants in this study,</w:t>
      </w:r>
      <w:r w:rsidR="003A4BE0">
        <w:t xml:space="preserve"> another limitation is that of feature selection. The dataset analysed in this project was manually cleaned and filtered prior to modelling based on data availability and domain knowledge, although some of the omitted variables may comprise the roughly 65% of unexplained variance in CSF PTAU levels. For example, a minority of participants had phosphorylated tau PET imaging data available, which is known to be correlated with CSF PTAU levels</w:t>
      </w:r>
      <w:r w:rsidR="003A4BE0">
        <w:fldChar w:fldCharType="begin"/>
      </w:r>
      <w:r w:rsidR="003A4BE0">
        <w:instrText xml:space="preserve"> ADDIN ZOTERO_ITEM CSL_CITATION {"citationID":"4bE0aWhH","properties":{"formattedCitation":"\\super 26\\nosupersub{}","plainCitation":"26","noteIndex":0},"citationItems":[{"id":1108,"uris":["http://zotero.org/users/local/xTg0WhcH/items/DYSNPQ7C"],"itemData":{"id":1108,"type":"article-journal","abstract":"Background\nTau in Alzheimer's disease (AD) is assessed via cerebrospinal fluid (CSF) and Positron emission tomography (PET). Novel methods to detect phosphorylated tau (pTau) in blood have been recently developed. We aim to investigate agreement of tau status as determined by [18F]MK6240 tau-PET, plasma pTau181 and pTau231.\nMethods\nWe assessed cognitively unimpaired young, cognitively unimpaired, mild cognitive impairment and AD individuals with [18F]MK6240, plasma pTau181, pTau 231, [18F]AZD4694 amyloid-PET and MRI. A subset underwent CSF assessment. We conducted ROC curves to obtain cut-off values for plasma pTau epitopes. Individuals were categorized as positive or negative in all biomarkers. We then compared the distribution among concordant and discordant groups in relation to diagnosis, Aβ status, APOEε4 status, [18F]AZD4694 global SUVR, hippocampal volume and CSF pTau181.\nFindings\nThe threshold for positivity was 15.085 pg/mL for plasma pTau181 and 17.652 pg/mL for plasma pTau231. Most individuals had concordant statuses, however, 18% of plasma181/PET, 26% of plasma231/PET and 25% of the pTau231/pTau181 were discordant. Positivity to at least one biomarker was often accompanied by diagnosis of cognitive impairment, Aβ positivity, APOEε4 carriership, higher levels of [18F]AZD4694 global SUVR, hippocampal atrophy and CSF pTau181.\nInterpretation\nPlasma pTau181, pTau231 and [18F]MK6240 seem to reflect different stages of tau progression. Plasma biomarkers can be useful in the context of diagnostic information and clinical trials, to evaluate the disease stage. Moreover, they seem to confidently evaluate tau-PET positivity.\nFunding\nMoreover, this study was supported by Weston Brain Institute, Canadian Institute of Health Research and Fonds de Recherche du Québec.","container-title":"eBioMedicine","DOI":"10.1016/j.ebiom.2022.103837","ISSN":"2352-3964","journalAbbreviation":"eBioMedicine","language":"en","page":"103837","source":"ScienceDirect","title":"Comparing tau status determined via plasma pTau181, pTau231 and [18F]MK6240 tau-PET","volume":"76","author":[{"family":"Tissot","given":"Cécile"},{"family":"Therriault","given":"Joseph"},{"family":"Kunach","given":"Peter"},{"family":"L Benedet","given":"Andréa"},{"family":"Pascoal","given":"Tharick A."},{"family":"Ashton","given":"Nicholas J."},{"family":"Karikari","given":"Thomas K."},{"family":"Servaes","given":"Stijn"},{"family":"Lussier","given":"Firoza Z."},{"family":"Chamoun","given":"Mira"},{"family":"Tudorascu","given":"Dana L."},{"family":"Stevenson","given":"Jenna"},{"family":"Rahmouni","given":"Nesrine"},{"family":"Poltronetti","given":"Nina Margherita"},{"family":"Pallen","given":"Vanessa"},{"family":"Bezgin","given":"Gleb"},{"family":"Kang","given":"Min Su"},{"family":"Mathotaarachchi","given":"Sulantha S."},{"family":"Wang","given":"Yi-Ting"},{"family":"Fernandez Arias","given":"Jaime"},{"family":"Ferreira","given":"Pamela Cristina Lukasewicz"},{"family":"Ferrari-Souza","given":"João Pedro"},{"family":"Vanmechelen","given":"Eugeen"},{"family":"Blennow","given":"Kaj"},{"family":"Zetterberg","given":"Henrik"},{"family":"Gauthier","given":"Serge"},{"family":"Rosa-Neto","given":"Pedro"}],"issued":{"date-parts":[["2022",2,1]]}}}],"schema":"https://github.com/citation-style-language/schema/raw/master/csl-citation.json"} </w:instrText>
      </w:r>
      <w:r w:rsidR="003A4BE0">
        <w:fldChar w:fldCharType="separate"/>
      </w:r>
      <w:r w:rsidR="003A4BE0" w:rsidRPr="003A4BE0">
        <w:rPr>
          <w:rFonts w:ascii="Calibri" w:hAnsi="Calibri" w:cs="Calibri"/>
          <w:szCs w:val="24"/>
          <w:vertAlign w:val="superscript"/>
        </w:rPr>
        <w:t>26</w:t>
      </w:r>
      <w:r w:rsidR="003A4BE0">
        <w:fldChar w:fldCharType="end"/>
      </w:r>
      <w:r w:rsidR="003A4BE0">
        <w:t>, but this variable was omitted due to insufficient observations with these measurements. Another limitation is that of model selection; while multiple OLS-based models were evaluated using power transformations and/or stepwise regression, it is possible that another type of linear model may be better suited for the dataset at hand. Future research should examine alternative models such as a generalised linear model.</w:t>
      </w:r>
    </w:p>
    <w:p w14:paraId="406F25BB" w14:textId="03073ECB" w:rsidR="00135A7E" w:rsidRDefault="00135A7E" w:rsidP="00135A7E">
      <w:pPr>
        <w:jc w:val="both"/>
      </w:pPr>
    </w:p>
    <w:p w14:paraId="4800ACA4" w14:textId="4B1A941A" w:rsidR="00135A7E" w:rsidRDefault="00135A7E" w:rsidP="00135A7E">
      <w:pPr>
        <w:pStyle w:val="Heading3"/>
        <w:numPr>
          <w:ilvl w:val="0"/>
          <w:numId w:val="1"/>
        </w:numPr>
      </w:pPr>
      <w:r w:rsidRPr="00135A7E">
        <w:t>References</w:t>
      </w:r>
    </w:p>
    <w:p w14:paraId="08BA3196" w14:textId="31A53970" w:rsidR="00135A7E" w:rsidRDefault="00135A7E" w:rsidP="00FB032C">
      <w:pPr>
        <w:spacing w:after="0"/>
        <w:ind w:left="720" w:hanging="720"/>
      </w:pPr>
      <w:r>
        <w:t>1.</w:t>
      </w:r>
      <w:r>
        <w:tab/>
        <w:t>Nichols, E. et al. Global, regional, and national burden of Alzheimer’s disease and other dementias, 1990–2016: a systematic analysis for the Global Burden of Disease Study 2016. Lancet Neurol. 18, 88–106 (2019).</w:t>
      </w:r>
    </w:p>
    <w:p w14:paraId="6A0CF15E" w14:textId="77777777" w:rsidR="00135A7E" w:rsidRDefault="00135A7E" w:rsidP="00FB032C">
      <w:pPr>
        <w:spacing w:after="0"/>
        <w:ind w:left="720" w:hanging="720"/>
      </w:pPr>
      <w:r>
        <w:t>2.</w:t>
      </w:r>
      <w:r>
        <w:tab/>
        <w:t xml:space="preserve">Zhou, Y. et al. Relevance of Phosphorylation and Truncation of Tau to the Etiopathogenesis of Alzheimer’s Disease. Front. Aging </w:t>
      </w:r>
      <w:proofErr w:type="spellStart"/>
      <w:r>
        <w:t>Neurosci</w:t>
      </w:r>
      <w:proofErr w:type="spellEnd"/>
      <w:r>
        <w:t>. 10, 27 (2018).</w:t>
      </w:r>
    </w:p>
    <w:p w14:paraId="0D948257" w14:textId="77777777" w:rsidR="00135A7E" w:rsidRDefault="00135A7E" w:rsidP="00FB032C">
      <w:pPr>
        <w:spacing w:after="0"/>
        <w:ind w:left="720" w:hanging="720"/>
      </w:pPr>
      <w:r>
        <w:t>3.</w:t>
      </w:r>
      <w:r>
        <w:tab/>
        <w:t xml:space="preserve">Weiner, M. W. et al. The Alzheimer’s Disease Neuroimaging Initiative 3: Continued innovation for clinical trial improvement. </w:t>
      </w:r>
      <w:proofErr w:type="spellStart"/>
      <w:r>
        <w:t>Alzheimers</w:t>
      </w:r>
      <w:proofErr w:type="spellEnd"/>
      <w:r>
        <w:t xml:space="preserve"> Dement. 13, 561–571 (2017).</w:t>
      </w:r>
    </w:p>
    <w:p w14:paraId="1558F25D" w14:textId="77777777" w:rsidR="00135A7E" w:rsidRDefault="00135A7E" w:rsidP="00FB032C">
      <w:pPr>
        <w:spacing w:after="0"/>
        <w:ind w:left="720" w:hanging="720"/>
      </w:pPr>
      <w:r>
        <w:t>4.</w:t>
      </w:r>
      <w:r>
        <w:tab/>
        <w:t>Rosen, W. G., Mohs, R. C. &amp; Davis, K. L. A new rating scale for Alzheimer’s disease. Am. J. Psychiatry 141, 1356–64 (1984).</w:t>
      </w:r>
    </w:p>
    <w:p w14:paraId="10569A74" w14:textId="77777777" w:rsidR="00135A7E" w:rsidRDefault="00135A7E" w:rsidP="00FB032C">
      <w:pPr>
        <w:spacing w:after="0"/>
        <w:ind w:left="720" w:hanging="720"/>
      </w:pPr>
      <w:r>
        <w:t>5.</w:t>
      </w:r>
      <w:r>
        <w:tab/>
        <w:t xml:space="preserve">Mohs, R. C. et al. Development of cognitive instruments for use in clinical trials of antidementia drugs: additions to the Alzheimer’s Disease Assessment Scale that broaden its scope. Alzheimer Dis. Assoc. </w:t>
      </w:r>
      <w:proofErr w:type="spellStart"/>
      <w:r>
        <w:t>Disord</w:t>
      </w:r>
      <w:proofErr w:type="spellEnd"/>
      <w:r>
        <w:t>. 11, 13–21 (1997).</w:t>
      </w:r>
    </w:p>
    <w:p w14:paraId="656FFE40" w14:textId="77777777" w:rsidR="00135A7E" w:rsidRDefault="00135A7E" w:rsidP="00FB032C">
      <w:pPr>
        <w:spacing w:after="0"/>
        <w:ind w:left="720" w:hanging="720"/>
      </w:pPr>
      <w:r>
        <w:t>6.</w:t>
      </w:r>
      <w:r>
        <w:tab/>
      </w:r>
      <w:proofErr w:type="spellStart"/>
      <w:r>
        <w:t>Folstein</w:t>
      </w:r>
      <w:proofErr w:type="spellEnd"/>
      <w:r>
        <w:t xml:space="preserve">, M. F., </w:t>
      </w:r>
      <w:proofErr w:type="spellStart"/>
      <w:r>
        <w:t>Folstein</w:t>
      </w:r>
      <w:proofErr w:type="spellEnd"/>
      <w:r>
        <w:t xml:space="preserve">, S. E. &amp; McHugh, P. R. ‘Mini-mental state’. A practical method for grading the cognitive state of patients for the clinician. J. </w:t>
      </w:r>
      <w:proofErr w:type="spellStart"/>
      <w:r>
        <w:t>Psychiatr</w:t>
      </w:r>
      <w:proofErr w:type="spellEnd"/>
      <w:r>
        <w:t>. Res. 12, 189–198 (1975).</w:t>
      </w:r>
    </w:p>
    <w:p w14:paraId="1479BA3D" w14:textId="77777777" w:rsidR="00135A7E" w:rsidRDefault="00135A7E" w:rsidP="00FB032C">
      <w:pPr>
        <w:spacing w:after="0"/>
        <w:ind w:left="720" w:hanging="720"/>
      </w:pPr>
      <w:r>
        <w:t>7.</w:t>
      </w:r>
      <w:r>
        <w:tab/>
        <w:t>Hughes, C. P., Berg, L., Danziger, W., Coben, L. A. &amp; Martin, R. L. A New Clinical Scale for the Staging of Dementia. Br. J. Psychiatry 140, 566–572 (1982).</w:t>
      </w:r>
    </w:p>
    <w:p w14:paraId="1CEA7999" w14:textId="77777777" w:rsidR="00135A7E" w:rsidRDefault="00135A7E" w:rsidP="00FB032C">
      <w:pPr>
        <w:spacing w:after="0"/>
        <w:ind w:left="720" w:hanging="720"/>
      </w:pPr>
      <w:r>
        <w:t>8.</w:t>
      </w:r>
      <w:r>
        <w:tab/>
      </w:r>
      <w:proofErr w:type="spellStart"/>
      <w:r>
        <w:t>Marill</w:t>
      </w:r>
      <w:proofErr w:type="spellEnd"/>
      <w:r>
        <w:t xml:space="preserve">, K. A. Advanced statistics: linear regression, part I: simple linear regression. Acad. </w:t>
      </w:r>
      <w:proofErr w:type="spellStart"/>
      <w:r>
        <w:t>Emerg</w:t>
      </w:r>
      <w:proofErr w:type="spellEnd"/>
      <w:r>
        <w:t xml:space="preserve">. Med. Off. J. Soc. Acad. </w:t>
      </w:r>
      <w:proofErr w:type="spellStart"/>
      <w:r>
        <w:t>Emerg</w:t>
      </w:r>
      <w:proofErr w:type="spellEnd"/>
      <w:r>
        <w:t>. Med. 11, 87–93 (2004).</w:t>
      </w:r>
    </w:p>
    <w:p w14:paraId="6A47A857" w14:textId="77777777" w:rsidR="00135A7E" w:rsidRDefault="00135A7E" w:rsidP="00FB032C">
      <w:pPr>
        <w:spacing w:after="0"/>
        <w:ind w:left="720" w:hanging="720"/>
      </w:pPr>
      <w:r>
        <w:t>9.</w:t>
      </w:r>
      <w:r>
        <w:tab/>
        <w:t xml:space="preserve">James, G., Witten, D., Hastie, T. &amp; </w:t>
      </w:r>
      <w:proofErr w:type="spellStart"/>
      <w:r>
        <w:t>Tibshirani</w:t>
      </w:r>
      <w:proofErr w:type="spellEnd"/>
      <w:r>
        <w:t>, R. An Introduction to Statistical Learning: with Applications in R. vol. 112 (Springer US, 2013).</w:t>
      </w:r>
    </w:p>
    <w:p w14:paraId="5A11EF90" w14:textId="77777777" w:rsidR="00135A7E" w:rsidRDefault="00135A7E" w:rsidP="00FB032C">
      <w:pPr>
        <w:spacing w:after="0"/>
        <w:ind w:left="720" w:hanging="720"/>
      </w:pPr>
      <w:r>
        <w:t>10.</w:t>
      </w:r>
      <w:r>
        <w:tab/>
        <w:t xml:space="preserve">Box, G. E. P. &amp; Cox, D. R. An Analysis of Transformations. J. R. Stat. Soc. Ser. B </w:t>
      </w:r>
      <w:proofErr w:type="spellStart"/>
      <w:r>
        <w:t>Methodol</w:t>
      </w:r>
      <w:proofErr w:type="spellEnd"/>
      <w:r>
        <w:t>. 26, 211–252 (1964).</w:t>
      </w:r>
    </w:p>
    <w:p w14:paraId="7D205EF8" w14:textId="77777777" w:rsidR="00135A7E" w:rsidRDefault="00135A7E" w:rsidP="00FB032C">
      <w:pPr>
        <w:spacing w:after="0"/>
        <w:ind w:left="720" w:hanging="720"/>
      </w:pPr>
      <w:r>
        <w:t>11.</w:t>
      </w:r>
      <w:r>
        <w:tab/>
        <w:t xml:space="preserve">White, H. A Heteroskedasticity-Consistent Covariance Matrix Estimator and a Direct Test for Heteroskedasticity. </w:t>
      </w:r>
      <w:proofErr w:type="spellStart"/>
      <w:r>
        <w:t>Econometrica</w:t>
      </w:r>
      <w:proofErr w:type="spellEnd"/>
      <w:r>
        <w:t xml:space="preserve"> 48, 817–838 (1980).</w:t>
      </w:r>
    </w:p>
    <w:p w14:paraId="5DE8535E" w14:textId="77777777" w:rsidR="00135A7E" w:rsidRDefault="00135A7E" w:rsidP="00FB032C">
      <w:pPr>
        <w:spacing w:after="0"/>
        <w:ind w:left="720" w:hanging="720"/>
      </w:pPr>
      <w:r>
        <w:t>12.</w:t>
      </w:r>
      <w:r>
        <w:tab/>
      </w:r>
      <w:proofErr w:type="spellStart"/>
      <w:r>
        <w:t>Eicker</w:t>
      </w:r>
      <w:proofErr w:type="spellEnd"/>
      <w:r>
        <w:t>, F. Limit theorems for regressions with unequal and dependent errors. in Proceedings of the Fifth Berkeley Symposium on Mathematical Statistics and Probability (1967).</w:t>
      </w:r>
    </w:p>
    <w:p w14:paraId="34D31FFB" w14:textId="77777777" w:rsidR="00135A7E" w:rsidRDefault="00135A7E" w:rsidP="00FB032C">
      <w:pPr>
        <w:spacing w:after="0"/>
        <w:ind w:left="720" w:hanging="720"/>
      </w:pPr>
      <w:r>
        <w:t>13.</w:t>
      </w:r>
      <w:r>
        <w:tab/>
        <w:t xml:space="preserve">Huber, P. J. The </w:t>
      </w:r>
      <w:proofErr w:type="spellStart"/>
      <w:r>
        <w:t>behavior</w:t>
      </w:r>
      <w:proofErr w:type="spellEnd"/>
      <w:r>
        <w:t xml:space="preserve"> of maximum likelihood estimates under nonstandard conditions. Proc. Fifth Berkeley </w:t>
      </w:r>
      <w:proofErr w:type="spellStart"/>
      <w:r>
        <w:t>Symp</w:t>
      </w:r>
      <w:proofErr w:type="spellEnd"/>
      <w:r>
        <w:t xml:space="preserve">. Math. Stat. </w:t>
      </w:r>
      <w:proofErr w:type="spellStart"/>
      <w:r>
        <w:t>Probab</w:t>
      </w:r>
      <w:proofErr w:type="spellEnd"/>
      <w:r>
        <w:t>. Vol. 1 Stat. 5.1, 221–234 (1967).</w:t>
      </w:r>
    </w:p>
    <w:p w14:paraId="227EAA11" w14:textId="77777777" w:rsidR="00135A7E" w:rsidRDefault="00135A7E" w:rsidP="00FB032C">
      <w:pPr>
        <w:spacing w:after="0"/>
        <w:ind w:left="720" w:hanging="720"/>
      </w:pPr>
      <w:r>
        <w:t>14.</w:t>
      </w:r>
      <w:r>
        <w:tab/>
      </w:r>
      <w:proofErr w:type="spellStart"/>
      <w:r>
        <w:t>Zeileis</w:t>
      </w:r>
      <w:proofErr w:type="spellEnd"/>
      <w:r>
        <w:t xml:space="preserve">, A. Econometric Computing with HC and HAC Covariance Matrix Estimators. J. Stat. </w:t>
      </w:r>
      <w:proofErr w:type="spellStart"/>
      <w:r>
        <w:t>Softw</w:t>
      </w:r>
      <w:proofErr w:type="spellEnd"/>
      <w:r>
        <w:t>. 11, 1–17 (2004).</w:t>
      </w:r>
    </w:p>
    <w:p w14:paraId="704F0565" w14:textId="77777777" w:rsidR="00135A7E" w:rsidRDefault="00135A7E" w:rsidP="00FB032C">
      <w:pPr>
        <w:spacing w:after="0"/>
        <w:ind w:left="720" w:hanging="720"/>
      </w:pPr>
      <w:r>
        <w:lastRenderedPageBreak/>
        <w:t>15.</w:t>
      </w:r>
      <w:r>
        <w:tab/>
      </w:r>
      <w:proofErr w:type="spellStart"/>
      <w:r>
        <w:t>Zeileis</w:t>
      </w:r>
      <w:proofErr w:type="spellEnd"/>
      <w:r>
        <w:t xml:space="preserve">, A., </w:t>
      </w:r>
      <w:proofErr w:type="spellStart"/>
      <w:r>
        <w:t>Köll</w:t>
      </w:r>
      <w:proofErr w:type="spellEnd"/>
      <w:r>
        <w:t xml:space="preserve">, S. &amp; Graham, N. Various Versatile Variances: An Object-Oriented Implementation of Clustered Covariances in R. J. Stat. </w:t>
      </w:r>
      <w:proofErr w:type="spellStart"/>
      <w:r>
        <w:t>Softw</w:t>
      </w:r>
      <w:proofErr w:type="spellEnd"/>
      <w:r>
        <w:t>. 95, 1–36 (2020).</w:t>
      </w:r>
    </w:p>
    <w:p w14:paraId="228EEEE0" w14:textId="77777777" w:rsidR="00135A7E" w:rsidRDefault="00135A7E" w:rsidP="00FB032C">
      <w:pPr>
        <w:spacing w:after="0"/>
        <w:ind w:left="720" w:hanging="720"/>
      </w:pPr>
      <w:r>
        <w:t>16.</w:t>
      </w:r>
      <w:r>
        <w:tab/>
        <w:t>Venables, W. N. &amp; Ripley, B. D. Modern Applied Statistics with S-PLUS. (Springer Science &amp; Business Media, 2013).</w:t>
      </w:r>
    </w:p>
    <w:p w14:paraId="606ED287" w14:textId="77777777" w:rsidR="00135A7E" w:rsidRDefault="00135A7E" w:rsidP="00FB032C">
      <w:pPr>
        <w:spacing w:after="0"/>
        <w:ind w:left="720" w:hanging="720"/>
      </w:pPr>
      <w:r>
        <w:t>17.</w:t>
      </w:r>
      <w:r>
        <w:tab/>
        <w:t xml:space="preserve">Liu, C.-C., </w:t>
      </w:r>
      <w:proofErr w:type="spellStart"/>
      <w:r>
        <w:t>Kanekiyo</w:t>
      </w:r>
      <w:proofErr w:type="spellEnd"/>
      <w:r>
        <w:t xml:space="preserve">, T., Xu, H. &amp; Bu, G. Apolipoprotein E and Alzheimer disease: risk, </w:t>
      </w:r>
      <w:proofErr w:type="gramStart"/>
      <w:r>
        <w:t>mechanisms</w:t>
      </w:r>
      <w:proofErr w:type="gramEnd"/>
      <w:r>
        <w:t xml:space="preserve"> and therapy. Nat. Rev. Neurol. 9, 106–118 (2013).</w:t>
      </w:r>
    </w:p>
    <w:p w14:paraId="168F6601" w14:textId="77777777" w:rsidR="00135A7E" w:rsidRDefault="00135A7E" w:rsidP="00FB032C">
      <w:pPr>
        <w:spacing w:after="0"/>
        <w:ind w:left="720" w:hanging="720"/>
      </w:pPr>
      <w:r>
        <w:t>18.</w:t>
      </w:r>
      <w:r>
        <w:tab/>
      </w:r>
      <w:proofErr w:type="spellStart"/>
      <w:r>
        <w:t>Sjögren</w:t>
      </w:r>
      <w:proofErr w:type="spellEnd"/>
      <w:r>
        <w:t>, M. et al. Tau and Aβ42 in Cerebrospinal Fluid from Healthy Adults 21–93 Years of Age: Establishment of Reference Values. Clin. Chem. 47, 1776–1781 (2001).</w:t>
      </w:r>
    </w:p>
    <w:p w14:paraId="1648E97E" w14:textId="77777777" w:rsidR="00135A7E" w:rsidRDefault="00135A7E" w:rsidP="00FB032C">
      <w:pPr>
        <w:spacing w:after="0"/>
        <w:ind w:left="720" w:hanging="720"/>
      </w:pPr>
      <w:r>
        <w:t>19.</w:t>
      </w:r>
      <w:r>
        <w:tab/>
      </w:r>
      <w:proofErr w:type="spellStart"/>
      <w:r>
        <w:t>Scheyer</w:t>
      </w:r>
      <w:proofErr w:type="spellEnd"/>
      <w:r>
        <w:t xml:space="preserve">, O. et al. Female Sex and Alzheimer’s Risk: The Menopause Connection. J. Prev. </w:t>
      </w:r>
      <w:proofErr w:type="spellStart"/>
      <w:r>
        <w:t>Alzheimers</w:t>
      </w:r>
      <w:proofErr w:type="spellEnd"/>
      <w:r>
        <w:t xml:space="preserve"> Dis. 5, 225–230 (2018).</w:t>
      </w:r>
    </w:p>
    <w:p w14:paraId="063231F0" w14:textId="77777777" w:rsidR="00135A7E" w:rsidRDefault="00135A7E" w:rsidP="00135A7E">
      <w:pPr>
        <w:spacing w:after="0"/>
        <w:ind w:left="720" w:hanging="720"/>
      </w:pPr>
      <w:r>
        <w:t>20.</w:t>
      </w:r>
      <w:r>
        <w:tab/>
        <w:t>Hirata-</w:t>
      </w:r>
      <w:proofErr w:type="spellStart"/>
      <w:r>
        <w:t>Fukae</w:t>
      </w:r>
      <w:proofErr w:type="spellEnd"/>
      <w:r>
        <w:t>, C. et al. Females exhibit more extensive amyloid, but not tau, pathology in an Alzheimer transgenic model. Brain Res. 1216, 92–103 (2008).</w:t>
      </w:r>
    </w:p>
    <w:p w14:paraId="4EB26947" w14:textId="77777777" w:rsidR="00135A7E" w:rsidRDefault="00135A7E" w:rsidP="00135A7E">
      <w:pPr>
        <w:spacing w:after="0"/>
        <w:ind w:left="720" w:hanging="720"/>
      </w:pPr>
      <w:r>
        <w:t>21.</w:t>
      </w:r>
      <w:r>
        <w:tab/>
      </w:r>
      <w:proofErr w:type="spellStart"/>
      <w:r>
        <w:t>Ingber</w:t>
      </w:r>
      <w:proofErr w:type="spellEnd"/>
      <w:r>
        <w:t xml:space="preserve">, A. P. et al. Cerebrospinal Fluid Biomarkers and Reserve Variables as Predictors of Future “Non-Cognitive” Outcomes of Alzheimer’s Disease. J. </w:t>
      </w:r>
      <w:proofErr w:type="spellStart"/>
      <w:r>
        <w:t>Alzheimers</w:t>
      </w:r>
      <w:proofErr w:type="spellEnd"/>
      <w:r>
        <w:t xml:space="preserve"> Dis. JAD 52, 1055–1064 (2016).</w:t>
      </w:r>
    </w:p>
    <w:p w14:paraId="2D7D9F43" w14:textId="77777777" w:rsidR="00135A7E" w:rsidRDefault="00135A7E" w:rsidP="00135A7E">
      <w:pPr>
        <w:spacing w:after="0"/>
        <w:ind w:left="720" w:hanging="720"/>
      </w:pPr>
      <w:r>
        <w:t>22.</w:t>
      </w:r>
      <w:r>
        <w:tab/>
        <w:t>Petrie, E. C. et al. Preclinical Evidence of Alzheimer Changes: Convergent Cerebrospinal Fluid Biomarker and Fluorodeoxyglucose Positron Emission Tomography Findings. Arch. Neurol. 66, 632–637 (2009).</w:t>
      </w:r>
    </w:p>
    <w:p w14:paraId="47539858" w14:textId="77777777" w:rsidR="00135A7E" w:rsidRDefault="00135A7E" w:rsidP="00135A7E">
      <w:pPr>
        <w:spacing w:after="0"/>
        <w:ind w:left="720" w:hanging="720"/>
      </w:pPr>
      <w:r>
        <w:t>23.</w:t>
      </w:r>
      <w:r>
        <w:tab/>
        <w:t xml:space="preserve">Hansson, O. et al. CSF biomarkers of Alzheimer’s disease concord with amyloid-β PET and predict clinical progression: A study of fully automated immunoassays in </w:t>
      </w:r>
      <w:proofErr w:type="spellStart"/>
      <w:r>
        <w:t>BioFINDER</w:t>
      </w:r>
      <w:proofErr w:type="spellEnd"/>
      <w:r>
        <w:t xml:space="preserve"> and ADNI cohorts. </w:t>
      </w:r>
      <w:proofErr w:type="spellStart"/>
      <w:r>
        <w:t>Alzheimers</w:t>
      </w:r>
      <w:proofErr w:type="spellEnd"/>
      <w:r>
        <w:t xml:space="preserve"> Dement. 14, 1470–1481 (2018).</w:t>
      </w:r>
    </w:p>
    <w:p w14:paraId="6D083AFD" w14:textId="77777777" w:rsidR="00135A7E" w:rsidRDefault="00135A7E" w:rsidP="00135A7E">
      <w:pPr>
        <w:spacing w:after="0"/>
        <w:ind w:left="720" w:hanging="720"/>
      </w:pPr>
      <w:r>
        <w:t>24.</w:t>
      </w:r>
      <w:r>
        <w:tab/>
      </w:r>
      <w:proofErr w:type="spellStart"/>
      <w:r>
        <w:t>Blennow</w:t>
      </w:r>
      <w:proofErr w:type="spellEnd"/>
      <w:r>
        <w:t xml:space="preserve">, K. et al. Predicting clinical decline and conversion to Alzheimer’s disease or dementia using novel </w:t>
      </w:r>
      <w:proofErr w:type="spellStart"/>
      <w:r>
        <w:t>Elecsys</w:t>
      </w:r>
      <w:proofErr w:type="spellEnd"/>
      <w:r>
        <w:t xml:space="preserve"> A</w:t>
      </w:r>
      <w:proofErr w:type="gramStart"/>
      <w:r>
        <w:t>β(</w:t>
      </w:r>
      <w:proofErr w:type="gramEnd"/>
      <w:r>
        <w:t xml:space="preserve">1–42), </w:t>
      </w:r>
      <w:proofErr w:type="spellStart"/>
      <w:r>
        <w:t>pTau</w:t>
      </w:r>
      <w:proofErr w:type="spellEnd"/>
      <w:r>
        <w:t xml:space="preserve"> and </w:t>
      </w:r>
      <w:proofErr w:type="spellStart"/>
      <w:r>
        <w:t>tTau</w:t>
      </w:r>
      <w:proofErr w:type="spellEnd"/>
      <w:r>
        <w:t xml:space="preserve"> CSF immunoassays. Sci. Rep. 9, 19024 (2019).</w:t>
      </w:r>
    </w:p>
    <w:p w14:paraId="6FCBDFA3" w14:textId="77777777" w:rsidR="00135A7E" w:rsidRDefault="00135A7E" w:rsidP="00135A7E">
      <w:pPr>
        <w:spacing w:after="0"/>
        <w:ind w:left="720" w:hanging="720"/>
      </w:pPr>
      <w:r>
        <w:t>25.</w:t>
      </w:r>
      <w:r>
        <w:tab/>
        <w:t xml:space="preserve">Ott, B. R. et al. Brain ventricular volume and cerebrospinal fluid biomarkers of Alzheimer’s disease. J. </w:t>
      </w:r>
      <w:proofErr w:type="spellStart"/>
      <w:r>
        <w:t>Alzheimers</w:t>
      </w:r>
      <w:proofErr w:type="spellEnd"/>
      <w:r>
        <w:t xml:space="preserve"> Dis. JAD 20, 647–657 (2010).</w:t>
      </w:r>
    </w:p>
    <w:p w14:paraId="7B4F676C" w14:textId="451A6A05" w:rsidR="00135A7E" w:rsidRDefault="00135A7E" w:rsidP="00135A7E">
      <w:pPr>
        <w:spacing w:after="0"/>
        <w:ind w:left="720" w:hanging="720"/>
      </w:pPr>
      <w:r>
        <w:t>26.</w:t>
      </w:r>
      <w:r>
        <w:tab/>
        <w:t xml:space="preserve">Tissot, C. et al. Comparing tau status determined via plasma pTau181, pTau231 and [18F]MK6240 tau-PET. </w:t>
      </w:r>
      <w:proofErr w:type="spellStart"/>
      <w:r>
        <w:t>eBioMedicine</w:t>
      </w:r>
      <w:proofErr w:type="spellEnd"/>
      <w:r>
        <w:t xml:space="preserve"> 76, 103837 (2022).</w:t>
      </w:r>
    </w:p>
    <w:p w14:paraId="6975E381" w14:textId="21621849" w:rsidR="00E7621C" w:rsidRPr="00E7621C" w:rsidRDefault="00E7621C" w:rsidP="003A5626">
      <w:pPr>
        <w:spacing w:after="0"/>
        <w:jc w:val="both"/>
      </w:pPr>
    </w:p>
    <w:sectPr w:rsidR="00E7621C" w:rsidRPr="00E7621C" w:rsidSect="00473C15">
      <w:headerReference w:type="default" r:id="rId16"/>
      <w:footerReference w:type="default" r:id="rId17"/>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F432" w14:textId="77777777" w:rsidR="003A248B" w:rsidRDefault="003A248B" w:rsidP="001319F9">
      <w:pPr>
        <w:spacing w:after="0" w:line="240" w:lineRule="auto"/>
      </w:pPr>
      <w:r>
        <w:separator/>
      </w:r>
    </w:p>
  </w:endnote>
  <w:endnote w:type="continuationSeparator" w:id="0">
    <w:p w14:paraId="0BF25667" w14:textId="77777777" w:rsidR="003A248B" w:rsidRDefault="003A248B" w:rsidP="00131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35472"/>
      <w:docPartObj>
        <w:docPartGallery w:val="Page Numbers (Bottom of Page)"/>
        <w:docPartUnique/>
      </w:docPartObj>
    </w:sdtPr>
    <w:sdtEndPr>
      <w:rPr>
        <w:noProof/>
      </w:rPr>
    </w:sdtEndPr>
    <w:sdtContent>
      <w:p w14:paraId="7BAD1F9E" w14:textId="72F56CB6" w:rsidR="001319F9" w:rsidRDefault="001319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55D5FB" w14:textId="24BEA37B" w:rsidR="001319F9" w:rsidRDefault="001319F9">
    <w:pPr>
      <w:pStyle w:val="Footer"/>
    </w:pPr>
    <w:r>
      <w:t>OLET5608 May 2022 | The University of Sydney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A3A1" w14:textId="77777777" w:rsidR="003A248B" w:rsidRDefault="003A248B" w:rsidP="001319F9">
      <w:pPr>
        <w:spacing w:after="0" w:line="240" w:lineRule="auto"/>
      </w:pPr>
      <w:r>
        <w:separator/>
      </w:r>
    </w:p>
  </w:footnote>
  <w:footnote w:type="continuationSeparator" w:id="0">
    <w:p w14:paraId="5AE49CC3" w14:textId="77777777" w:rsidR="003A248B" w:rsidRDefault="003A248B" w:rsidP="00131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0E9E" w14:textId="69807BC8" w:rsidR="001319F9" w:rsidRDefault="001319F9" w:rsidP="001319F9">
    <w:pPr>
      <w:pStyle w:val="Header"/>
      <w:tabs>
        <w:tab w:val="clear" w:pos="4513"/>
        <w:tab w:val="clear" w:pos="9026"/>
        <w:tab w:val="right" w:pos="9360"/>
      </w:tabs>
    </w:pPr>
    <w:r>
      <w:t>Annie G. Bryant</w:t>
    </w:r>
    <w:r>
      <w:tab/>
    </w:r>
    <w:r w:rsidR="003F0D99">
      <w:t>AD</w:t>
    </w:r>
    <w:r>
      <w:t xml:space="preserve"> Biomarker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66A6"/>
    <w:multiLevelType w:val="hybridMultilevel"/>
    <w:tmpl w:val="6F6AD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4CD4BAC"/>
    <w:multiLevelType w:val="multilevel"/>
    <w:tmpl w:val="98BA97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6D"/>
    <w:rsid w:val="000001AE"/>
    <w:rsid w:val="00021074"/>
    <w:rsid w:val="0004251F"/>
    <w:rsid w:val="00047160"/>
    <w:rsid w:val="00052DD5"/>
    <w:rsid w:val="0007627D"/>
    <w:rsid w:val="00080471"/>
    <w:rsid w:val="0008704E"/>
    <w:rsid w:val="0008737F"/>
    <w:rsid w:val="00091B61"/>
    <w:rsid w:val="000A32B6"/>
    <w:rsid w:val="000A687B"/>
    <w:rsid w:val="000B4046"/>
    <w:rsid w:val="000B4C6D"/>
    <w:rsid w:val="000C5864"/>
    <w:rsid w:val="000D3DA8"/>
    <w:rsid w:val="000D4629"/>
    <w:rsid w:val="000E2096"/>
    <w:rsid w:val="000E2705"/>
    <w:rsid w:val="000E7D46"/>
    <w:rsid w:val="000F6131"/>
    <w:rsid w:val="0010162F"/>
    <w:rsid w:val="00102BE2"/>
    <w:rsid w:val="001040F7"/>
    <w:rsid w:val="00114764"/>
    <w:rsid w:val="001319F9"/>
    <w:rsid w:val="00135A7E"/>
    <w:rsid w:val="00136713"/>
    <w:rsid w:val="00137E38"/>
    <w:rsid w:val="00151A1D"/>
    <w:rsid w:val="00153E0E"/>
    <w:rsid w:val="00161F0D"/>
    <w:rsid w:val="001628AC"/>
    <w:rsid w:val="001719A0"/>
    <w:rsid w:val="001721D3"/>
    <w:rsid w:val="00172FFC"/>
    <w:rsid w:val="0017305C"/>
    <w:rsid w:val="00176172"/>
    <w:rsid w:val="00192E04"/>
    <w:rsid w:val="00196910"/>
    <w:rsid w:val="001A2217"/>
    <w:rsid w:val="001A401E"/>
    <w:rsid w:val="001C4D60"/>
    <w:rsid w:val="001C5E00"/>
    <w:rsid w:val="001D6D68"/>
    <w:rsid w:val="001E3936"/>
    <w:rsid w:val="001F0AAA"/>
    <w:rsid w:val="001F6AF4"/>
    <w:rsid w:val="00205C1E"/>
    <w:rsid w:val="00220327"/>
    <w:rsid w:val="0022121E"/>
    <w:rsid w:val="00234C83"/>
    <w:rsid w:val="002549C5"/>
    <w:rsid w:val="00254B86"/>
    <w:rsid w:val="00257C61"/>
    <w:rsid w:val="00266FA6"/>
    <w:rsid w:val="00274A39"/>
    <w:rsid w:val="00280D50"/>
    <w:rsid w:val="00281F68"/>
    <w:rsid w:val="00286080"/>
    <w:rsid w:val="00287774"/>
    <w:rsid w:val="002A00A2"/>
    <w:rsid w:val="002B258E"/>
    <w:rsid w:val="002B7DE6"/>
    <w:rsid w:val="002C0174"/>
    <w:rsid w:val="002C11BE"/>
    <w:rsid w:val="002C3F99"/>
    <w:rsid w:val="002E06B5"/>
    <w:rsid w:val="002E403F"/>
    <w:rsid w:val="002E6BDB"/>
    <w:rsid w:val="002E6DDE"/>
    <w:rsid w:val="002F4F86"/>
    <w:rsid w:val="00300E27"/>
    <w:rsid w:val="0030150C"/>
    <w:rsid w:val="00302226"/>
    <w:rsid w:val="003034B7"/>
    <w:rsid w:val="00310E11"/>
    <w:rsid w:val="00312C0D"/>
    <w:rsid w:val="00315D95"/>
    <w:rsid w:val="00324370"/>
    <w:rsid w:val="00324F46"/>
    <w:rsid w:val="003354E6"/>
    <w:rsid w:val="00351105"/>
    <w:rsid w:val="003769F2"/>
    <w:rsid w:val="00376F4E"/>
    <w:rsid w:val="00381733"/>
    <w:rsid w:val="00385192"/>
    <w:rsid w:val="003937BF"/>
    <w:rsid w:val="003A248B"/>
    <w:rsid w:val="003A4BE0"/>
    <w:rsid w:val="003A5626"/>
    <w:rsid w:val="003A6755"/>
    <w:rsid w:val="003B4B75"/>
    <w:rsid w:val="003C53DA"/>
    <w:rsid w:val="003E0E2C"/>
    <w:rsid w:val="003E4929"/>
    <w:rsid w:val="003E557F"/>
    <w:rsid w:val="003F0D99"/>
    <w:rsid w:val="003F75D7"/>
    <w:rsid w:val="0040184E"/>
    <w:rsid w:val="00404949"/>
    <w:rsid w:val="00404E36"/>
    <w:rsid w:val="004052EC"/>
    <w:rsid w:val="00427C43"/>
    <w:rsid w:val="00431436"/>
    <w:rsid w:val="00436522"/>
    <w:rsid w:val="0044743F"/>
    <w:rsid w:val="00447BC4"/>
    <w:rsid w:val="00473C15"/>
    <w:rsid w:val="004765C9"/>
    <w:rsid w:val="004A2F75"/>
    <w:rsid w:val="004C026E"/>
    <w:rsid w:val="004C2D5B"/>
    <w:rsid w:val="004C5F03"/>
    <w:rsid w:val="004E7343"/>
    <w:rsid w:val="0050510C"/>
    <w:rsid w:val="00506FA5"/>
    <w:rsid w:val="00525ACA"/>
    <w:rsid w:val="0053238F"/>
    <w:rsid w:val="005338BC"/>
    <w:rsid w:val="00537E97"/>
    <w:rsid w:val="00541606"/>
    <w:rsid w:val="0054440A"/>
    <w:rsid w:val="005548D7"/>
    <w:rsid w:val="005711A7"/>
    <w:rsid w:val="005779EA"/>
    <w:rsid w:val="00577D70"/>
    <w:rsid w:val="005931CB"/>
    <w:rsid w:val="00593A6D"/>
    <w:rsid w:val="00593AA9"/>
    <w:rsid w:val="005947F4"/>
    <w:rsid w:val="005A0D51"/>
    <w:rsid w:val="005B077B"/>
    <w:rsid w:val="005B2454"/>
    <w:rsid w:val="005B4705"/>
    <w:rsid w:val="005C272B"/>
    <w:rsid w:val="005C2E84"/>
    <w:rsid w:val="005D5CA3"/>
    <w:rsid w:val="005D7ADA"/>
    <w:rsid w:val="005F4CDB"/>
    <w:rsid w:val="005F6463"/>
    <w:rsid w:val="005F71B5"/>
    <w:rsid w:val="00620F62"/>
    <w:rsid w:val="006272FB"/>
    <w:rsid w:val="00637F3D"/>
    <w:rsid w:val="0064682F"/>
    <w:rsid w:val="0064689C"/>
    <w:rsid w:val="006725C8"/>
    <w:rsid w:val="0067497C"/>
    <w:rsid w:val="006A20E9"/>
    <w:rsid w:val="006B491C"/>
    <w:rsid w:val="006B524F"/>
    <w:rsid w:val="006C17FA"/>
    <w:rsid w:val="006C37E0"/>
    <w:rsid w:val="006D423D"/>
    <w:rsid w:val="006D64D3"/>
    <w:rsid w:val="006F1E86"/>
    <w:rsid w:val="00711322"/>
    <w:rsid w:val="00737D7C"/>
    <w:rsid w:val="0074034B"/>
    <w:rsid w:val="0074305F"/>
    <w:rsid w:val="007453F3"/>
    <w:rsid w:val="00755D9A"/>
    <w:rsid w:val="00763A3F"/>
    <w:rsid w:val="00773C0D"/>
    <w:rsid w:val="00781080"/>
    <w:rsid w:val="007922F9"/>
    <w:rsid w:val="00797ABB"/>
    <w:rsid w:val="007A001F"/>
    <w:rsid w:val="007A785A"/>
    <w:rsid w:val="007D1945"/>
    <w:rsid w:val="007E2232"/>
    <w:rsid w:val="007E3CBF"/>
    <w:rsid w:val="007F6600"/>
    <w:rsid w:val="0081130D"/>
    <w:rsid w:val="00812BC8"/>
    <w:rsid w:val="00824E01"/>
    <w:rsid w:val="00827C20"/>
    <w:rsid w:val="0083314C"/>
    <w:rsid w:val="00835674"/>
    <w:rsid w:val="008777A1"/>
    <w:rsid w:val="00891446"/>
    <w:rsid w:val="00894218"/>
    <w:rsid w:val="00897D3D"/>
    <w:rsid w:val="008A15F0"/>
    <w:rsid w:val="008A21EC"/>
    <w:rsid w:val="008B06D5"/>
    <w:rsid w:val="008C030F"/>
    <w:rsid w:val="008C0B68"/>
    <w:rsid w:val="008C3905"/>
    <w:rsid w:val="008C6032"/>
    <w:rsid w:val="008C7C90"/>
    <w:rsid w:val="008E05FD"/>
    <w:rsid w:val="008F378C"/>
    <w:rsid w:val="008F72B8"/>
    <w:rsid w:val="008F7580"/>
    <w:rsid w:val="0090214F"/>
    <w:rsid w:val="00906960"/>
    <w:rsid w:val="009126AC"/>
    <w:rsid w:val="00922D16"/>
    <w:rsid w:val="00925098"/>
    <w:rsid w:val="009254B4"/>
    <w:rsid w:val="00935C77"/>
    <w:rsid w:val="00944170"/>
    <w:rsid w:val="00963E22"/>
    <w:rsid w:val="00976D0B"/>
    <w:rsid w:val="00977EF5"/>
    <w:rsid w:val="009A61FB"/>
    <w:rsid w:val="009A79BC"/>
    <w:rsid w:val="009F46CD"/>
    <w:rsid w:val="009F6339"/>
    <w:rsid w:val="00A067F9"/>
    <w:rsid w:val="00A06EFF"/>
    <w:rsid w:val="00A12EDF"/>
    <w:rsid w:val="00A1312B"/>
    <w:rsid w:val="00A13D47"/>
    <w:rsid w:val="00A15864"/>
    <w:rsid w:val="00A20117"/>
    <w:rsid w:val="00A27F07"/>
    <w:rsid w:val="00A3383A"/>
    <w:rsid w:val="00A37004"/>
    <w:rsid w:val="00A446DC"/>
    <w:rsid w:val="00A45570"/>
    <w:rsid w:val="00A502E5"/>
    <w:rsid w:val="00A527C9"/>
    <w:rsid w:val="00A61824"/>
    <w:rsid w:val="00A77FFA"/>
    <w:rsid w:val="00A80CB7"/>
    <w:rsid w:val="00A84902"/>
    <w:rsid w:val="00A9241E"/>
    <w:rsid w:val="00AA3CDB"/>
    <w:rsid w:val="00AB271E"/>
    <w:rsid w:val="00AB59D0"/>
    <w:rsid w:val="00AB7CA3"/>
    <w:rsid w:val="00AE07C9"/>
    <w:rsid w:val="00AE6549"/>
    <w:rsid w:val="00AE68EB"/>
    <w:rsid w:val="00B1620B"/>
    <w:rsid w:val="00B2289A"/>
    <w:rsid w:val="00B32491"/>
    <w:rsid w:val="00B47CF1"/>
    <w:rsid w:val="00B55723"/>
    <w:rsid w:val="00B569FB"/>
    <w:rsid w:val="00B57152"/>
    <w:rsid w:val="00B71137"/>
    <w:rsid w:val="00BA4E59"/>
    <w:rsid w:val="00BC6700"/>
    <w:rsid w:val="00BD1E9C"/>
    <w:rsid w:val="00BD40FC"/>
    <w:rsid w:val="00BD7349"/>
    <w:rsid w:val="00BE2A0F"/>
    <w:rsid w:val="00BE34AE"/>
    <w:rsid w:val="00BE4FE7"/>
    <w:rsid w:val="00BF3325"/>
    <w:rsid w:val="00BF5639"/>
    <w:rsid w:val="00BF7932"/>
    <w:rsid w:val="00C0319A"/>
    <w:rsid w:val="00C079E0"/>
    <w:rsid w:val="00C13404"/>
    <w:rsid w:val="00C27FBA"/>
    <w:rsid w:val="00C34E48"/>
    <w:rsid w:val="00C45ED1"/>
    <w:rsid w:val="00C62028"/>
    <w:rsid w:val="00C72DB5"/>
    <w:rsid w:val="00C76843"/>
    <w:rsid w:val="00C8500B"/>
    <w:rsid w:val="00C91161"/>
    <w:rsid w:val="00C94DB9"/>
    <w:rsid w:val="00C95061"/>
    <w:rsid w:val="00CA247C"/>
    <w:rsid w:val="00CB615D"/>
    <w:rsid w:val="00CC0519"/>
    <w:rsid w:val="00CC33EC"/>
    <w:rsid w:val="00CD3547"/>
    <w:rsid w:val="00CD6469"/>
    <w:rsid w:val="00CD74DD"/>
    <w:rsid w:val="00CE0628"/>
    <w:rsid w:val="00CE39AE"/>
    <w:rsid w:val="00CF2265"/>
    <w:rsid w:val="00CF368F"/>
    <w:rsid w:val="00CF580D"/>
    <w:rsid w:val="00D20098"/>
    <w:rsid w:val="00D3170E"/>
    <w:rsid w:val="00D35B21"/>
    <w:rsid w:val="00D367F6"/>
    <w:rsid w:val="00D37574"/>
    <w:rsid w:val="00D5012E"/>
    <w:rsid w:val="00D93B64"/>
    <w:rsid w:val="00D94B02"/>
    <w:rsid w:val="00D96D0A"/>
    <w:rsid w:val="00DA5601"/>
    <w:rsid w:val="00DB3022"/>
    <w:rsid w:val="00DC17E0"/>
    <w:rsid w:val="00DD636B"/>
    <w:rsid w:val="00DD751B"/>
    <w:rsid w:val="00DE23AC"/>
    <w:rsid w:val="00DE447E"/>
    <w:rsid w:val="00DE4721"/>
    <w:rsid w:val="00DF1511"/>
    <w:rsid w:val="00DF1C86"/>
    <w:rsid w:val="00DF7F3F"/>
    <w:rsid w:val="00E022CA"/>
    <w:rsid w:val="00E06191"/>
    <w:rsid w:val="00E14D94"/>
    <w:rsid w:val="00E1618E"/>
    <w:rsid w:val="00E161DE"/>
    <w:rsid w:val="00E40B9F"/>
    <w:rsid w:val="00E67E5B"/>
    <w:rsid w:val="00E7621C"/>
    <w:rsid w:val="00EA39A1"/>
    <w:rsid w:val="00EA450A"/>
    <w:rsid w:val="00EC2788"/>
    <w:rsid w:val="00EC7DA7"/>
    <w:rsid w:val="00EE0225"/>
    <w:rsid w:val="00EE3D81"/>
    <w:rsid w:val="00EF0068"/>
    <w:rsid w:val="00F0093C"/>
    <w:rsid w:val="00F02CCA"/>
    <w:rsid w:val="00F0469A"/>
    <w:rsid w:val="00F10D80"/>
    <w:rsid w:val="00F16578"/>
    <w:rsid w:val="00F20B39"/>
    <w:rsid w:val="00F322FD"/>
    <w:rsid w:val="00F34D77"/>
    <w:rsid w:val="00F364DA"/>
    <w:rsid w:val="00F42D00"/>
    <w:rsid w:val="00F50445"/>
    <w:rsid w:val="00F646D5"/>
    <w:rsid w:val="00F71009"/>
    <w:rsid w:val="00F77F77"/>
    <w:rsid w:val="00F835EF"/>
    <w:rsid w:val="00F96457"/>
    <w:rsid w:val="00F96481"/>
    <w:rsid w:val="00F97B60"/>
    <w:rsid w:val="00FA2986"/>
    <w:rsid w:val="00FA2E7E"/>
    <w:rsid w:val="00FA66A4"/>
    <w:rsid w:val="00FB032C"/>
    <w:rsid w:val="00FB4224"/>
    <w:rsid w:val="00FB5B12"/>
    <w:rsid w:val="00FD4F62"/>
    <w:rsid w:val="00FD6818"/>
    <w:rsid w:val="00FD6CE1"/>
    <w:rsid w:val="00FE1C25"/>
    <w:rsid w:val="00FE47EA"/>
    <w:rsid w:val="00FF2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D6AA"/>
  <w14:defaultImageDpi w14:val="32767"/>
  <w15:chartTrackingRefBased/>
  <w15:docId w15:val="{3AA0C4D3-20BF-494A-81D2-CD31251B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69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80C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C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4C6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B4C6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001AE"/>
    <w:pPr>
      <w:tabs>
        <w:tab w:val="left" w:pos="264"/>
      </w:tabs>
      <w:spacing w:after="0" w:line="480" w:lineRule="auto"/>
      <w:ind w:left="264" w:hanging="264"/>
    </w:pPr>
  </w:style>
  <w:style w:type="table" w:styleId="PlainTable1">
    <w:name w:val="Plain Table 1"/>
    <w:basedOn w:val="TableNormal"/>
    <w:uiPriority w:val="41"/>
    <w:rsid w:val="00F97B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90696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06960"/>
    <w:pPr>
      <w:ind w:left="720"/>
      <w:contextualSpacing/>
    </w:pPr>
  </w:style>
  <w:style w:type="character" w:customStyle="1" w:styleId="Heading5Char">
    <w:name w:val="Heading 5 Char"/>
    <w:basedOn w:val="DefaultParagraphFont"/>
    <w:link w:val="Heading5"/>
    <w:uiPriority w:val="9"/>
    <w:rsid w:val="00A80CB7"/>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43652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1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9F9"/>
  </w:style>
  <w:style w:type="paragraph" w:styleId="Footer">
    <w:name w:val="footer"/>
    <w:basedOn w:val="Normal"/>
    <w:link w:val="FooterChar"/>
    <w:uiPriority w:val="99"/>
    <w:unhideWhenUsed/>
    <w:rsid w:val="00131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9F9"/>
  </w:style>
  <w:style w:type="table" w:styleId="TableGrid">
    <w:name w:val="Table Grid"/>
    <w:basedOn w:val="TableNormal"/>
    <w:uiPriority w:val="39"/>
    <w:rsid w:val="003B4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5275">
      <w:bodyDiv w:val="1"/>
      <w:marLeft w:val="0"/>
      <w:marRight w:val="0"/>
      <w:marTop w:val="0"/>
      <w:marBottom w:val="0"/>
      <w:divBdr>
        <w:top w:val="none" w:sz="0" w:space="0" w:color="auto"/>
        <w:left w:val="none" w:sz="0" w:space="0" w:color="auto"/>
        <w:bottom w:val="none" w:sz="0" w:space="0" w:color="auto"/>
        <w:right w:val="none" w:sz="0" w:space="0" w:color="auto"/>
      </w:divBdr>
    </w:div>
    <w:div w:id="891119254">
      <w:bodyDiv w:val="1"/>
      <w:marLeft w:val="0"/>
      <w:marRight w:val="0"/>
      <w:marTop w:val="0"/>
      <w:marBottom w:val="0"/>
      <w:divBdr>
        <w:top w:val="none" w:sz="0" w:space="0" w:color="auto"/>
        <w:left w:val="none" w:sz="0" w:space="0" w:color="auto"/>
        <w:bottom w:val="none" w:sz="0" w:space="0" w:color="auto"/>
        <w:right w:val="none" w:sz="0" w:space="0" w:color="auto"/>
      </w:divBdr>
    </w:div>
    <w:div w:id="12120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5EDC7-35C1-4182-8ED3-BD6490CB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10</Pages>
  <Words>12775</Words>
  <Characters>72821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Gilmore Bryant</dc:creator>
  <cp:keywords/>
  <dc:description/>
  <cp:lastModifiedBy>Annie Gilmore Bryant</cp:lastModifiedBy>
  <cp:revision>331</cp:revision>
  <dcterms:created xsi:type="dcterms:W3CDTF">2022-05-22T07:36:00Z</dcterms:created>
  <dcterms:modified xsi:type="dcterms:W3CDTF">2022-05-26T04:18:00Z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id="tG8540n5"/&gt;&lt;style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