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 w:eastAsia="Arial"/>
          <w:b/>
          <w:color w:val="1F4E79"/>
          <w:sz w:val="30"/>
        </w:rPr>
        <w:t>YILAN ANNIE GAO</w:t>
      </w:r>
    </w:p>
    <w:p>
      <w:pPr>
        <w:spacing w:before="0" w:after="20" w:line="240" w:lineRule="auto"/>
        <w:jc w:val="center"/>
      </w:pPr>
      <w:r>
        <w:rPr>
          <w:rFonts w:ascii="Arial" w:hAnsi="Arial" w:eastAsia="Arial"/>
          <w:color w:val="303030"/>
          <w:sz w:val="17"/>
        </w:rPr>
        <w:t>annie.ylg@gmail.com | linkedin.com/in/yilan-annie-gao | Los Angeles / Bay Area | Bilingual English &amp; Mandarin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color w:val="303030"/>
          <w:sz w:val="17"/>
        </w:rPr>
        <w:t>PMP | CSM | M.Ed. | M.P.I.</w:t>
      </w:r>
    </w:p>
    <w:p>
      <w:pPr>
        <w:keepNext/>
        <w:spacing w:before="140" w:after="40" w:line="240" w:lineRule="auto"/>
        <w:pBdr>
          <w:bottom w:val="single" w:sz="6" w:space="1" w:color="A6A6A6"/>
        </w:pBdr>
      </w:pPr>
      <w:r>
        <w:rPr>
          <w:rFonts w:ascii="Arial" w:hAnsi="Arial" w:eastAsia="Arial"/>
          <w:b/>
          <w:color w:val="1F4E79"/>
          <w:sz w:val="19"/>
        </w:rPr>
        <w:t>PROFESSIONAL SUMMARY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Arial" w:hAnsi="Arial"/>
          <w:sz w:val="17"/>
        </w:rPr>
        <w:t>Senior program and operations leader with 12 years of experience driving global, cross-functional platform programs across product, engineering, policy, legal, operations, and developer ecosystems.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Arial" w:hAnsi="Arial"/>
          <w:sz w:val="17"/>
        </w:rPr>
        <w:t>Proven ability to turn ambiguous priorities into roadmap execution, executive visibility, scalable operating rhythms, and on-time delivery in creative, fast-paced software platform environments.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Arial" w:hAnsi="Arial"/>
          <w:sz w:val="17"/>
        </w:rPr>
        <w:t>Experienced partnering across Engineering, Product Marketing, Policy, Legal, Moderation, Finance, Business, and international teams to simplify complex topics, resolve risks, and influence leaders up to the executive level.</w:t>
      </w:r>
    </w:p>
    <w:p>
      <w:pPr>
        <w:keepNext/>
        <w:spacing w:before="140" w:after="40" w:line="240" w:lineRule="auto"/>
        <w:pBdr>
          <w:bottom w:val="single" w:sz="6" w:space="1" w:color="A6A6A6"/>
        </w:pBdr>
      </w:pPr>
      <w:r>
        <w:rPr>
          <w:rFonts w:ascii="Arial" w:hAnsi="Arial" w:eastAsia="Arial"/>
          <w:b/>
          <w:color w:val="1F4E79"/>
          <w:sz w:val="19"/>
        </w:rPr>
        <w:t>PROFESSIONAL EXPERIENCE</w:t>
      </w:r>
    </w:p>
    <w:p>
      <w:pPr>
        <w:keepNext/>
        <w:spacing w:before="80" w:after="0" w:line="240" w:lineRule="auto"/>
      </w:pPr>
      <w:r>
        <w:rPr>
          <w:rFonts w:ascii="Arial" w:hAnsi="Arial" w:eastAsia="Arial"/>
          <w:b/>
          <w:color w:val="000000"/>
          <w:sz w:val="18"/>
        </w:rPr>
        <w:t>Senior Program Manager, Developer Relations</w:t>
      </w:r>
      <w:r>
        <w:rPr>
          <w:rFonts w:ascii="Arial" w:hAnsi="Arial" w:eastAsia="Arial"/>
          <w:sz w:val="18"/>
        </w:rPr>
        <w:t xml:space="preserve"> | </w:t>
      </w:r>
      <w:r>
        <w:rPr>
          <w:rFonts w:ascii="Arial" w:hAnsi="Arial" w:eastAsia="Arial"/>
          <w:b/>
          <w:color w:val="000000"/>
          <w:sz w:val="18"/>
        </w:rPr>
        <w:t>Roblox Corporation</w:t>
      </w:r>
      <w:r>
        <w:rPr>
          <w:rFonts w:ascii="Arial" w:hAnsi="Arial" w:eastAsia="Arial"/>
          <w:color w:val="404040"/>
          <w:sz w:val="18"/>
        </w:rPr>
        <w:t xml:space="preserve"> | San Mateo, CA | Feb 2023 - Present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Arial" w:hAnsi="Arial"/>
          <w:sz w:val="17"/>
        </w:rPr>
        <w:t>Drive cross-functional platform programs across Engineering, Policy, Legal, Moderation, Business, and Developer Relations for Roblox's top creator ecosystem, bringing clarity to ambiguous priorities and time-sensitive issues.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Arial" w:hAnsi="Arial"/>
          <w:sz w:val="17"/>
        </w:rPr>
        <w:t>Drove GTM strategy and phased rollout of an IP protection product, onboarding the platform's top 15 developer teams through launch planning, feedback loops, stakeholder alignment, and issue resolution.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Arial" w:hAnsi="Arial"/>
          <w:sz w:val="17"/>
        </w:rPr>
        <w:t>Built Roblox's first false-moderation protection system for top content, defining escalation workflows, operating processes, and communication strategy across Safety, Policy, Legal, and Moderation.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Arial" w:hAnsi="Arial"/>
          <w:sz w:val="17"/>
        </w:rPr>
        <w:t>Own developer communications during rapidly shifting regulatory and safety policy cycles, translating complex requirements into actionable guidance and representing developer impact in VP and C-level forums.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Arial" w:hAnsi="Arial"/>
          <w:sz w:val="17"/>
        </w:rPr>
        <w:t>Produced and project-managed 5 platform-wide live events each reaching 10M+ players, managing work-back schedules, vendors, risks, live execution, and post-event executive reporting.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Arial" w:hAnsi="Arial"/>
          <w:sz w:val="17"/>
        </w:rPr>
        <w:t>Synthesized real-time and post-event analytics into recommendations that shaped subsequent event strategy; converted 600+ IP-related support tickets into insights informing resource planning and process improvements.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Arial" w:hAnsi="Arial"/>
          <w:sz w:val="17"/>
        </w:rPr>
        <w:t>Manage 3 direct reports and mentor interns while maintaining stakeholder alignment across global teams and competing operational priorities.</w:t>
      </w:r>
    </w:p>
    <w:p>
      <w:pPr>
        <w:keepNext/>
        <w:spacing w:before="80" w:after="0" w:line="240" w:lineRule="auto"/>
      </w:pPr>
      <w:r>
        <w:rPr>
          <w:rFonts w:ascii="Arial" w:hAnsi="Arial" w:eastAsia="Arial"/>
          <w:b/>
          <w:color w:val="000000"/>
          <w:sz w:val="18"/>
        </w:rPr>
        <w:t>Senior Program Manager, Developer Relations</w:t>
      </w:r>
      <w:r>
        <w:rPr>
          <w:rFonts w:ascii="Arial" w:hAnsi="Arial" w:eastAsia="Arial"/>
          <w:sz w:val="18"/>
        </w:rPr>
        <w:t xml:space="preserve"> | </w:t>
      </w:r>
      <w:r>
        <w:rPr>
          <w:rFonts w:ascii="Arial" w:hAnsi="Arial" w:eastAsia="Arial"/>
          <w:b/>
          <w:color w:val="000000"/>
          <w:sz w:val="18"/>
        </w:rPr>
        <w:t>Roblox China</w:t>
      </w:r>
      <w:r>
        <w:rPr>
          <w:rFonts w:ascii="Arial" w:hAnsi="Arial" w:eastAsia="Arial"/>
          <w:color w:val="404040"/>
          <w:sz w:val="18"/>
        </w:rPr>
        <w:t xml:space="preserve"> | Shenzhen, China | Mar 2021 - Feb 2023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Arial" w:hAnsi="Arial"/>
          <w:sz w:val="17"/>
        </w:rPr>
        <w:t>Served as strategy and operations partner to the VP of Developer Relations China, aligning China market priorities with global product and business strategies across time zones.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Arial" w:hAnsi="Arial"/>
          <w:sz w:val="17"/>
        </w:rPr>
        <w:t>Defined GTM strategy for platform launch and built executive reporting frameworks to track post-launch performance, developer trends, and operational risks.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Arial" w:hAnsi="Arial"/>
          <w:sz w:val="17"/>
        </w:rPr>
        <w:t>Structured ambiguous local developer, compliance, and product needs into prioritized recommendations for global engineering and business teams.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Arial" w:hAnsi="Arial"/>
          <w:sz w:val="17"/>
        </w:rPr>
        <w:t>Designed and delivered executive narratives for the President of Roblox China and Global HQ, influencing investment decisions and resource allocation.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Arial" w:hAnsi="Arial"/>
          <w:sz w:val="17"/>
        </w:rPr>
        <w:t>Led negotiation with the US Finance team to establish China's data access framework, improving cross-functional visibility and decision-making.</w:t>
      </w:r>
    </w:p>
    <w:p>
      <w:pPr>
        <w:keepNext/>
        <w:spacing w:before="80" w:after="0" w:line="240" w:lineRule="auto"/>
      </w:pPr>
      <w:r>
        <w:rPr>
          <w:rFonts w:ascii="Arial" w:hAnsi="Arial" w:eastAsia="Arial"/>
          <w:b/>
          <w:color w:val="000000"/>
          <w:sz w:val="18"/>
        </w:rPr>
        <w:t>Partnership Programs Lead</w:t>
      </w:r>
      <w:r>
        <w:rPr>
          <w:rFonts w:ascii="Arial" w:hAnsi="Arial" w:eastAsia="Arial"/>
          <w:sz w:val="18"/>
        </w:rPr>
        <w:t xml:space="preserve"> | </w:t>
      </w:r>
      <w:r>
        <w:rPr>
          <w:rFonts w:ascii="Arial" w:hAnsi="Arial" w:eastAsia="Arial"/>
          <w:b/>
          <w:color w:val="000000"/>
          <w:sz w:val="18"/>
        </w:rPr>
        <w:t>California State University, San Bernardino</w:t>
      </w:r>
      <w:r>
        <w:rPr>
          <w:rFonts w:ascii="Arial" w:hAnsi="Arial" w:eastAsia="Arial"/>
          <w:color w:val="404040"/>
          <w:sz w:val="18"/>
        </w:rPr>
        <w:t xml:space="preserve"> | San Bernardino, CA | Apr 2019 - Apr 2021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Arial" w:hAnsi="Arial"/>
          <w:sz w:val="17"/>
        </w:rPr>
        <w:t>Managed a portfolio of institutional partnerships, achieving 60% recruitment growth in year one and 100% program renewal through proactive relationship management.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Arial" w:hAnsi="Arial"/>
          <w:sz w:val="17"/>
        </w:rPr>
        <w:t>Designed and delivered 4 recurring end-to-end programs totaling 130+ instructional hours while managing budgets exceeding $4M USD.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Arial" w:hAnsi="Arial"/>
          <w:sz w:val="17"/>
        </w:rPr>
        <w:t>Led cross-functional strategic design initiatives that improved client engagement and learning effectiveness by 23%.</w:t>
      </w:r>
    </w:p>
    <w:p>
      <w:pPr>
        <w:keepNext/>
        <w:spacing w:before="80" w:after="0" w:line="240" w:lineRule="auto"/>
      </w:pPr>
      <w:r>
        <w:rPr>
          <w:rFonts w:ascii="Arial" w:hAnsi="Arial" w:eastAsia="Arial"/>
          <w:b/>
          <w:color w:val="000000"/>
          <w:sz w:val="18"/>
        </w:rPr>
        <w:t>China Programs Coordinator</w:t>
      </w:r>
      <w:r>
        <w:rPr>
          <w:rFonts w:ascii="Arial" w:hAnsi="Arial" w:eastAsia="Arial"/>
          <w:sz w:val="18"/>
        </w:rPr>
        <w:t xml:space="preserve"> | </w:t>
      </w:r>
      <w:r>
        <w:rPr>
          <w:rFonts w:ascii="Arial" w:hAnsi="Arial" w:eastAsia="Arial"/>
          <w:b/>
          <w:color w:val="000000"/>
          <w:sz w:val="18"/>
        </w:rPr>
        <w:t>Virginia Commonwealth University</w:t>
      </w:r>
      <w:r>
        <w:rPr>
          <w:rFonts w:ascii="Arial" w:hAnsi="Arial" w:eastAsia="Arial"/>
          <w:color w:val="404040"/>
          <w:sz w:val="18"/>
        </w:rPr>
        <w:t xml:space="preserve"> | Richmond, VA | Jul 2014 - Mar 2019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Arial" w:hAnsi="Arial"/>
          <w:sz w:val="17"/>
        </w:rPr>
        <w:t>Led international recruitment strategy, achieving 300% enrollment growth and expanding the university's China-market partnership footprint.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Arial" w:hAnsi="Arial"/>
          <w:sz w:val="17"/>
        </w:rPr>
        <w:t>Developed and managed 5 signature international programs while coordinating 10+ campus departments and 20+ partner institutions across cultures and time zones.</w:t>
      </w:r>
    </w:p>
    <w:p>
      <w:pPr>
        <w:keepNext/>
        <w:spacing w:before="140" w:after="40" w:line="240" w:lineRule="auto"/>
        <w:pBdr>
          <w:bottom w:val="single" w:sz="6" w:space="1" w:color="A6A6A6"/>
        </w:pBdr>
      </w:pPr>
      <w:r>
        <w:rPr>
          <w:rFonts w:ascii="Arial" w:hAnsi="Arial" w:eastAsia="Arial"/>
          <w:b/>
          <w:color w:val="1F4E79"/>
          <w:sz w:val="19"/>
        </w:rPr>
        <w:t>SELECTED AIRBNB-RELEVANT STRENGTHS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Arial" w:hAnsi="Arial"/>
          <w:sz w:val="17"/>
        </w:rPr>
        <w:t>Roadmap execution: GTM rollout, product feedback systems, launch planning, work-back schedules, dependency management, and post-launch reporting.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Arial" w:hAnsi="Arial"/>
          <w:sz w:val="17"/>
        </w:rPr>
        <w:t>Cross-functional leadership: Engineering, Policy, Legal, Moderation, Product Marketing, Finance, Business, vendors, and international market teams.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Arial" w:hAnsi="Arial"/>
          <w:sz w:val="17"/>
        </w:rPr>
        <w:t>Communication: executive narratives, decision-ready reporting, complex-topic simplification, stakeholder persuasion, and bilingual English/Mandarin collaboration.</w:t>
      </w:r>
    </w:p>
    <w:p>
      <w:pPr>
        <w:pStyle w:val="ListBullet"/>
        <w:spacing w:before="0" w:after="20" w:line="240" w:lineRule="auto"/>
        <w:ind w:left="259" w:hanging="259"/>
      </w:pPr>
      <w:r>
        <w:rPr>
          <w:rFonts w:ascii="Arial" w:hAnsi="Arial"/>
          <w:sz w:val="17"/>
        </w:rPr>
        <w:t>Operational excellence: escalation workflows, risk mitigation, process simplification, vendor management, analytics synthesis, and scalable operating rhythms.</w:t>
      </w:r>
    </w:p>
    <w:p>
      <w:pPr>
        <w:keepNext/>
        <w:spacing w:before="140" w:after="40" w:line="240" w:lineRule="auto"/>
        <w:pBdr>
          <w:bottom w:val="single" w:sz="6" w:space="1" w:color="A6A6A6"/>
        </w:pBdr>
      </w:pPr>
      <w:r>
        <w:rPr>
          <w:rFonts w:ascii="Arial" w:hAnsi="Arial" w:eastAsia="Arial"/>
          <w:b/>
          <w:color w:val="1F4E79"/>
          <w:sz w:val="19"/>
        </w:rPr>
        <w:t>CERTIFICATIONS &amp; SKILLS</w:t>
      </w:r>
    </w:p>
    <w:p>
      <w:pPr>
        <w:spacing w:before="0" w:after="20" w:line="240" w:lineRule="auto"/>
      </w:pPr>
      <w:r>
        <w:rPr>
          <w:rFonts w:ascii="Arial" w:hAnsi="Arial" w:eastAsia="Arial"/>
          <w:b/>
          <w:sz w:val="17"/>
        </w:rPr>
        <w:t xml:space="preserve">Program &amp; Product Operations: </w:t>
      </w:r>
      <w:r>
        <w:rPr>
          <w:rFonts w:ascii="Arial" w:hAnsi="Arial" w:eastAsia="Arial"/>
          <w:sz w:val="17"/>
        </w:rPr>
        <w:t>Roadmap Planning | Cross-functional Program Management | GTM Strategy | Risk Mitigation | Executive Communication | Stakeholder Alignment | Process Optimization</w:t>
      </w:r>
    </w:p>
    <w:p>
      <w:pPr>
        <w:spacing w:before="0" w:after="20" w:line="240" w:lineRule="auto"/>
      </w:pPr>
      <w:r>
        <w:rPr>
          <w:rFonts w:ascii="Arial" w:hAnsi="Arial" w:eastAsia="Arial"/>
          <w:b/>
          <w:sz w:val="17"/>
        </w:rPr>
        <w:t xml:space="preserve">Tools: </w:t>
      </w:r>
      <w:r>
        <w:rPr>
          <w:rFonts w:ascii="Arial" w:hAnsi="Arial" w:eastAsia="Arial"/>
          <w:sz w:val="17"/>
        </w:rPr>
        <w:t>Jira | Confluence | Tableau | SQL | Excel (advanced) | Google Suite | Flourish | Data Visualization | ChatGPT | Claude | Gemini</w:t>
      </w:r>
    </w:p>
    <w:p>
      <w:pPr>
        <w:spacing w:before="0" w:after="20" w:line="240" w:lineRule="auto"/>
      </w:pPr>
      <w:r>
        <w:rPr>
          <w:rFonts w:ascii="Arial" w:hAnsi="Arial" w:eastAsia="Arial"/>
          <w:b/>
          <w:sz w:val="17"/>
        </w:rPr>
        <w:t xml:space="preserve">Methodologies: </w:t>
      </w:r>
      <w:r>
        <w:rPr>
          <w:rFonts w:ascii="Arial" w:hAnsi="Arial" w:eastAsia="Arial"/>
          <w:sz w:val="17"/>
        </w:rPr>
        <w:t>Agile | Scrum | Kanban | Waterfall | Action Learning</w:t>
      </w:r>
    </w:p>
    <w:p>
      <w:pPr>
        <w:spacing w:before="0" w:after="20" w:line="240" w:lineRule="auto"/>
      </w:pPr>
      <w:r>
        <w:rPr>
          <w:rFonts w:ascii="Arial" w:hAnsi="Arial" w:eastAsia="Arial"/>
          <w:b/>
          <w:sz w:val="17"/>
        </w:rPr>
        <w:t xml:space="preserve">Certifications: </w:t>
      </w:r>
      <w:r>
        <w:rPr>
          <w:rFonts w:ascii="Arial" w:hAnsi="Arial" w:eastAsia="Arial"/>
          <w:sz w:val="17"/>
        </w:rPr>
        <w:t>Project Management Professional (PMP), PMI | Certified Scrum Master (CSM) | Business Analytics, Udacity | Data Visualization, Udacity | UX/UI Design, Udacity</w:t>
      </w:r>
    </w:p>
    <w:p>
      <w:pPr>
        <w:spacing w:before="0" w:after="20" w:line="240" w:lineRule="auto"/>
      </w:pPr>
      <w:r>
        <w:rPr>
          <w:rFonts w:ascii="Arial" w:hAnsi="Arial" w:eastAsia="Arial"/>
          <w:b/>
          <w:sz w:val="17"/>
        </w:rPr>
        <w:t xml:space="preserve">Languages: </w:t>
      </w:r>
      <w:r>
        <w:rPr>
          <w:rFonts w:ascii="Arial" w:hAnsi="Arial" w:eastAsia="Arial"/>
          <w:sz w:val="17"/>
        </w:rPr>
        <w:t>English | Mandarin Chinese</w:t>
      </w:r>
    </w:p>
    <w:p>
      <w:pPr>
        <w:keepNext/>
        <w:spacing w:before="140" w:after="40" w:line="240" w:lineRule="auto"/>
        <w:pBdr>
          <w:bottom w:val="single" w:sz="6" w:space="1" w:color="A6A6A6"/>
        </w:pBdr>
      </w:pPr>
      <w:r>
        <w:rPr>
          <w:rFonts w:ascii="Arial" w:hAnsi="Arial" w:eastAsia="Arial"/>
          <w:b/>
          <w:color w:val="1F4E79"/>
          <w:sz w:val="19"/>
        </w:rPr>
        <w:t>EDUCATION</w:t>
      </w:r>
    </w:p>
    <w:p>
      <w:pPr>
        <w:spacing w:before="0" w:after="20" w:line="240" w:lineRule="auto"/>
      </w:pPr>
      <w:r>
        <w:rPr>
          <w:rFonts w:ascii="Arial" w:hAnsi="Arial" w:eastAsia="Arial"/>
          <w:sz w:val="17"/>
        </w:rPr>
        <w:t>Master of Product Innovation - Virginia Commonwealth University, Dec 2018</w:t>
      </w:r>
    </w:p>
    <w:p>
      <w:pPr>
        <w:spacing w:before="0" w:after="20" w:line="240" w:lineRule="auto"/>
      </w:pPr>
      <w:r>
        <w:rPr>
          <w:rFonts w:ascii="Arial" w:hAnsi="Arial" w:eastAsia="Arial"/>
          <w:sz w:val="17"/>
        </w:rPr>
        <w:t>Master of Education, Adult Learning &amp; Human Resource Development - Virginia Commonwealth University, May 2014</w:t>
      </w:r>
    </w:p>
    <w:p>
      <w:pPr>
        <w:spacing w:before="0" w:after="20" w:line="240" w:lineRule="auto"/>
      </w:pPr>
      <w:r>
        <w:rPr>
          <w:rFonts w:ascii="Arial" w:hAnsi="Arial" w:eastAsia="Arial"/>
          <w:sz w:val="17"/>
        </w:rPr>
        <w:t>Bachelor of Arts, English &amp; International Relations - Sichuan International Studies University, Jul 2012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