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D18" w14:textId="4DD70CEC" w:rsidR="006375B1" w:rsidRPr="00A15CD8" w:rsidRDefault="0039735A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Improving Cross-Platform Binary Analysis using Representation Learning via Graph Alignment.</w:t>
      </w:r>
    </w:p>
    <w:p w14:paraId="79CA3CF8" w14:textId="4F96E05D" w:rsidR="0039735A" w:rsidRPr="00A15CD8" w:rsidRDefault="0039735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Nhị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79FB1BD9" w14:textId="77777777" w:rsidR="0039735A" w:rsidRPr="00A15CD8" w:rsidRDefault="0039735A" w:rsidP="0039735A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TÓM TẮT</w:t>
      </w:r>
    </w:p>
    <w:p w14:paraId="0A782E81" w14:textId="38A36087" w:rsidR="0039735A" w:rsidRPr="00A15CD8" w:rsidRDefault="0039735A" w:rsidP="0039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Nhị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may,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F9CB460" w14:textId="77777777" w:rsidR="0039735A" w:rsidRPr="00A15CD8" w:rsidRDefault="0039735A" w:rsidP="00397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(BDGs),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75%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955771A" w14:textId="77777777" w:rsidR="0039735A" w:rsidRPr="00A15CD8" w:rsidRDefault="0039735A" w:rsidP="0039735A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1 GIỚI THIỆU</w:t>
      </w:r>
    </w:p>
    <w:p w14:paraId="4F40B970" w14:textId="7AEB29F2" w:rsidR="0039735A" w:rsidRPr="00A15CD8" w:rsidRDefault="0039735A" w:rsidP="00397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[11, 17, 18, 24, 32, 35, 44, 51, 59, 62,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(embedding)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18, 35, 38, 62,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[35, 61],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38].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[48], v.v. [21] -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[11, 44].</w:t>
      </w:r>
    </w:p>
    <w:p w14:paraId="0116D4AF" w14:textId="77777777" w:rsidR="0039735A" w:rsidRPr="00A15CD8" w:rsidRDefault="0039735A" w:rsidP="00397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[8, 20, 48, 59, 65].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(OS)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(ISAs)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[48, 59, 65]. Lợi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[48].</w:t>
      </w:r>
    </w:p>
    <w:p w14:paraId="5D59CEFB" w14:textId="285EC530" w:rsidR="0039735A" w:rsidRPr="00A15CD8" w:rsidRDefault="0039735A" w:rsidP="0039735A">
      <w:pPr>
        <w:jc w:val="center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BF96E1" wp14:editId="0F0C2AC8">
            <wp:extent cx="4229690" cy="3229426"/>
            <wp:effectExtent l="0" t="0" r="0" b="9525"/>
            <wp:docPr id="68280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CD76" w14:textId="3284E311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(OS)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(ISA)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[18, 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252D58B8" w14:textId="456E3031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OSs.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(BDGs),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(GCNs) [6],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[56]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57B142D0" w14:textId="77777777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Times New Roman" w:hAnsi="Times New Roman" w:cs="Times New Roman"/>
          <w:sz w:val="26"/>
          <w:szCs w:val="26"/>
        </w:rPr>
        <w:lastRenderedPageBreak/>
        <w:t xml:space="preserve">di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OSs,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GLIBC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OpenSSL. 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assembly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75%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74%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BGD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6E94AA26" w14:textId="77777777" w:rsidR="00D7263D" w:rsidRPr="00A15CD8" w:rsidRDefault="00D7263D" w:rsidP="00D7263D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58505476" w14:textId="3A20B11A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1CC518FF" w14:textId="3FE534F4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63E9ECA1" w14:textId="7F8D5D56" w:rsidR="0039735A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FB8EF29" w14:textId="46C052B2" w:rsidR="00D7263D" w:rsidRPr="00A15CD8" w:rsidRDefault="00D7263D" w:rsidP="00D7263D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2 NỀN TẢNG VÀ ĐỘNG LỰC</w:t>
      </w:r>
    </w:p>
    <w:p w14:paraId="2278A158" w14:textId="4B6C52AE" w:rsidR="00D7263D" w:rsidRPr="00A15CD8" w:rsidRDefault="00D7263D" w:rsidP="00D7263D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2.1 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0D150132" w14:textId="3438C7EA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heuristic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[18, 62,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[14]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[4, 44, 51].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-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79EFF93C" w14:textId="7D93FCFA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Asm2Vec [17]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Word2Vec [42]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Text-Associated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(TADW) [60]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Asm2Vec [17],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PV-DM [33].</w:t>
      </w:r>
    </w:p>
    <w:p w14:paraId="063968F6" w14:textId="77777777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Xu et al. [59],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 [10]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Xu et al. (Gemini)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(ACFG)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Structure2Vec [13]. Hai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Structure2Vec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ACFGs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Structure2Vec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 Zuo et al. [65]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Neural Machine Translation (NMT)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NMT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4B1D724" w14:textId="76B2A4EE" w:rsidR="00D7263D" w:rsidRPr="00A15CD8" w:rsidRDefault="00D7263D" w:rsidP="00D7263D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Nhị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</w:p>
    <w:p w14:paraId="37E8FA7F" w14:textId="2322F8B1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(OSs)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(ISAs).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(API)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[12],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ARMv7, ARMv8, MIPS, v.v.</w:t>
      </w:r>
    </w:p>
    <w:p w14:paraId="30A7F121" w14:textId="7FDEA570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[48, 49],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[31],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[8]. Lợi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[48].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[8, 19, 45, 48, 52]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Gemini [59]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2.1,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3FA5EC8" w14:textId="0DE39134" w:rsidR="00D7263D" w:rsidRPr="00A15CD8" w:rsidRDefault="00D7263D" w:rsidP="00D7263D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2.3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1A6A1920" w14:textId="4A60AD64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45BD1071" w14:textId="02923DB2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2.1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18]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2027B907" w14:textId="7CFA1C9F" w:rsidR="0039735A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code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65].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C/C++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[65]).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Siamese.</w:t>
      </w:r>
    </w:p>
    <w:p w14:paraId="17A33311" w14:textId="501AAC50" w:rsidR="00D7263D" w:rsidRPr="00A15CD8" w:rsidRDefault="00D7263D" w:rsidP="00D7263D">
      <w:pPr>
        <w:jc w:val="center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516470" wp14:editId="5EAEA18F">
            <wp:extent cx="5934903" cy="3915321"/>
            <wp:effectExtent l="0" t="0" r="8890" b="9525"/>
            <wp:docPr id="105393274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2749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80F7" w14:textId="58DD8F94" w:rsidR="00D7263D" w:rsidRPr="00A15CD8" w:rsidRDefault="00D7263D" w:rsidP="00D7263D">
      <w:pPr>
        <w:jc w:val="center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DA0D56" wp14:editId="4E10967D">
            <wp:extent cx="5943600" cy="3411855"/>
            <wp:effectExtent l="0" t="0" r="0" b="0"/>
            <wp:docPr id="91728771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7712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0DD" w14:textId="2892CAF7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Các 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[59, 65].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092B5108" w14:textId="0DCD1D9A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1EA82AEB" w14:textId="68C515AF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(ISA).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Intel x86_64),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(backward compatibility)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AES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Intel x86_64 [27]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ARM [3])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assembly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054078C" w14:textId="5651472B" w:rsidR="00D7263D" w:rsidRPr="00A15CD8" w:rsidRDefault="00D7263D" w:rsidP="00397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[16, 25, 36].</w:t>
      </w:r>
    </w:p>
    <w:p w14:paraId="0F16D7B0" w14:textId="492BCD6F" w:rsidR="00D7263D" w:rsidRPr="00A15CD8" w:rsidRDefault="00D7263D" w:rsidP="00D7263D">
      <w:pPr>
        <w:jc w:val="center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74E6B4" wp14:editId="35145E4A">
            <wp:extent cx="4010585" cy="1686160"/>
            <wp:effectExtent l="0" t="0" r="9525" b="9525"/>
            <wp:docPr id="1139218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89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3F2" w14:textId="75AFAF26" w:rsidR="00D7263D" w:rsidRPr="00A15CD8" w:rsidRDefault="00D7263D" w:rsidP="00D72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(OSs) /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(ISAs)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Như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may,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4F81DEBA" w14:textId="3BA39271" w:rsidR="00483F10" w:rsidRPr="00A15CD8" w:rsidRDefault="00483F10" w:rsidP="00483F10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3 XBA: PHƯƠNG PHÁP ĐỀ XUẤT CỦA CHÚNG TÔI</w:t>
      </w:r>
    </w:p>
    <w:p w14:paraId="77FE057D" w14:textId="3EFDED84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3,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26931494" w14:textId="1E558B0D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iCFG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3.1).</w:t>
      </w:r>
    </w:p>
    <w:p w14:paraId="7476F2DE" w14:textId="2125CA8D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Duan et al. [18]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DeepWalk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[47],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iCFG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(GCN),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(BDGs).</w:t>
      </w:r>
    </w:p>
    <w:p w14:paraId="12501D52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6F5D875A" w14:textId="7579AA5E" w:rsidR="0039735A" w:rsidRPr="00A15CD8" w:rsidRDefault="00483F10" w:rsidP="0039735A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89D20E" wp14:editId="0CAFCB63">
            <wp:extent cx="5943600" cy="2445385"/>
            <wp:effectExtent l="0" t="0" r="0" b="0"/>
            <wp:docPr id="1370207207" name="Picture 1" descr="A diagram of a complex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7207" name="Picture 1" descr="A diagram of a complex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EF8" w14:textId="0E78F8C1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XBA.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OpenSSL,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(BDG).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(GCNs)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1E5D0FDF" w14:textId="56BAB99A" w:rsidR="00483F10" w:rsidRPr="00A15CD8" w:rsidRDefault="00483F10" w:rsidP="00483F10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145AA1D4" w14:textId="483C5D42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"read"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ReadFile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disassemble:</w:t>
      </w:r>
    </w:p>
    <w:p w14:paraId="73FEFF87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21, 38, 59]. Tuy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[18, 35, 48, 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[33],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embedding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[2, 43].</w:t>
      </w:r>
    </w:p>
    <w:p w14:paraId="5C815B6C" w14:textId="2349DD3F" w:rsidR="00483F10" w:rsidRPr="00A15CD8" w:rsidRDefault="00483F10" w:rsidP="00483F10">
      <w:pPr>
        <w:jc w:val="center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B9772D" wp14:editId="7AB99A8F">
            <wp:extent cx="5943600" cy="3243580"/>
            <wp:effectExtent l="0" t="0" r="0" b="0"/>
            <wp:docPr id="1548569501" name="Picture 1" descr="A tab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9501" name="Picture 1" descr="A table with text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9E2F" w14:textId="1413040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disassemble. 3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disassemble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9C621EE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mã-ngôn-ngữ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mã-ngôn-ngữ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4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mã-chuỗi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73FF35C3" w14:textId="7E74DE25" w:rsidR="00483F10" w:rsidRPr="00171B37" w:rsidRDefault="00483F10" w:rsidP="00171B37">
      <w:pPr>
        <w:rPr>
          <w:rFonts w:ascii="Times New Roman" w:hAnsi="Times New Roman" w:cs="Times New Roman"/>
          <w:sz w:val="26"/>
          <w:szCs w:val="26"/>
        </w:rPr>
      </w:pPr>
      <w:r w:rsidRPr="00171B37">
        <w:rPr>
          <w:rFonts w:ascii="Times New Roman" w:hAnsi="Times New Roman" w:cs="Times New Roman"/>
          <w:sz w:val="26"/>
          <w:szCs w:val="26"/>
        </w:rPr>
        <w:t xml:space="preserve">3.2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1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1B37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446B242E" w14:textId="059A819A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read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ReadFile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5C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sqliterc</w:t>
      </w:r>
      <w:proofErr w:type="spellEnd"/>
      <w:proofErr w:type="gram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SQLite.</w:t>
      </w:r>
    </w:p>
    <w:p w14:paraId="0C85E4C9" w14:textId="4E13158E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Canh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[9, 34, 54, 56].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07A6BB41" w14:textId="5EBD4428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</w:t>
      </w:r>
      <w:r w:rsidRPr="00A15CD8">
        <w:rPr>
          <w:rFonts w:ascii="Times New Roman" w:hAnsi="Times New Roman" w:cs="Times New Roman"/>
          <w:sz w:val="26"/>
          <w:szCs w:val="26"/>
        </w:rPr>
        <w:t xml:space="preserve"> = (</w:t>
      </w:r>
      <w:r w:rsidRPr="00A15CD8">
        <w:rPr>
          <w:rFonts w:ascii="Cambria Math" w:hAnsi="Cambria Math" w:cs="Cambria Math"/>
          <w:sz w:val="26"/>
          <w:szCs w:val="26"/>
        </w:rPr>
        <w:t>𝐸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⊂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  <w:r w:rsidRPr="00A15CD8">
        <w:rPr>
          <w:rFonts w:ascii="Times New Roman" w:hAnsi="Times New Roman" w:cs="Times New Roman"/>
          <w:sz w:val="26"/>
          <w:szCs w:val="26"/>
        </w:rPr>
        <w:t xml:space="preserve"> ×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 × </w:t>
      </w:r>
      <w:r w:rsidRPr="00A15CD8">
        <w:rPr>
          <w:rFonts w:ascii="Cambria Math" w:hAnsi="Cambria Math" w:cs="Cambria Math"/>
          <w:sz w:val="26"/>
          <w:szCs w:val="26"/>
        </w:rPr>
        <w:t>𝐸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,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proofErr w:type="gram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⊂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  <w:r w:rsidRPr="00A15CD8">
        <w:rPr>
          <w:rFonts w:ascii="Times New Roman" w:hAnsi="Times New Roman" w:cs="Times New Roman"/>
          <w:sz w:val="26"/>
          <w:szCs w:val="26"/>
        </w:rPr>
        <w:t>×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>×</w:t>
      </w:r>
      <w:r w:rsidRPr="00A15CD8">
        <w:rPr>
          <w:rFonts w:ascii="Cambria Math" w:hAnsi="Cambria Math" w:cs="Cambria Math"/>
          <w:sz w:val="26"/>
          <w:szCs w:val="26"/>
        </w:rPr>
        <w:t>𝑉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𝑉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= (</w:t>
      </w:r>
      <w:r w:rsidRPr="00A15CD8">
        <w:rPr>
          <w:rFonts w:ascii="Cambria Math" w:hAnsi="Cambria Math" w:cs="Cambria Math"/>
          <w:sz w:val="26"/>
          <w:szCs w:val="26"/>
        </w:rPr>
        <w:t>𝐸𝑖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𝑅𝑖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A15CD8">
        <w:rPr>
          <w:rFonts w:ascii="Cambria Math" w:hAnsi="Cambria Math" w:cs="Cambria Math"/>
          <w:sz w:val="26"/>
          <w:szCs w:val="26"/>
        </w:rPr>
        <w:t>𝐴𝑖</w:t>
      </w:r>
      <w:r w:rsidRPr="00A15CD8">
        <w:rPr>
          <w:rFonts w:ascii="Times New Roman" w:hAnsi="Times New Roman" w:cs="Times New Roman"/>
          <w:sz w:val="26"/>
          <w:szCs w:val="26"/>
        </w:rPr>
        <w:t>,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proofErr w:type="gram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>,</w:t>
      </w:r>
      <w:r w:rsidRPr="00A15CD8">
        <w:rPr>
          <w:rFonts w:ascii="Cambria Math" w:hAnsi="Cambria Math" w:cs="Cambria Math"/>
          <w:sz w:val="26"/>
          <w:szCs w:val="26"/>
        </w:rPr>
        <w:t>𝑇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{1, 2}.</w:t>
      </w:r>
      <w:r w:rsidR="00D63F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3F92" w:rsidRPr="00D63F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aaaaaaaaaaaaaaaaaaaa</w:t>
      </w:r>
      <w:proofErr w:type="spellEnd"/>
      <w:r w:rsidRPr="00D63F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Cambria Math" w:hAnsi="Cambria Math" w:cs="Cambria Math"/>
          <w:sz w:val="26"/>
          <w:szCs w:val="26"/>
        </w:rPr>
        <w:t>𝑚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𝑀</w:t>
      </w:r>
      <w:r w:rsidRPr="00A15CD8">
        <w:rPr>
          <w:rFonts w:ascii="Times New Roman" w:hAnsi="Times New Roman" w:cs="Times New Roman"/>
          <w:sz w:val="26"/>
          <w:szCs w:val="26"/>
        </w:rPr>
        <w:t>+ =</w:t>
      </w:r>
    </w:p>
    <w:p w14:paraId="226A63FD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{(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>1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>2</w:t>
      </w:r>
      <w:proofErr w:type="gramStart"/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>)|</w:t>
      </w:r>
      <w:proofErr w:type="gramEnd"/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>1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</w:p>
    <w:p w14:paraId="668A9D4D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′</w:t>
      </w:r>
    </w:p>
    <w:p w14:paraId="6EC17C3F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1</w:t>
      </w:r>
    </w:p>
    <w:p w14:paraId="0FC85E99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∧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>2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</w:p>
    <w:p w14:paraId="14E1C1AA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′</w:t>
      </w:r>
    </w:p>
    <w:p w14:paraId="33CF656F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2</w:t>
      </w:r>
    </w:p>
    <w:p w14:paraId="36732286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}</w:t>
      </w:r>
    </w:p>
    <w:p w14:paraId="7A00484A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𝑚</w:t>
      </w:r>
    </w:p>
    <w:p w14:paraId="77E24860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>=1</w:t>
      </w:r>
    </w:p>
    <w:p w14:paraId="3EFF70B4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</w:t>
      </w:r>
    </w:p>
    <w:p w14:paraId="68937D88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′</w:t>
      </w:r>
    </w:p>
    <w:p w14:paraId="7D43C9EE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𝑖</w:t>
      </w:r>
    </w:p>
    <w:p w14:paraId="59CD9B80" w14:textId="2CA6B582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𝐸𝑖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BDG.</w:t>
      </w:r>
    </w:p>
    <w:p w14:paraId="66558FF8" w14:textId="2D8F6A26" w:rsidR="00483F10" w:rsidRPr="00A15CD8" w:rsidRDefault="00483F10" w:rsidP="00483F10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3.3 Học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1EB3334F" w14:textId="1356B8D0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deep learning [7]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BDG. Như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(ğ4.3)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(ğ4.4).</w:t>
      </w:r>
    </w:p>
    <w:p w14:paraId="0C01BAF4" w14:textId="46173F50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convolutional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(GCN) [6, 29]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random walks,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6).</w:t>
      </w:r>
    </w:p>
    <w:p w14:paraId="396DE075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Kipf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Welling [29].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𝐻</w:t>
      </w:r>
    </w:p>
    <w:p w14:paraId="4748BCB9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R</w:t>
      </w:r>
    </w:p>
    <w:p w14:paraId="4C7CE557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>×</w:t>
      </w:r>
      <w:r w:rsidRPr="00A15CD8">
        <w:rPr>
          <w:rFonts w:ascii="Cambria Math" w:hAnsi="Cambria Math" w:cs="Cambria Math"/>
          <w:sz w:val="26"/>
          <w:szCs w:val="26"/>
        </w:rPr>
        <w:t>𝑑</w:t>
      </w:r>
    </w:p>
    <w:p w14:paraId="6E77162A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>)</w:t>
      </w:r>
    </w:p>
    <w:p w14:paraId="699A481C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𝑑</w:t>
      </w:r>
    </w:p>
    <w:p w14:paraId="5ECD47F1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>)</w:t>
      </w:r>
    </w:p>
    <w:p w14:paraId="044DC65D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150B2B1A" w14:textId="1D21FC3A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D60035" wp14:editId="1BD2C181">
            <wp:extent cx="3429479" cy="514422"/>
            <wp:effectExtent l="0" t="0" r="0" b="0"/>
            <wp:docPr id="1293782584" name="Picture 1" descr="A math formula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2584" name="Picture 1" descr="A math formula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CAE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𝜎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5CD8">
        <w:rPr>
          <w:rFonts w:ascii="Cambria Math" w:hAnsi="Cambria Math" w:cs="Cambria Math"/>
          <w:sz w:val="26"/>
          <w:szCs w:val="26"/>
        </w:rPr>
        <w:t>𝑅𝑒𝐿𝑈</w:t>
      </w:r>
      <w:r w:rsidRPr="00A15CD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5CD8">
        <w:rPr>
          <w:rFonts w:ascii="Times New Roman" w:hAnsi="Times New Roman" w:cs="Times New Roman"/>
          <w:sz w:val="26"/>
          <w:szCs w:val="26"/>
        </w:rPr>
        <w:t xml:space="preserve">·);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 xml:space="preserve"> × </w:t>
      </w: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BDG;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ˆ =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+ </w:t>
      </w:r>
      <w:r w:rsidRPr="00A15CD8">
        <w:rPr>
          <w:rFonts w:ascii="Cambria Math" w:hAnsi="Cambria Math" w:cs="Cambria Math"/>
          <w:sz w:val="26"/>
          <w:szCs w:val="26"/>
        </w:rPr>
        <w:t>𝐼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𝐼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r w:rsidRPr="00A15CD8">
        <w:rPr>
          <w:rFonts w:ascii="Cambria Math" w:hAnsi="Cambria Math" w:cs="Cambria Math"/>
          <w:sz w:val="26"/>
          <w:szCs w:val="26"/>
        </w:rPr>
        <w:t>𝐷</w:t>
      </w:r>
      <w:r w:rsidRPr="00A15CD8">
        <w:rPr>
          <w:rFonts w:ascii="Times New Roman" w:hAnsi="Times New Roman" w:cs="Times New Roman"/>
          <w:sz w:val="26"/>
          <w:szCs w:val="26"/>
        </w:rPr>
        <w:t xml:space="preserve">ˆ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ˆ; </w:t>
      </w:r>
      <w:r w:rsidRPr="00A15CD8">
        <w:rPr>
          <w:rFonts w:ascii="Cambria Math" w:hAnsi="Cambria Math" w:cs="Cambria Math"/>
          <w:sz w:val="26"/>
          <w:szCs w:val="26"/>
        </w:rPr>
        <w:t>𝑊</w:t>
      </w:r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R</w:t>
      </w:r>
    </w:p>
    <w:p w14:paraId="6E65B048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𝑑</w:t>
      </w:r>
    </w:p>
    <w:p w14:paraId="4E28A886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>)×</w:t>
      </w:r>
      <w:r w:rsidRPr="00A15CD8">
        <w:rPr>
          <w:rFonts w:ascii="Cambria Math" w:hAnsi="Cambria Math" w:cs="Cambria Math"/>
          <w:sz w:val="26"/>
          <w:szCs w:val="26"/>
        </w:rPr>
        <w:t>𝑑</w:t>
      </w:r>
    </w:p>
    <w:p w14:paraId="08D60BF4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>+1)</w:t>
      </w:r>
    </w:p>
    <w:p w14:paraId="16953901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𝑑</w:t>
      </w:r>
    </w:p>
    <w:p w14:paraId="75B89907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𝑙</w:t>
      </w:r>
      <w:r w:rsidRPr="00A15CD8">
        <w:rPr>
          <w:rFonts w:ascii="Times New Roman" w:hAnsi="Times New Roman" w:cs="Times New Roman"/>
          <w:sz w:val="26"/>
          <w:szCs w:val="26"/>
        </w:rPr>
        <w:t>+1)</w:t>
      </w:r>
    </w:p>
    <w:p w14:paraId="45D38E30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6002AFF6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𝑇</w:t>
      </w:r>
    </w:p>
    <w:p w14:paraId="6225591D" w14:textId="77777777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𝑇</w:t>
      </w:r>
    </w:p>
    <w:p w14:paraId="29F9C8B7" w14:textId="4DD8AB30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lastRenderedPageBreak/>
        <w:t>𝑅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[56],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𝑎𝑖𝑗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∈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𝑒𝑗</w:t>
      </w:r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𝑟</w:t>
      </w:r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𝑢𝑛</w:t>
      </w: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𝑟</w:t>
      </w:r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𝑢𝑛</w:t>
      </w: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𝑟</w:t>
      </w:r>
      <w:r w:rsidRPr="00A15CD8">
        <w:rPr>
          <w:rFonts w:ascii="Times New Roman" w:hAnsi="Times New Roman" w:cs="Times New Roman"/>
          <w:sz w:val="26"/>
          <w:szCs w:val="26"/>
        </w:rPr>
        <w:t xml:space="preserve">). 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𝑎𝑖𝑗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𝑒𝑗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𝑢𝑛</w:t>
      </w: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𝑟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𝑢𝑛</w:t>
      </w: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𝑟</w:t>
      </w:r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18E26EFD" w14:textId="6EC139CB" w:rsidR="00483F10" w:rsidRPr="00A15CD8" w:rsidRDefault="00483F10" w:rsidP="00483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D32227" wp14:editId="0FD1D9F5">
            <wp:extent cx="4810796" cy="895475"/>
            <wp:effectExtent l="0" t="0" r="0" b="0"/>
            <wp:docPr id="4650150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504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B061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𝑇𝐴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5CD8">
        <w:rPr>
          <w:rFonts w:ascii="Cambria Math" w:hAnsi="Cambria Math" w:cs="Cambria Math"/>
          <w:sz w:val="26"/>
          <w:szCs w:val="26"/>
        </w:rPr>
        <w:t>𝐻</w:t>
      </w:r>
      <w:proofErr w:type="gramEnd"/>
    </w:p>
    <w:p w14:paraId="186D3F00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(0)</w:t>
      </w:r>
    </w:p>
    <w:p w14:paraId="145F257C" w14:textId="32169A99" w:rsidR="00483F10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(bag-of-words) [23],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[18, 65].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4.3).</w:t>
      </w:r>
    </w:p>
    <w:p w14:paraId="79FAE3CA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3.4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</w:p>
    <w:p w14:paraId="40CF6DB5" w14:textId="344285BE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(cross-platform binary analysis).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[13, 59, 65]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40F782C3" w14:textId="5B208FEB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Hai GCNs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BDGs,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7260482E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2ECF84A7" w14:textId="42B49B68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BAB388" wp14:editId="06863E94">
            <wp:extent cx="5353797" cy="1533739"/>
            <wp:effectExtent l="0" t="0" r="0" b="9525"/>
            <wp:docPr id="112350703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07037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EB3" w14:textId="0BA50379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82EBC2" wp14:editId="3E106C00">
            <wp:extent cx="5943600" cy="5578475"/>
            <wp:effectExtent l="0" t="0" r="0" b="3175"/>
            <wp:docPr id="1901612219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2219" name="Picture 1" descr="A table with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6AF0" w14:textId="50D7F620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4B393222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Cambria Math" w:hAnsi="Cambria Math" w:cs="Cambria Math"/>
          <w:sz w:val="26"/>
          <w:szCs w:val="26"/>
        </w:rPr>
        <w:t>𝑀</w:t>
      </w:r>
      <w:r w:rsidRPr="00A15CD8">
        <w:rPr>
          <w:rFonts w:ascii="Times New Roman" w:hAnsi="Times New Roman" w:cs="Times New Roman"/>
          <w:sz w:val="26"/>
          <w:szCs w:val="26"/>
        </w:rPr>
        <w:t>+</w:t>
      </w:r>
    </w:p>
    <w:p w14:paraId="6C451DFD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𝑀</w:t>
      </w:r>
      <w:r w:rsidRPr="00A15CD8">
        <w:rPr>
          <w:rFonts w:ascii="Times New Roman" w:hAnsi="Times New Roman" w:cs="Times New Roman"/>
          <w:sz w:val="26"/>
          <w:szCs w:val="26"/>
        </w:rPr>
        <w:t>−</w:t>
      </w:r>
    </w:p>
    <w:p w14:paraId="329C525F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proofErr w:type="gramStart"/>
      <w:r w:rsidRPr="00A15CD8">
        <w:rPr>
          <w:rFonts w:ascii="Times New Roman" w:hAnsi="Times New Roman" w:cs="Times New Roman"/>
          <w:sz w:val="26"/>
          <w:szCs w:val="26"/>
        </w:rPr>
        <w:t>1,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proofErr w:type="gramEnd"/>
      <w:r w:rsidRPr="00A15CD8">
        <w:rPr>
          <w:rFonts w:ascii="Times New Roman" w:hAnsi="Times New Roman" w:cs="Times New Roman"/>
          <w:sz w:val="26"/>
          <w:szCs w:val="26"/>
        </w:rPr>
        <w:t>2)</w:t>
      </w:r>
    </w:p>
    <w:p w14:paraId="3210C9E0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1,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2),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L1 </w:t>
      </w:r>
      <w:r w:rsidRPr="00A15CD8">
        <w:rPr>
          <w:rFonts w:ascii="Cambria Math" w:hAnsi="Cambria Math" w:cs="Cambria Math"/>
          <w:sz w:val="26"/>
          <w:szCs w:val="26"/>
        </w:rPr>
        <w:t>𝑓</w:t>
      </w:r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r w:rsidRPr="00A15CD8">
        <w:rPr>
          <w:rFonts w:ascii="Cambria Math" w:hAnsi="Cambria Math" w:cs="Cambria Math"/>
          <w:sz w:val="26"/>
          <w:szCs w:val="26"/>
        </w:rPr>
        <w:t>𝑥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r w:rsidRPr="00A15CD8">
        <w:rPr>
          <w:rFonts w:ascii="Cambria Math" w:hAnsi="Cambria Math" w:cs="Cambria Math"/>
          <w:sz w:val="26"/>
          <w:szCs w:val="26"/>
        </w:rPr>
        <w:t>𝑦</w:t>
      </w:r>
      <w:r w:rsidRPr="00A15CD8">
        <w:rPr>
          <w:rFonts w:ascii="Times New Roman" w:hAnsi="Times New Roman" w:cs="Times New Roman"/>
          <w:sz w:val="26"/>
          <w:szCs w:val="26"/>
        </w:rPr>
        <w:t>) = ||</w:t>
      </w:r>
      <w:r w:rsidRPr="00A15CD8">
        <w:rPr>
          <w:rFonts w:ascii="Cambria Math" w:hAnsi="Cambria Math" w:cs="Cambria Math"/>
          <w:sz w:val="26"/>
          <w:szCs w:val="26"/>
        </w:rPr>
        <w:t>𝑥</w:t>
      </w:r>
      <w:r w:rsidRPr="00A15CD8">
        <w:rPr>
          <w:rFonts w:ascii="Times New Roman" w:hAnsi="Times New Roman" w:cs="Times New Roman"/>
          <w:sz w:val="26"/>
          <w:szCs w:val="26"/>
        </w:rPr>
        <w:t xml:space="preserve"> − </w:t>
      </w:r>
      <w:r w:rsidRPr="00A15CD8">
        <w:rPr>
          <w:rFonts w:ascii="Cambria Math" w:hAnsi="Cambria Math" w:cs="Cambria Math"/>
          <w:sz w:val="26"/>
          <w:szCs w:val="26"/>
        </w:rPr>
        <w:t>𝑦</w:t>
      </w:r>
      <w:r w:rsidRPr="00A15CD8">
        <w:rPr>
          <w:rFonts w:ascii="Times New Roman" w:hAnsi="Times New Roman" w:cs="Times New Roman"/>
          <w:sz w:val="26"/>
          <w:szCs w:val="26"/>
        </w:rPr>
        <w:t>||1, ℎ(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𝛾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𝑀</w:t>
      </w:r>
      <w:r w:rsidRPr="00A15CD8">
        <w:rPr>
          <w:rFonts w:ascii="Times New Roman" w:hAnsi="Times New Roman" w:cs="Times New Roman"/>
          <w:sz w:val="26"/>
          <w:szCs w:val="26"/>
        </w:rPr>
        <w:t>+</w:t>
      </w:r>
    </w:p>
    <w:p w14:paraId="491D552A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r w:rsidRPr="00A15CD8">
        <w:rPr>
          <w:rFonts w:ascii="Cambria Math" w:hAnsi="Cambria Math" w:cs="Cambria Math"/>
          <w:sz w:val="26"/>
          <w:szCs w:val="26"/>
        </w:rPr>
        <w:t>𝑀</w:t>
      </w:r>
      <w:r w:rsidRPr="00A15CD8">
        <w:rPr>
          <w:rFonts w:ascii="Times New Roman" w:hAnsi="Times New Roman" w:cs="Times New Roman"/>
          <w:sz w:val="26"/>
          <w:szCs w:val="26"/>
        </w:rPr>
        <w:t>−</w:t>
      </w:r>
    </w:p>
    <w:p w14:paraId="05590E58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(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proofErr w:type="gramStart"/>
      <w:r w:rsidRPr="00A15CD8">
        <w:rPr>
          <w:rFonts w:ascii="Times New Roman" w:hAnsi="Times New Roman" w:cs="Times New Roman"/>
          <w:sz w:val="26"/>
          <w:szCs w:val="26"/>
        </w:rPr>
        <w:t>1,</w:t>
      </w:r>
      <w:r w:rsidRPr="00A15CD8">
        <w:rPr>
          <w:rFonts w:ascii="Cambria Math" w:hAnsi="Cambria Math" w:cs="Cambria Math"/>
          <w:sz w:val="26"/>
          <w:szCs w:val="26"/>
        </w:rPr>
        <w:t>𝑒</w:t>
      </w:r>
      <w:proofErr w:type="gramEnd"/>
      <w:r w:rsidRPr="00A15CD8">
        <w:rPr>
          <w:rFonts w:ascii="Times New Roman" w:hAnsi="Times New Roman" w:cs="Times New Roman"/>
          <w:sz w:val="26"/>
          <w:szCs w:val="26"/>
        </w:rPr>
        <w:t>2)</w:t>
      </w:r>
    </w:p>
    <w:p w14:paraId="2E234B7A" w14:textId="5BDB9C0D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𝐺𝑃</w:t>
      </w:r>
      <w:r w:rsidRPr="00A15CD8">
        <w:rPr>
          <w:rFonts w:ascii="Times New Roman" w:hAnsi="Times New Roman" w:cs="Times New Roman"/>
          <w:sz w:val="26"/>
          <w:szCs w:val="26"/>
        </w:rPr>
        <w:t>2.</w:t>
      </w:r>
    </w:p>
    <w:p w14:paraId="1B135865" w14:textId="77777777" w:rsidR="002744E4" w:rsidRPr="00A15CD8" w:rsidRDefault="002744E4" w:rsidP="0027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𝑛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ℎ(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>. ℎ(</w:t>
      </w:r>
      <w:r w:rsidRPr="00A15CD8">
        <w:rPr>
          <w:rFonts w:ascii="Cambria Math" w:hAnsi="Cambria Math" w:cs="Cambria Math"/>
          <w:sz w:val="26"/>
          <w:szCs w:val="26"/>
        </w:rPr>
        <w:t>𝑒𝑖</w:t>
      </w:r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54266435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>4 ĐÁNH GIÁ</w:t>
      </w:r>
    </w:p>
    <w:p w14:paraId="5FDF1B7F" w14:textId="77777777" w:rsidR="002744E4" w:rsidRPr="00A15CD8" w:rsidRDefault="002744E4" w:rsidP="002744E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0D2EB39A" w14:textId="06F121F7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RQ1.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3ACD3F7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?</w:t>
      </w:r>
    </w:p>
    <w:p w14:paraId="284C8D56" w14:textId="29D02996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RQ2. Các vector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</w:t>
      </w:r>
    </w:p>
    <w:p w14:paraId="1BD6F795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?</w:t>
      </w:r>
    </w:p>
    <w:p w14:paraId="20E4D2B7" w14:textId="10BEDEF9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RQ3.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?</w:t>
      </w:r>
    </w:p>
    <w:p w14:paraId="05748A2E" w14:textId="4B2BF419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RQ4.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XBA?</w:t>
      </w:r>
    </w:p>
    <w:p w14:paraId="42A68DB2" w14:textId="2824CEA1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RQ5.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XBA?</w:t>
      </w:r>
    </w:p>
    <w:p w14:paraId="7C0F5A25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1223D5CC" w14:textId="7291630A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</w:t>
      </w:r>
    </w:p>
    <w:p w14:paraId="07596DAE" w14:textId="2A2A129C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CURL, (ii) SQLITE3, (iii)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OpenSSL (OPENSSL), (iv)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OpenSSL (LIBCRYPTO),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(v) Apache HTTPD.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ELF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Windows PE32+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57847248" w14:textId="4E038A49" w:rsidR="002744E4" w:rsidRPr="00A15CD8" w:rsidRDefault="002744E4" w:rsidP="00274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GLIBC,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LIBCRYPTO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OpenSSL,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ISA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x86_64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AArch64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ELF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0F211019" w14:textId="77777777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IDA Pro [26].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(BDGs)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2.3,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BDGs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2ED3C99C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4.2 Cài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6F230FCB" w14:textId="1294C578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Python v3.8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TensorFlow v2.7.0 [1].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GCNs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Wang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[56].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GCNs 5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𝑑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200,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200.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𝛾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0.1,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CPU AMD EPYC 7282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256GB RAM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GPU NVIDIA RTX 3090.</w:t>
      </w:r>
    </w:p>
    <w:p w14:paraId="3F3F7B5F" w14:textId="6E40865C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[65],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bag-of-words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[23].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Siamese,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[1].</w:t>
      </w:r>
    </w:p>
    <w:p w14:paraId="4626707F" w14:textId="5395A1DC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XBA.</w:t>
      </w:r>
    </w:p>
    <w:p w14:paraId="33F17924" w14:textId="6A507EEF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</w:t>
      </w:r>
      <w:r w:rsidRPr="00A15CD8">
        <w:rPr>
          <w:rFonts w:ascii="Cambria Math" w:hAnsi="Cambria Math" w:cs="Cambria Math"/>
          <w:sz w:val="26"/>
          <w:szCs w:val="26"/>
        </w:rPr>
        <w:t>𝐾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[17, 34, 38, 56].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r w:rsidRPr="00A15CD8">
        <w:rPr>
          <w:rFonts w:ascii="Cambria Math" w:hAnsi="Cambria Math" w:cs="Cambria Math"/>
          <w:sz w:val="26"/>
          <w:szCs w:val="26"/>
        </w:rPr>
        <w:t>𝐾</w:t>
      </w:r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{1, 10, 50, 100}.</w:t>
      </w:r>
    </w:p>
    <w:p w14:paraId="51C12ED2" w14:textId="77777777" w:rsidR="002744E4" w:rsidRPr="00A15CD8" w:rsidRDefault="002744E4" w:rsidP="0027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Encoding + XBA)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+ XBA).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4649A9B0" w14:textId="6C4468A5" w:rsidR="00C670E2" w:rsidRPr="00A15CD8" w:rsidRDefault="00C670E2" w:rsidP="00C670E2">
      <w:p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4.3 RQ1.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75133799" w14:textId="78795BF7" w:rsidR="00C670E2" w:rsidRPr="00A15CD8" w:rsidRDefault="00C670E2" w:rsidP="00C67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</w:t>
      </w:r>
      <w:r w:rsidRPr="00A15CD8">
        <w:rPr>
          <w:rFonts w:ascii="Cambria Math" w:hAnsi="Cambria Math" w:cs="Cambria Math"/>
          <w:sz w:val="26"/>
          <w:szCs w:val="26"/>
        </w:rPr>
        <w:t>𝐾</w:t>
      </w:r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6F904A5A" w14:textId="411972DE" w:rsidR="00C670E2" w:rsidRPr="00A15CD8" w:rsidRDefault="00C670E2" w:rsidP="00C67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Hit@100→Hit@1).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25%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Hit@10.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27%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75%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Hit@10;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2%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Hit@10 (11.34 → 83.41).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35E07DC9" w14:textId="623D6B50" w:rsidR="00C670E2" w:rsidRPr="00A15CD8" w:rsidRDefault="00C670E2" w:rsidP="00C67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may,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Như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3.3,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XBA,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(BDGs),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284D1946" w14:textId="25E6CD33" w:rsidR="00C670E2" w:rsidRPr="00A15CD8" w:rsidRDefault="00C670E2" w:rsidP="00C67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15CD8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[18],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InnerEye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Text-Associated Deep-Walk [60]. Tuy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(2%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12%)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02733DB1" w14:textId="30CF6959" w:rsidR="002744E4" w:rsidRPr="00A15CD8" w:rsidRDefault="00C670E2" w:rsidP="00C67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(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+ XBA).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OPENSSL,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DeepBinDiff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lastRenderedPageBreak/>
        <w:t>hóa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BoW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XBA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D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5CD8">
        <w:rPr>
          <w:rFonts w:ascii="Times New Roman" w:hAnsi="Times New Roman" w:cs="Times New Roman"/>
          <w:sz w:val="26"/>
          <w:szCs w:val="26"/>
        </w:rPr>
        <w:t>.</w:t>
      </w:r>
    </w:p>
    <w:p w14:paraId="1A126208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</w:p>
    <w:p w14:paraId="4E477F43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</w:p>
    <w:p w14:paraId="4174D6D6" w14:textId="77777777" w:rsidR="002744E4" w:rsidRPr="00A15CD8" w:rsidRDefault="002744E4" w:rsidP="002744E4">
      <w:pPr>
        <w:rPr>
          <w:rFonts w:ascii="Times New Roman" w:hAnsi="Times New Roman" w:cs="Times New Roman"/>
          <w:sz w:val="26"/>
          <w:szCs w:val="26"/>
        </w:rPr>
      </w:pPr>
    </w:p>
    <w:sectPr w:rsidR="002744E4" w:rsidRPr="00A1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299"/>
    <w:multiLevelType w:val="hybridMultilevel"/>
    <w:tmpl w:val="D5DA8A62"/>
    <w:lvl w:ilvl="0" w:tplc="0AA4A4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47A10"/>
    <w:multiLevelType w:val="hybridMultilevel"/>
    <w:tmpl w:val="BADACBA8"/>
    <w:lvl w:ilvl="0" w:tplc="526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02F78"/>
    <w:multiLevelType w:val="hybridMultilevel"/>
    <w:tmpl w:val="591A9C3C"/>
    <w:lvl w:ilvl="0" w:tplc="526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F2115"/>
    <w:multiLevelType w:val="hybridMultilevel"/>
    <w:tmpl w:val="A560C5B4"/>
    <w:lvl w:ilvl="0" w:tplc="526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32838"/>
    <w:multiLevelType w:val="hybridMultilevel"/>
    <w:tmpl w:val="6C3CB6F8"/>
    <w:lvl w:ilvl="0" w:tplc="526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8131">
    <w:abstractNumId w:val="4"/>
  </w:num>
  <w:num w:numId="2" w16cid:durableId="383070623">
    <w:abstractNumId w:val="1"/>
  </w:num>
  <w:num w:numId="3" w16cid:durableId="1146584748">
    <w:abstractNumId w:val="3"/>
  </w:num>
  <w:num w:numId="4" w16cid:durableId="436170886">
    <w:abstractNumId w:val="0"/>
  </w:num>
  <w:num w:numId="5" w16cid:durableId="120265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A"/>
    <w:rsid w:val="00171B37"/>
    <w:rsid w:val="002744E4"/>
    <w:rsid w:val="0039735A"/>
    <w:rsid w:val="00483F10"/>
    <w:rsid w:val="006375B1"/>
    <w:rsid w:val="00A15CD8"/>
    <w:rsid w:val="00C670E2"/>
    <w:rsid w:val="00D63F92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B558"/>
  <w15:chartTrackingRefBased/>
  <w15:docId w15:val="{26E375AE-3420-4985-844A-9BE6595A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6432</Words>
  <Characters>36665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Hải</dc:creator>
  <cp:keywords/>
  <dc:description/>
  <cp:lastModifiedBy>Nguyễn Phúc Hải</cp:lastModifiedBy>
  <cp:revision>4</cp:revision>
  <dcterms:created xsi:type="dcterms:W3CDTF">2023-08-01T09:48:00Z</dcterms:created>
  <dcterms:modified xsi:type="dcterms:W3CDTF">2023-08-08T02:34:00Z</dcterms:modified>
</cp:coreProperties>
</file>