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1ADB" w14:textId="44726D5C" w:rsidR="0020106B" w:rsidRDefault="00966B4D" w:rsidP="0020106B">
      <w:pPr>
        <w:jc w:val="center"/>
        <w:rPr>
          <w:b/>
        </w:rPr>
      </w:pPr>
      <w:r>
        <w:rPr>
          <w:b/>
        </w:rPr>
        <w:t>Synopsis, 20</w:t>
      </w:r>
      <w:r w:rsidR="00746977">
        <w:rPr>
          <w:b/>
        </w:rPr>
        <w:t>2</w:t>
      </w:r>
      <w:r w:rsidR="000E35CD">
        <w:rPr>
          <w:b/>
        </w:rPr>
        <w:t>3</w:t>
      </w:r>
    </w:p>
    <w:p w14:paraId="72326700" w14:textId="6A153006" w:rsidR="0020106B" w:rsidRPr="00533917" w:rsidRDefault="00533917" w:rsidP="00533917">
      <w:pPr>
        <w:jc w:val="center"/>
        <w:rPr>
          <w:b/>
        </w:rPr>
      </w:pPr>
      <w:r>
        <w:rPr>
          <w:b/>
        </w:rPr>
        <w:t>Annie Hsu</w:t>
      </w:r>
      <w:r w:rsidR="000F62C5">
        <w:rPr>
          <w:b/>
        </w:rPr>
        <w:t>, Lecturer</w:t>
      </w:r>
    </w:p>
    <w:p w14:paraId="1315968A" w14:textId="77777777" w:rsidR="00AE2015" w:rsidRDefault="00AE2015"/>
    <w:p w14:paraId="23D1071B" w14:textId="77777777" w:rsidR="005E7FA7" w:rsidRDefault="005E7FA7" w:rsidP="005E7FA7">
      <w:bookmarkStart w:id="0" w:name="_Hlk135232806"/>
      <w:r>
        <w:rPr>
          <w:b/>
        </w:rPr>
        <w:t>Teaching</w:t>
      </w:r>
    </w:p>
    <w:p w14:paraId="250A4FFB" w14:textId="77777777" w:rsidR="005E7FA7" w:rsidRDefault="005E7FA7" w:rsidP="005E7FA7"/>
    <w:p w14:paraId="17AB1A5E" w14:textId="7C3E15E0" w:rsidR="005E7FA7" w:rsidRPr="00836866" w:rsidRDefault="005B72C9" w:rsidP="005E7FA7">
      <w:bookmarkStart w:id="1" w:name="_Hlk135232909"/>
      <w:r w:rsidRPr="00836866">
        <w:t xml:space="preserve">In the </w:t>
      </w:r>
      <w:r w:rsidR="007810A5" w:rsidRPr="00836866">
        <w:t>Fall</w:t>
      </w:r>
      <w:r w:rsidRPr="00836866">
        <w:t xml:space="preserve">, I taught one section of </w:t>
      </w:r>
      <w:r w:rsidR="00533917" w:rsidRPr="00836866">
        <w:rPr>
          <w:b/>
          <w:bCs/>
        </w:rPr>
        <w:t>Financial and Cost-Benefit Analysis</w:t>
      </w:r>
      <w:r w:rsidRPr="00836866">
        <w:t xml:space="preserve"> (</w:t>
      </w:r>
      <w:r w:rsidR="00533917" w:rsidRPr="00836866">
        <w:t xml:space="preserve">V401-3230, 42 </w:t>
      </w:r>
      <w:r w:rsidR="00533917" w:rsidRPr="00836866">
        <w:t>students</w:t>
      </w:r>
      <w:r w:rsidR="00533917" w:rsidRPr="00836866">
        <w:t>)</w:t>
      </w:r>
      <w:r w:rsidRPr="00836866">
        <w:t xml:space="preserve">, </w:t>
      </w:r>
      <w:r w:rsidR="00533917" w:rsidRPr="00836866">
        <w:t xml:space="preserve">one section of </w:t>
      </w:r>
      <w:r w:rsidR="00533917" w:rsidRPr="00836866">
        <w:rPr>
          <w:b/>
          <w:bCs/>
        </w:rPr>
        <w:t>Intermediate Public Budgeting and Finance for Public Affairs</w:t>
      </w:r>
      <w:r w:rsidR="00533917" w:rsidRPr="00836866">
        <w:t xml:space="preserve"> (V374-10928, 55 students), </w:t>
      </w:r>
      <w:r w:rsidRPr="00836866">
        <w:t xml:space="preserve">and </w:t>
      </w:r>
      <w:r w:rsidR="00533917" w:rsidRPr="00836866">
        <w:t>one</w:t>
      </w:r>
      <w:r w:rsidRPr="00836866">
        <w:t xml:space="preserve"> section of</w:t>
      </w:r>
      <w:r w:rsidR="00533917" w:rsidRPr="00836866">
        <w:t xml:space="preserve"> </w:t>
      </w:r>
      <w:r w:rsidR="00533917" w:rsidRPr="00836866">
        <w:rPr>
          <w:b/>
          <w:bCs/>
        </w:rPr>
        <w:t>Contemporary Economic Issues in Public Affairs</w:t>
      </w:r>
      <w:r w:rsidR="00533917" w:rsidRPr="00836866">
        <w:t xml:space="preserve"> (V202-10236, 87 students)</w:t>
      </w:r>
      <w:r w:rsidRPr="00836866">
        <w:t xml:space="preserve">. </w:t>
      </w:r>
      <w:r w:rsidR="00722D89" w:rsidRPr="00836866">
        <w:t xml:space="preserve"> </w:t>
      </w:r>
      <w:r w:rsidR="00533917" w:rsidRPr="00836866">
        <w:t>Three courses</w:t>
      </w:r>
      <w:r w:rsidR="000E35CD" w:rsidRPr="00836866">
        <w:t xml:space="preserve"> w</w:t>
      </w:r>
      <w:r w:rsidR="00533917" w:rsidRPr="00836866">
        <w:t>ere</w:t>
      </w:r>
      <w:r w:rsidR="000E35CD" w:rsidRPr="00836866">
        <w:t xml:space="preserve"> </w:t>
      </w:r>
      <w:r w:rsidR="00533917" w:rsidRPr="00836866">
        <w:t>the</w:t>
      </w:r>
      <w:r w:rsidR="000E35CD" w:rsidRPr="00836866">
        <w:t xml:space="preserve"> new prep for me.</w:t>
      </w:r>
    </w:p>
    <w:p w14:paraId="1A1F34E2" w14:textId="74DA34E6" w:rsidR="004D7169" w:rsidRDefault="004D7169" w:rsidP="005E7FA7"/>
    <w:p w14:paraId="5F16F1E5" w14:textId="09470E3A" w:rsidR="00836866" w:rsidRDefault="000E35CD" w:rsidP="005E7FA7">
      <w:r>
        <w:t xml:space="preserve">As evidence of high-quality classroom teaching, </w:t>
      </w:r>
      <w:r w:rsidR="00836866">
        <w:t xml:space="preserve">I organized some tables to display the </w:t>
      </w:r>
      <w:r w:rsidR="00836866">
        <w:t>quantitative scores</w:t>
      </w:r>
      <w:r w:rsidR="00836866">
        <w:t xml:space="preserve"> and </w:t>
      </w:r>
      <w:r w:rsidR="00836866">
        <w:t>qualitative comments demonstrated</w:t>
      </w:r>
      <w:r w:rsidR="00836866">
        <w:t>.</w:t>
      </w:r>
    </w:p>
    <w:p w14:paraId="05F98736" w14:textId="50C4E8AD" w:rsidR="00836866" w:rsidRDefault="00836866" w:rsidP="005E7FA7"/>
    <w:p w14:paraId="2D1F0852" w14:textId="4C81C33A" w:rsidR="00836866" w:rsidRDefault="00836866" w:rsidP="005E7FA7">
      <w:r>
        <w:t>Table 1: Summary from OCQs</w:t>
      </w:r>
    </w:p>
    <w:tbl>
      <w:tblPr>
        <w:tblStyle w:val="TableGrid"/>
        <w:tblW w:w="0" w:type="auto"/>
        <w:tblLook w:val="04A0" w:firstRow="1" w:lastRow="0" w:firstColumn="1" w:lastColumn="0" w:noHBand="0" w:noVBand="1"/>
      </w:tblPr>
      <w:tblGrid>
        <w:gridCol w:w="1363"/>
        <w:gridCol w:w="2840"/>
        <w:gridCol w:w="2857"/>
        <w:gridCol w:w="2866"/>
      </w:tblGrid>
      <w:tr w:rsidR="00836866" w14:paraId="7CE0BC1C" w14:textId="77777777" w:rsidTr="00836866">
        <w:tc>
          <w:tcPr>
            <w:tcW w:w="1165" w:type="dxa"/>
          </w:tcPr>
          <w:p w14:paraId="46910CF4" w14:textId="77777777" w:rsidR="00836866" w:rsidRDefault="00836866" w:rsidP="005E7FA7"/>
        </w:tc>
        <w:tc>
          <w:tcPr>
            <w:tcW w:w="2920" w:type="dxa"/>
          </w:tcPr>
          <w:p w14:paraId="45AAC97A" w14:textId="5CAC4390" w:rsidR="00836866" w:rsidRDefault="00836866" w:rsidP="005E7FA7">
            <w:r w:rsidRPr="00533917">
              <w:rPr>
                <w:b/>
                <w:bCs/>
              </w:rPr>
              <w:t>Financial and Cost-Benefit Analysis</w:t>
            </w:r>
          </w:p>
        </w:tc>
        <w:tc>
          <w:tcPr>
            <w:tcW w:w="2920" w:type="dxa"/>
          </w:tcPr>
          <w:p w14:paraId="4400292F" w14:textId="4500DDA1" w:rsidR="00836866" w:rsidRDefault="00836866" w:rsidP="005E7FA7">
            <w:r w:rsidRPr="00533917">
              <w:rPr>
                <w:b/>
                <w:bCs/>
              </w:rPr>
              <w:t>Intermediate Public Budgeting</w:t>
            </w:r>
          </w:p>
        </w:tc>
        <w:tc>
          <w:tcPr>
            <w:tcW w:w="2921" w:type="dxa"/>
          </w:tcPr>
          <w:p w14:paraId="5538BE13" w14:textId="703BDBB1" w:rsidR="00836866" w:rsidRDefault="00836866" w:rsidP="005E7FA7">
            <w:r w:rsidRPr="00533917">
              <w:rPr>
                <w:b/>
                <w:bCs/>
              </w:rPr>
              <w:t>Contemporary Economic Issues</w:t>
            </w:r>
          </w:p>
        </w:tc>
      </w:tr>
      <w:tr w:rsidR="00836866" w14:paraId="0D7C97E6" w14:textId="77777777" w:rsidTr="00836866">
        <w:tc>
          <w:tcPr>
            <w:tcW w:w="1165" w:type="dxa"/>
          </w:tcPr>
          <w:p w14:paraId="549D7CE0" w14:textId="44CF1B76" w:rsidR="00836866" w:rsidRDefault="00836866" w:rsidP="005E7FA7">
            <w:r w:rsidRPr="00836866">
              <w:rPr>
                <w:sz w:val="20"/>
                <w:szCs w:val="20"/>
              </w:rPr>
              <w:t>Responses ratio to OCQs</w:t>
            </w:r>
          </w:p>
        </w:tc>
        <w:tc>
          <w:tcPr>
            <w:tcW w:w="2920" w:type="dxa"/>
          </w:tcPr>
          <w:p w14:paraId="38CC7D36" w14:textId="2882C20F" w:rsidR="00836866" w:rsidRDefault="00836866" w:rsidP="005E7FA7">
            <w:r>
              <w:t>92.9% (</w:t>
            </w:r>
            <w:hyperlink r:id="rId7" w:history="1">
              <w:r w:rsidRPr="00836866">
                <w:rPr>
                  <w:rStyle w:val="Hyperlink"/>
                </w:rPr>
                <w:t>link</w:t>
              </w:r>
            </w:hyperlink>
            <w:r>
              <w:t>)</w:t>
            </w:r>
          </w:p>
        </w:tc>
        <w:tc>
          <w:tcPr>
            <w:tcW w:w="2920" w:type="dxa"/>
          </w:tcPr>
          <w:p w14:paraId="17EC404F" w14:textId="67C022CE" w:rsidR="00836866" w:rsidRDefault="00836866" w:rsidP="005E7FA7">
            <w:r>
              <w:t xml:space="preserve">85.5% </w:t>
            </w:r>
            <w:r>
              <w:t>(</w:t>
            </w:r>
            <w:hyperlink r:id="rId8" w:history="1">
              <w:r w:rsidRPr="00836866">
                <w:rPr>
                  <w:rStyle w:val="Hyperlink"/>
                </w:rPr>
                <w:t>link</w:t>
              </w:r>
            </w:hyperlink>
            <w:r>
              <w:t>)</w:t>
            </w:r>
          </w:p>
        </w:tc>
        <w:tc>
          <w:tcPr>
            <w:tcW w:w="2921" w:type="dxa"/>
          </w:tcPr>
          <w:p w14:paraId="5D6BD94F" w14:textId="1E2928A8" w:rsidR="00836866" w:rsidRDefault="00836866" w:rsidP="005E7FA7">
            <w:r>
              <w:t xml:space="preserve">92% </w:t>
            </w:r>
            <w:r>
              <w:t>(</w:t>
            </w:r>
            <w:hyperlink r:id="rId9" w:history="1">
              <w:r w:rsidRPr="00836866">
                <w:rPr>
                  <w:rStyle w:val="Hyperlink"/>
                </w:rPr>
                <w:t>link</w:t>
              </w:r>
            </w:hyperlink>
            <w:r>
              <w:t>)</w:t>
            </w:r>
          </w:p>
        </w:tc>
      </w:tr>
      <w:tr w:rsidR="00836866" w14:paraId="3FEBC99F" w14:textId="77777777" w:rsidTr="00836866">
        <w:tc>
          <w:tcPr>
            <w:tcW w:w="1165" w:type="dxa"/>
          </w:tcPr>
          <w:p w14:paraId="7FDC111E" w14:textId="5DFC6375" w:rsidR="00836866" w:rsidRDefault="00836866" w:rsidP="005E7FA7">
            <w:r>
              <w:t xml:space="preserve">Clarity </w:t>
            </w:r>
          </w:p>
        </w:tc>
        <w:tc>
          <w:tcPr>
            <w:tcW w:w="2920" w:type="dxa"/>
          </w:tcPr>
          <w:p w14:paraId="38899F70" w14:textId="6CC274AF" w:rsidR="00836866" w:rsidRDefault="00836866" w:rsidP="005E7FA7">
            <w:r>
              <w:t>79.49%</w:t>
            </w:r>
          </w:p>
        </w:tc>
        <w:tc>
          <w:tcPr>
            <w:tcW w:w="2920" w:type="dxa"/>
          </w:tcPr>
          <w:p w14:paraId="12B66920" w14:textId="350E7302" w:rsidR="00836866" w:rsidRDefault="00836866" w:rsidP="005E7FA7">
            <w:r>
              <w:t>82.98%</w:t>
            </w:r>
          </w:p>
        </w:tc>
        <w:tc>
          <w:tcPr>
            <w:tcW w:w="2921" w:type="dxa"/>
          </w:tcPr>
          <w:p w14:paraId="7AEBB781" w14:textId="198BEC48" w:rsidR="00836866" w:rsidRDefault="00836866" w:rsidP="005E7FA7">
            <w:r>
              <w:t>68.75%</w:t>
            </w:r>
          </w:p>
        </w:tc>
      </w:tr>
      <w:tr w:rsidR="00836866" w14:paraId="284C6E4F" w14:textId="77777777" w:rsidTr="00836866">
        <w:tc>
          <w:tcPr>
            <w:tcW w:w="1165" w:type="dxa"/>
          </w:tcPr>
          <w:p w14:paraId="53A2B90B" w14:textId="3291A1C4" w:rsidR="00836866" w:rsidRDefault="00836866" w:rsidP="005E7FA7">
            <w:r>
              <w:t>Effective</w:t>
            </w:r>
          </w:p>
        </w:tc>
        <w:tc>
          <w:tcPr>
            <w:tcW w:w="2920" w:type="dxa"/>
          </w:tcPr>
          <w:p w14:paraId="24A1C47F" w14:textId="177FF590" w:rsidR="00836866" w:rsidRDefault="00836866" w:rsidP="005E7FA7">
            <w:r>
              <w:t>66.67%</w:t>
            </w:r>
          </w:p>
        </w:tc>
        <w:tc>
          <w:tcPr>
            <w:tcW w:w="2920" w:type="dxa"/>
          </w:tcPr>
          <w:p w14:paraId="6CFC0C62" w14:textId="0DF69ECB" w:rsidR="00836866" w:rsidRDefault="00836866" w:rsidP="005E7FA7">
            <w:r>
              <w:t>74.47%</w:t>
            </w:r>
          </w:p>
        </w:tc>
        <w:tc>
          <w:tcPr>
            <w:tcW w:w="2921" w:type="dxa"/>
          </w:tcPr>
          <w:p w14:paraId="1C73FA0C" w14:textId="27F4519C" w:rsidR="00836866" w:rsidRDefault="00836866" w:rsidP="005E7FA7">
            <w:r>
              <w:t>63.75%</w:t>
            </w:r>
          </w:p>
        </w:tc>
      </w:tr>
      <w:tr w:rsidR="00836866" w14:paraId="255C3092" w14:textId="77777777" w:rsidTr="00836866">
        <w:tc>
          <w:tcPr>
            <w:tcW w:w="1165" w:type="dxa"/>
          </w:tcPr>
          <w:p w14:paraId="17309F46" w14:textId="36B8FE0A" w:rsidR="00836866" w:rsidRDefault="00836866" w:rsidP="005E7FA7">
            <w:r>
              <w:t>Availability</w:t>
            </w:r>
          </w:p>
        </w:tc>
        <w:tc>
          <w:tcPr>
            <w:tcW w:w="2920" w:type="dxa"/>
          </w:tcPr>
          <w:p w14:paraId="3F5AFA5A" w14:textId="3F4358B4" w:rsidR="00836866" w:rsidRDefault="00836866" w:rsidP="005E7FA7">
            <w:r>
              <w:t>94.87%</w:t>
            </w:r>
          </w:p>
        </w:tc>
        <w:tc>
          <w:tcPr>
            <w:tcW w:w="2920" w:type="dxa"/>
          </w:tcPr>
          <w:p w14:paraId="204311D5" w14:textId="0158A904" w:rsidR="00836866" w:rsidRDefault="00836866" w:rsidP="005E7FA7">
            <w:r>
              <w:t>100%</w:t>
            </w:r>
          </w:p>
        </w:tc>
        <w:tc>
          <w:tcPr>
            <w:tcW w:w="2921" w:type="dxa"/>
          </w:tcPr>
          <w:p w14:paraId="480FE8A0" w14:textId="344015AA" w:rsidR="00836866" w:rsidRDefault="00836866" w:rsidP="005E7FA7">
            <w:r>
              <w:t>82.5%</w:t>
            </w:r>
          </w:p>
        </w:tc>
      </w:tr>
    </w:tbl>
    <w:p w14:paraId="7EF38959" w14:textId="3A0C022E" w:rsidR="00836866" w:rsidRDefault="00836866" w:rsidP="005E7FA7">
      <w:r w:rsidRPr="00836866">
        <w:rPr>
          <w:sz w:val="20"/>
          <w:szCs w:val="20"/>
        </w:rPr>
        <w:t xml:space="preserve">Note: </w:t>
      </w:r>
      <w:r w:rsidRPr="00836866">
        <w:rPr>
          <w:sz w:val="20"/>
          <w:szCs w:val="20"/>
        </w:rPr>
        <w:t>In the individual report section of the course questionnaire, responses are measured on a 4-point scale, including categories such as "Very clearly," "Clearly," "Somewhat clearly," and "Not at all clearly." When calculating percentages</w:t>
      </w:r>
      <w:r>
        <w:rPr>
          <w:sz w:val="20"/>
          <w:szCs w:val="20"/>
        </w:rPr>
        <w:t xml:space="preserve"> in Table 1</w:t>
      </w:r>
      <w:r w:rsidRPr="00836866">
        <w:rPr>
          <w:sz w:val="20"/>
          <w:szCs w:val="20"/>
        </w:rPr>
        <w:t>, the combination of responses falls into the "Very clearly" and "Clearly" categories, with a similar approach applied to the effective and availability indices.</w:t>
      </w:r>
      <w:r>
        <w:rPr>
          <w:sz w:val="20"/>
          <w:szCs w:val="20"/>
        </w:rPr>
        <w:br/>
      </w:r>
    </w:p>
    <w:p w14:paraId="0E3F316D" w14:textId="6992A68B" w:rsidR="00836866" w:rsidRDefault="00836866" w:rsidP="005E7FA7">
      <w:r w:rsidRPr="00836866">
        <w:t xml:space="preserve">The "Availability" index underscores my commitment to assisting students whenever they require support. This dedication is exemplified by my consistent hosting of approximately 3 hours of office hours every week. Enclosed in this message is a </w:t>
      </w:r>
      <w:hyperlink r:id="rId10" w:history="1">
        <w:r w:rsidRPr="00836866">
          <w:rPr>
            <w:rStyle w:val="Hyperlink"/>
          </w:rPr>
          <w:t>link</w:t>
        </w:r>
      </w:hyperlink>
      <w:r>
        <w:t xml:space="preserve"> </w:t>
      </w:r>
      <w:r w:rsidRPr="00836866">
        <w:t xml:space="preserve">that provides evidence of the appointments scheduled by students during these hours. Notably, </w:t>
      </w:r>
      <w:proofErr w:type="gramStart"/>
      <w:r w:rsidRPr="00836866">
        <w:t>a number of</w:t>
      </w:r>
      <w:proofErr w:type="gramEnd"/>
      <w:r w:rsidRPr="00836866">
        <w:t xml:space="preserve"> students have demonstrated significant improvement following my guidance during these office hours, highlighting the positive impact of my availability on their academic progress.</w:t>
      </w:r>
    </w:p>
    <w:p w14:paraId="0E985416" w14:textId="79BC76D3" w:rsidR="00836866" w:rsidRDefault="00836866" w:rsidP="005E7FA7"/>
    <w:p w14:paraId="4E276DDE" w14:textId="53639ED5" w:rsidR="00836866" w:rsidRDefault="00836866" w:rsidP="005E7FA7">
      <w:r>
        <w:t xml:space="preserve">Table 2: </w:t>
      </w:r>
      <w:r w:rsidRPr="00836866">
        <w:t>Participating in Office Hours and Progress from Midterm to Final Examination</w:t>
      </w:r>
    </w:p>
    <w:tbl>
      <w:tblPr>
        <w:tblStyle w:val="TableGrid"/>
        <w:tblW w:w="0" w:type="auto"/>
        <w:tblLook w:val="04A0" w:firstRow="1" w:lastRow="0" w:firstColumn="1" w:lastColumn="0" w:noHBand="0" w:noVBand="1"/>
      </w:tblPr>
      <w:tblGrid>
        <w:gridCol w:w="2425"/>
        <w:gridCol w:w="2610"/>
        <w:gridCol w:w="1710"/>
        <w:gridCol w:w="1620"/>
        <w:gridCol w:w="1561"/>
      </w:tblGrid>
      <w:tr w:rsidR="00836866" w14:paraId="6E26851D" w14:textId="2A84E94C" w:rsidTr="00836866">
        <w:tc>
          <w:tcPr>
            <w:tcW w:w="2425" w:type="dxa"/>
          </w:tcPr>
          <w:p w14:paraId="0FBDE198" w14:textId="77777777" w:rsidR="00836866" w:rsidRDefault="00836866" w:rsidP="005E7FA7">
            <w:r>
              <w:t>Students’ ID (class #)</w:t>
            </w:r>
          </w:p>
          <w:p w14:paraId="2EAD2AF2" w14:textId="5F6A6552" w:rsidR="00836866" w:rsidRDefault="00836866" w:rsidP="005E7FA7"/>
        </w:tc>
        <w:tc>
          <w:tcPr>
            <w:tcW w:w="2610" w:type="dxa"/>
          </w:tcPr>
          <w:p w14:paraId="44554335" w14:textId="506FA347" w:rsidR="00836866" w:rsidRDefault="00836866" w:rsidP="005E7FA7">
            <w:r>
              <w:t>How many times s/he visit my office hour (after midterm)</w:t>
            </w:r>
          </w:p>
        </w:tc>
        <w:tc>
          <w:tcPr>
            <w:tcW w:w="1710" w:type="dxa"/>
          </w:tcPr>
          <w:p w14:paraId="0CE93126" w14:textId="77777777" w:rsidR="00836866" w:rsidRDefault="00836866" w:rsidP="005E7FA7">
            <w:r>
              <w:t xml:space="preserve">Midterm score </w:t>
            </w:r>
          </w:p>
          <w:p w14:paraId="16001210" w14:textId="7F5F7A71" w:rsidR="00836866" w:rsidRDefault="00836866" w:rsidP="005E7FA7">
            <w:r>
              <w:t>(</w:t>
            </w:r>
            <w:proofErr w:type="gramStart"/>
            <w:r>
              <w:t>before</w:t>
            </w:r>
            <w:proofErr w:type="gramEnd"/>
            <w:r>
              <w:t xml:space="preserve"> curve)</w:t>
            </w:r>
          </w:p>
        </w:tc>
        <w:tc>
          <w:tcPr>
            <w:tcW w:w="1620" w:type="dxa"/>
          </w:tcPr>
          <w:p w14:paraId="1BC1A012" w14:textId="0B85D98C" w:rsidR="00836866" w:rsidRDefault="00836866" w:rsidP="005E7FA7">
            <w:r>
              <w:t xml:space="preserve">Final score </w:t>
            </w:r>
            <w:r>
              <w:t>(before curve)</w:t>
            </w:r>
          </w:p>
        </w:tc>
        <w:tc>
          <w:tcPr>
            <w:tcW w:w="1561" w:type="dxa"/>
          </w:tcPr>
          <w:p w14:paraId="47F6D663" w14:textId="712705F2" w:rsidR="00836866" w:rsidRDefault="00836866" w:rsidP="005E7FA7">
            <w:r>
              <w:t>Improvement (growth rate)</w:t>
            </w:r>
          </w:p>
        </w:tc>
      </w:tr>
      <w:tr w:rsidR="00836866" w14:paraId="0B4FD2F2" w14:textId="77777777" w:rsidTr="00836866">
        <w:tc>
          <w:tcPr>
            <w:tcW w:w="2425" w:type="dxa"/>
          </w:tcPr>
          <w:p w14:paraId="3A2E4187" w14:textId="6177786C" w:rsidR="00836866" w:rsidRPr="00836866" w:rsidRDefault="00836866" w:rsidP="00836866">
            <w:r w:rsidRPr="00836866">
              <w:t xml:space="preserve">6519854 </w:t>
            </w:r>
            <w:r>
              <w:t>(V202)</w:t>
            </w:r>
          </w:p>
        </w:tc>
        <w:tc>
          <w:tcPr>
            <w:tcW w:w="2610" w:type="dxa"/>
          </w:tcPr>
          <w:p w14:paraId="1B94A406" w14:textId="3F53C27E" w:rsidR="00836866" w:rsidRDefault="00836866" w:rsidP="00836866">
            <w:r>
              <w:t>3</w:t>
            </w:r>
          </w:p>
        </w:tc>
        <w:tc>
          <w:tcPr>
            <w:tcW w:w="1710" w:type="dxa"/>
          </w:tcPr>
          <w:p w14:paraId="306534B3" w14:textId="0B592DE6" w:rsidR="00836866" w:rsidRDefault="00836866" w:rsidP="00836866">
            <w:r>
              <w:t>37.5</w:t>
            </w:r>
          </w:p>
        </w:tc>
        <w:tc>
          <w:tcPr>
            <w:tcW w:w="1620" w:type="dxa"/>
          </w:tcPr>
          <w:p w14:paraId="35A38B8C" w14:textId="77428706" w:rsidR="00836866" w:rsidRDefault="00836866" w:rsidP="00836866">
            <w:r>
              <w:t>99</w:t>
            </w:r>
          </w:p>
        </w:tc>
        <w:tc>
          <w:tcPr>
            <w:tcW w:w="1561" w:type="dxa"/>
          </w:tcPr>
          <w:p w14:paraId="5E2D4F80" w14:textId="4E42F368" w:rsidR="00836866" w:rsidRDefault="00836866" w:rsidP="00836866">
            <w:r>
              <w:t>164%</w:t>
            </w:r>
          </w:p>
        </w:tc>
      </w:tr>
      <w:tr w:rsidR="00836866" w14:paraId="5DF6743C" w14:textId="638B5C45" w:rsidTr="00836866">
        <w:tc>
          <w:tcPr>
            <w:tcW w:w="2425" w:type="dxa"/>
          </w:tcPr>
          <w:p w14:paraId="56CD9AAD" w14:textId="291594BE" w:rsidR="00836866" w:rsidRDefault="00836866" w:rsidP="00836866">
            <w:r w:rsidRPr="00836866">
              <w:t>6345890</w:t>
            </w:r>
            <w:r w:rsidRPr="00836866">
              <w:t xml:space="preserve"> </w:t>
            </w:r>
            <w:r>
              <w:t>(V202)</w:t>
            </w:r>
          </w:p>
        </w:tc>
        <w:tc>
          <w:tcPr>
            <w:tcW w:w="2610" w:type="dxa"/>
          </w:tcPr>
          <w:p w14:paraId="28B3C37A" w14:textId="343EE088" w:rsidR="00836866" w:rsidRDefault="00836866" w:rsidP="00836866">
            <w:r>
              <w:t>3</w:t>
            </w:r>
          </w:p>
        </w:tc>
        <w:tc>
          <w:tcPr>
            <w:tcW w:w="1710" w:type="dxa"/>
          </w:tcPr>
          <w:p w14:paraId="135EF6FD" w14:textId="2E5186FD" w:rsidR="00836866" w:rsidRDefault="00836866" w:rsidP="00836866">
            <w:r>
              <w:t>42.5</w:t>
            </w:r>
          </w:p>
        </w:tc>
        <w:tc>
          <w:tcPr>
            <w:tcW w:w="1620" w:type="dxa"/>
          </w:tcPr>
          <w:p w14:paraId="3D360F51" w14:textId="41AC1595" w:rsidR="00836866" w:rsidRDefault="00836866" w:rsidP="00836866">
            <w:r>
              <w:t>87</w:t>
            </w:r>
          </w:p>
        </w:tc>
        <w:tc>
          <w:tcPr>
            <w:tcW w:w="1561" w:type="dxa"/>
          </w:tcPr>
          <w:p w14:paraId="745FA7C4" w14:textId="28F78728" w:rsidR="00836866" w:rsidRDefault="00836866" w:rsidP="00836866">
            <w:r>
              <w:t>104.71%</w:t>
            </w:r>
          </w:p>
        </w:tc>
      </w:tr>
      <w:tr w:rsidR="00836866" w14:paraId="645A8DDE" w14:textId="14B40F34" w:rsidTr="00836866">
        <w:tc>
          <w:tcPr>
            <w:tcW w:w="2425" w:type="dxa"/>
          </w:tcPr>
          <w:p w14:paraId="52D60B85" w14:textId="70DD33A8" w:rsidR="00836866" w:rsidRDefault="00836866" w:rsidP="00836866">
            <w:r w:rsidRPr="00836866">
              <w:t>6264574</w:t>
            </w:r>
            <w:r w:rsidRPr="00836866">
              <w:t xml:space="preserve"> </w:t>
            </w:r>
            <w:r>
              <w:t>(V202)</w:t>
            </w:r>
          </w:p>
        </w:tc>
        <w:tc>
          <w:tcPr>
            <w:tcW w:w="2610" w:type="dxa"/>
          </w:tcPr>
          <w:p w14:paraId="7884D277" w14:textId="65A634A7" w:rsidR="00836866" w:rsidRDefault="00836866" w:rsidP="00836866">
            <w:r>
              <w:t>3</w:t>
            </w:r>
          </w:p>
        </w:tc>
        <w:tc>
          <w:tcPr>
            <w:tcW w:w="1710" w:type="dxa"/>
          </w:tcPr>
          <w:p w14:paraId="1A8B27AD" w14:textId="21E367F8" w:rsidR="00836866" w:rsidRDefault="00836866" w:rsidP="00836866">
            <w:r>
              <w:t>62.5</w:t>
            </w:r>
          </w:p>
        </w:tc>
        <w:tc>
          <w:tcPr>
            <w:tcW w:w="1620" w:type="dxa"/>
          </w:tcPr>
          <w:p w14:paraId="677DE8D8" w14:textId="3E71DEEF" w:rsidR="00836866" w:rsidRDefault="00836866" w:rsidP="00836866">
            <w:r>
              <w:t>93</w:t>
            </w:r>
          </w:p>
        </w:tc>
        <w:tc>
          <w:tcPr>
            <w:tcW w:w="1561" w:type="dxa"/>
          </w:tcPr>
          <w:p w14:paraId="5AB80140" w14:textId="3B08E552" w:rsidR="00836866" w:rsidRDefault="00836866" w:rsidP="00836866">
            <w:r>
              <w:t>48.8%</w:t>
            </w:r>
          </w:p>
        </w:tc>
      </w:tr>
      <w:tr w:rsidR="00836866" w14:paraId="32174C52" w14:textId="6014D967" w:rsidTr="00836866">
        <w:tc>
          <w:tcPr>
            <w:tcW w:w="2425" w:type="dxa"/>
          </w:tcPr>
          <w:p w14:paraId="010170F8" w14:textId="560B0171" w:rsidR="00836866" w:rsidRDefault="00836866" w:rsidP="00836866">
            <w:r w:rsidRPr="00836866">
              <w:t xml:space="preserve">6199731 </w:t>
            </w:r>
            <w:r>
              <w:t>(V374)</w:t>
            </w:r>
          </w:p>
        </w:tc>
        <w:tc>
          <w:tcPr>
            <w:tcW w:w="2610" w:type="dxa"/>
          </w:tcPr>
          <w:p w14:paraId="2F577C1D" w14:textId="7F433B51" w:rsidR="00836866" w:rsidRDefault="00836866" w:rsidP="00836866">
            <w:r>
              <w:t>3</w:t>
            </w:r>
          </w:p>
        </w:tc>
        <w:tc>
          <w:tcPr>
            <w:tcW w:w="1710" w:type="dxa"/>
          </w:tcPr>
          <w:p w14:paraId="4A4129D8" w14:textId="51478883" w:rsidR="00836866" w:rsidRDefault="00836866" w:rsidP="00836866">
            <w:r>
              <w:t>60</w:t>
            </w:r>
          </w:p>
        </w:tc>
        <w:tc>
          <w:tcPr>
            <w:tcW w:w="1620" w:type="dxa"/>
          </w:tcPr>
          <w:p w14:paraId="40EF297C" w14:textId="404CED9F" w:rsidR="00836866" w:rsidRDefault="00836866" w:rsidP="00836866">
            <w:r>
              <w:t>87</w:t>
            </w:r>
          </w:p>
        </w:tc>
        <w:tc>
          <w:tcPr>
            <w:tcW w:w="1561" w:type="dxa"/>
          </w:tcPr>
          <w:p w14:paraId="1AE52680" w14:textId="6244B30B" w:rsidR="00836866" w:rsidRDefault="00836866" w:rsidP="00836866">
            <w:r>
              <w:t>45%</w:t>
            </w:r>
          </w:p>
        </w:tc>
      </w:tr>
      <w:tr w:rsidR="00836866" w14:paraId="7580EC9B" w14:textId="6402CD6C" w:rsidTr="00836866">
        <w:tc>
          <w:tcPr>
            <w:tcW w:w="2425" w:type="dxa"/>
          </w:tcPr>
          <w:p w14:paraId="42D7AA33" w14:textId="0B3A2995" w:rsidR="00836866" w:rsidRDefault="00836866" w:rsidP="00836866">
            <w:r w:rsidRPr="00836866">
              <w:t>6423277</w:t>
            </w:r>
            <w:r w:rsidRPr="00836866">
              <w:t xml:space="preserve"> </w:t>
            </w:r>
            <w:r>
              <w:t>(V374)</w:t>
            </w:r>
          </w:p>
        </w:tc>
        <w:tc>
          <w:tcPr>
            <w:tcW w:w="2610" w:type="dxa"/>
          </w:tcPr>
          <w:p w14:paraId="66A93A25" w14:textId="61B11261" w:rsidR="00836866" w:rsidRDefault="00836866" w:rsidP="00836866">
            <w:r>
              <w:t>2</w:t>
            </w:r>
          </w:p>
        </w:tc>
        <w:tc>
          <w:tcPr>
            <w:tcW w:w="1710" w:type="dxa"/>
          </w:tcPr>
          <w:p w14:paraId="0528928F" w14:textId="0A64DD4D" w:rsidR="00836866" w:rsidRDefault="00836866" w:rsidP="00836866">
            <w:r>
              <w:t>54</w:t>
            </w:r>
          </w:p>
        </w:tc>
        <w:tc>
          <w:tcPr>
            <w:tcW w:w="1620" w:type="dxa"/>
          </w:tcPr>
          <w:p w14:paraId="008B27C2" w14:textId="5A8A78A9" w:rsidR="00836866" w:rsidRDefault="00836866" w:rsidP="00836866">
            <w:r>
              <w:t>78</w:t>
            </w:r>
          </w:p>
        </w:tc>
        <w:tc>
          <w:tcPr>
            <w:tcW w:w="1561" w:type="dxa"/>
          </w:tcPr>
          <w:p w14:paraId="5A8F88AA" w14:textId="71B3F69E" w:rsidR="00836866" w:rsidRDefault="00836866" w:rsidP="00836866">
            <w:r>
              <w:t>44.44%</w:t>
            </w:r>
          </w:p>
        </w:tc>
      </w:tr>
      <w:tr w:rsidR="00836866" w14:paraId="16C39F9E" w14:textId="4F7AD931" w:rsidTr="00836866">
        <w:tc>
          <w:tcPr>
            <w:tcW w:w="2425" w:type="dxa"/>
          </w:tcPr>
          <w:p w14:paraId="3B72C843" w14:textId="50F73B7A" w:rsidR="00836866" w:rsidRDefault="00836866" w:rsidP="00836866">
            <w:r w:rsidRPr="00836866">
              <w:t>6574964</w:t>
            </w:r>
            <w:r w:rsidRPr="00836866">
              <w:t xml:space="preserve"> </w:t>
            </w:r>
            <w:r>
              <w:t>(V374)</w:t>
            </w:r>
          </w:p>
        </w:tc>
        <w:tc>
          <w:tcPr>
            <w:tcW w:w="2610" w:type="dxa"/>
          </w:tcPr>
          <w:p w14:paraId="3D797D0B" w14:textId="5F9E946D" w:rsidR="00836866" w:rsidRDefault="00836866" w:rsidP="00836866">
            <w:r>
              <w:t>4</w:t>
            </w:r>
          </w:p>
        </w:tc>
        <w:tc>
          <w:tcPr>
            <w:tcW w:w="1710" w:type="dxa"/>
          </w:tcPr>
          <w:p w14:paraId="78BEEC81" w14:textId="2318853F" w:rsidR="00836866" w:rsidRDefault="00836866" w:rsidP="00836866">
            <w:r>
              <w:t>66</w:t>
            </w:r>
          </w:p>
        </w:tc>
        <w:tc>
          <w:tcPr>
            <w:tcW w:w="1620" w:type="dxa"/>
          </w:tcPr>
          <w:p w14:paraId="4F840514" w14:textId="2467237A" w:rsidR="00836866" w:rsidRDefault="00836866" w:rsidP="00836866">
            <w:r>
              <w:t>75</w:t>
            </w:r>
          </w:p>
        </w:tc>
        <w:tc>
          <w:tcPr>
            <w:tcW w:w="1561" w:type="dxa"/>
          </w:tcPr>
          <w:p w14:paraId="36EB1B2C" w14:textId="200909BB" w:rsidR="00836866" w:rsidRDefault="00836866" w:rsidP="00836866">
            <w:r>
              <w:t>13.64%</w:t>
            </w:r>
          </w:p>
        </w:tc>
      </w:tr>
      <w:tr w:rsidR="00836866" w14:paraId="7E0EE921" w14:textId="747E2FD0" w:rsidTr="00836866">
        <w:tc>
          <w:tcPr>
            <w:tcW w:w="2425" w:type="dxa"/>
          </w:tcPr>
          <w:p w14:paraId="7A049A9D" w14:textId="5ACE1416" w:rsidR="00836866" w:rsidRDefault="00836866" w:rsidP="00836866">
            <w:r w:rsidRPr="00836866">
              <w:t>6448845</w:t>
            </w:r>
            <w:r w:rsidRPr="00836866">
              <w:t xml:space="preserve"> </w:t>
            </w:r>
            <w:r>
              <w:t>(V374)</w:t>
            </w:r>
          </w:p>
        </w:tc>
        <w:tc>
          <w:tcPr>
            <w:tcW w:w="2610" w:type="dxa"/>
          </w:tcPr>
          <w:p w14:paraId="1DAC6EAD" w14:textId="46238786" w:rsidR="00836866" w:rsidRDefault="00836866" w:rsidP="00836866">
            <w:r>
              <w:t>3</w:t>
            </w:r>
          </w:p>
        </w:tc>
        <w:tc>
          <w:tcPr>
            <w:tcW w:w="1710" w:type="dxa"/>
          </w:tcPr>
          <w:p w14:paraId="7B1E9D37" w14:textId="69B5F9DB" w:rsidR="00836866" w:rsidRDefault="00836866" w:rsidP="00836866">
            <w:r>
              <w:t>93</w:t>
            </w:r>
          </w:p>
        </w:tc>
        <w:tc>
          <w:tcPr>
            <w:tcW w:w="1620" w:type="dxa"/>
          </w:tcPr>
          <w:p w14:paraId="608233ED" w14:textId="6846CF8F" w:rsidR="00836866" w:rsidRDefault="00836866" w:rsidP="00836866">
            <w:r>
              <w:t>102</w:t>
            </w:r>
          </w:p>
        </w:tc>
        <w:tc>
          <w:tcPr>
            <w:tcW w:w="1561" w:type="dxa"/>
          </w:tcPr>
          <w:p w14:paraId="27FD2DAF" w14:textId="15C70801" w:rsidR="00836866" w:rsidRDefault="00836866" w:rsidP="00836866">
            <w:r>
              <w:t>9.7%</w:t>
            </w:r>
          </w:p>
        </w:tc>
      </w:tr>
      <w:tr w:rsidR="00836866" w14:paraId="69632A19" w14:textId="36CE5470" w:rsidTr="00836866">
        <w:tc>
          <w:tcPr>
            <w:tcW w:w="2425" w:type="dxa"/>
          </w:tcPr>
          <w:p w14:paraId="1D12959F" w14:textId="1BB30753" w:rsidR="00836866" w:rsidRDefault="00836866" w:rsidP="00836866">
            <w:r w:rsidRPr="00836866">
              <w:t xml:space="preserve">6426574 </w:t>
            </w:r>
            <w:r>
              <w:t>(V401)</w:t>
            </w:r>
          </w:p>
        </w:tc>
        <w:tc>
          <w:tcPr>
            <w:tcW w:w="2610" w:type="dxa"/>
          </w:tcPr>
          <w:p w14:paraId="6D02A756" w14:textId="3E2CC089" w:rsidR="00836866" w:rsidRDefault="00836866" w:rsidP="00836866">
            <w:r>
              <w:t>3</w:t>
            </w:r>
          </w:p>
        </w:tc>
        <w:tc>
          <w:tcPr>
            <w:tcW w:w="1710" w:type="dxa"/>
          </w:tcPr>
          <w:p w14:paraId="19DA7F63" w14:textId="55E32940" w:rsidR="00836866" w:rsidRDefault="00836866" w:rsidP="00836866">
            <w:r>
              <w:t>27</w:t>
            </w:r>
          </w:p>
        </w:tc>
        <w:tc>
          <w:tcPr>
            <w:tcW w:w="1620" w:type="dxa"/>
          </w:tcPr>
          <w:p w14:paraId="6E55B73A" w14:textId="06B26228" w:rsidR="00836866" w:rsidRDefault="00836866" w:rsidP="00836866">
            <w:r>
              <w:t>85</w:t>
            </w:r>
          </w:p>
        </w:tc>
        <w:tc>
          <w:tcPr>
            <w:tcW w:w="1561" w:type="dxa"/>
          </w:tcPr>
          <w:p w14:paraId="248A1991" w14:textId="046C4D36" w:rsidR="00836866" w:rsidRDefault="00836866" w:rsidP="00836866">
            <w:r>
              <w:t>215%</w:t>
            </w:r>
          </w:p>
        </w:tc>
      </w:tr>
      <w:tr w:rsidR="00836866" w14:paraId="79EF7442" w14:textId="61039116" w:rsidTr="00836866">
        <w:tc>
          <w:tcPr>
            <w:tcW w:w="2425" w:type="dxa"/>
          </w:tcPr>
          <w:p w14:paraId="1C52EF01" w14:textId="4E5B0F7E" w:rsidR="00836866" w:rsidRDefault="00836866" w:rsidP="00836866">
            <w:r w:rsidRPr="00836866">
              <w:t xml:space="preserve">6364503 </w:t>
            </w:r>
            <w:r>
              <w:t>(V401)</w:t>
            </w:r>
          </w:p>
        </w:tc>
        <w:tc>
          <w:tcPr>
            <w:tcW w:w="2610" w:type="dxa"/>
          </w:tcPr>
          <w:p w14:paraId="34A7BEBF" w14:textId="166E3E93" w:rsidR="00836866" w:rsidRDefault="00836866" w:rsidP="00836866">
            <w:r>
              <w:t>3</w:t>
            </w:r>
          </w:p>
        </w:tc>
        <w:tc>
          <w:tcPr>
            <w:tcW w:w="1710" w:type="dxa"/>
          </w:tcPr>
          <w:p w14:paraId="224D86DF" w14:textId="1E63532A" w:rsidR="00836866" w:rsidRDefault="00836866" w:rsidP="00836866">
            <w:r>
              <w:t>35</w:t>
            </w:r>
          </w:p>
        </w:tc>
        <w:tc>
          <w:tcPr>
            <w:tcW w:w="1620" w:type="dxa"/>
          </w:tcPr>
          <w:p w14:paraId="133BD88E" w14:textId="637A29DA" w:rsidR="00836866" w:rsidRDefault="00836866" w:rsidP="00836866">
            <w:r>
              <w:t>49</w:t>
            </w:r>
          </w:p>
        </w:tc>
        <w:tc>
          <w:tcPr>
            <w:tcW w:w="1561" w:type="dxa"/>
          </w:tcPr>
          <w:p w14:paraId="60E1E8C9" w14:textId="60A487DB" w:rsidR="00836866" w:rsidRDefault="00836866" w:rsidP="00836866">
            <w:r>
              <w:t>40%</w:t>
            </w:r>
          </w:p>
        </w:tc>
      </w:tr>
      <w:tr w:rsidR="00836866" w14:paraId="2E3E6CDB" w14:textId="2F338D2C" w:rsidTr="00836866">
        <w:tc>
          <w:tcPr>
            <w:tcW w:w="2425" w:type="dxa"/>
          </w:tcPr>
          <w:p w14:paraId="65E8B6A1" w14:textId="6DF77895" w:rsidR="00836866" w:rsidRDefault="00836866" w:rsidP="00836866">
            <w:r w:rsidRPr="00836866">
              <w:t>6568815</w:t>
            </w:r>
            <w:r w:rsidRPr="00836866">
              <w:t xml:space="preserve"> </w:t>
            </w:r>
            <w:r>
              <w:t>(V401)</w:t>
            </w:r>
          </w:p>
        </w:tc>
        <w:tc>
          <w:tcPr>
            <w:tcW w:w="2610" w:type="dxa"/>
          </w:tcPr>
          <w:p w14:paraId="2BB33E9E" w14:textId="7E968C18" w:rsidR="00836866" w:rsidRDefault="00836866" w:rsidP="00836866">
            <w:r>
              <w:t>4</w:t>
            </w:r>
          </w:p>
        </w:tc>
        <w:tc>
          <w:tcPr>
            <w:tcW w:w="1710" w:type="dxa"/>
          </w:tcPr>
          <w:p w14:paraId="1675FE1B" w14:textId="7BAF0BCE" w:rsidR="00836866" w:rsidRDefault="00836866" w:rsidP="00836866">
            <w:r>
              <w:t>70</w:t>
            </w:r>
          </w:p>
        </w:tc>
        <w:tc>
          <w:tcPr>
            <w:tcW w:w="1620" w:type="dxa"/>
          </w:tcPr>
          <w:p w14:paraId="47A208F5" w14:textId="082008F9" w:rsidR="00836866" w:rsidRDefault="00836866" w:rsidP="00836866">
            <w:r>
              <w:t>94</w:t>
            </w:r>
          </w:p>
        </w:tc>
        <w:tc>
          <w:tcPr>
            <w:tcW w:w="1561" w:type="dxa"/>
          </w:tcPr>
          <w:p w14:paraId="67BBA0B5" w14:textId="7C85559A" w:rsidR="00836866" w:rsidRDefault="00836866" w:rsidP="00836866">
            <w:r>
              <w:t>34.29%</w:t>
            </w:r>
          </w:p>
        </w:tc>
      </w:tr>
      <w:tr w:rsidR="00836866" w14:paraId="6700749D" w14:textId="241123C9" w:rsidTr="00836866">
        <w:tc>
          <w:tcPr>
            <w:tcW w:w="2425" w:type="dxa"/>
          </w:tcPr>
          <w:p w14:paraId="254BEE0A" w14:textId="26A45859" w:rsidR="00836866" w:rsidRDefault="00836866" w:rsidP="00836866">
            <w:r w:rsidRPr="00836866">
              <w:t>6582751</w:t>
            </w:r>
            <w:r w:rsidRPr="00836866">
              <w:t xml:space="preserve"> </w:t>
            </w:r>
            <w:r>
              <w:t>(V401)</w:t>
            </w:r>
          </w:p>
        </w:tc>
        <w:tc>
          <w:tcPr>
            <w:tcW w:w="2610" w:type="dxa"/>
          </w:tcPr>
          <w:p w14:paraId="6CF7B924" w14:textId="7089750D" w:rsidR="00836866" w:rsidRDefault="00836866" w:rsidP="00836866">
            <w:r>
              <w:t>4</w:t>
            </w:r>
          </w:p>
        </w:tc>
        <w:tc>
          <w:tcPr>
            <w:tcW w:w="1710" w:type="dxa"/>
          </w:tcPr>
          <w:p w14:paraId="76868D2A" w14:textId="4D0C090D" w:rsidR="00836866" w:rsidRDefault="00836866" w:rsidP="00836866">
            <w:r>
              <w:t>61</w:t>
            </w:r>
          </w:p>
        </w:tc>
        <w:tc>
          <w:tcPr>
            <w:tcW w:w="1620" w:type="dxa"/>
          </w:tcPr>
          <w:p w14:paraId="22E28476" w14:textId="3B7AC09F" w:rsidR="00836866" w:rsidRDefault="00836866" w:rsidP="00836866">
            <w:r>
              <w:t>77</w:t>
            </w:r>
          </w:p>
        </w:tc>
        <w:tc>
          <w:tcPr>
            <w:tcW w:w="1561" w:type="dxa"/>
          </w:tcPr>
          <w:p w14:paraId="40969C4D" w14:textId="2231F0A7" w:rsidR="00836866" w:rsidRDefault="00836866" w:rsidP="00836866">
            <w:r>
              <w:t>26.23%</w:t>
            </w:r>
          </w:p>
        </w:tc>
      </w:tr>
    </w:tbl>
    <w:p w14:paraId="59E9D6CA" w14:textId="22FCB979" w:rsidR="00836866" w:rsidRDefault="00836866" w:rsidP="005E7FA7"/>
    <w:p w14:paraId="18E753E9" w14:textId="044460C1" w:rsidR="00836866" w:rsidRDefault="00836866" w:rsidP="005E7FA7">
      <w:r w:rsidRPr="00836866">
        <w:lastRenderedPageBreak/>
        <w:t xml:space="preserve">Table 2 illustrates </w:t>
      </w:r>
      <w:proofErr w:type="gramStart"/>
      <w:r w:rsidRPr="00836866">
        <w:t>that students</w:t>
      </w:r>
      <w:proofErr w:type="gramEnd"/>
      <w:r w:rsidRPr="00836866">
        <w:t>, who expressed concerns about their academic performance post-midterm examination by actively participating in my office hours, demonstrated noticeable improvement and a deeper understanding of the course materials under my guidance. This positive engagement was reflected in their final exam grades.</w:t>
      </w:r>
    </w:p>
    <w:p w14:paraId="4EF87099" w14:textId="77777777" w:rsidR="00836866" w:rsidRDefault="00836866" w:rsidP="005E7FA7"/>
    <w:p w14:paraId="30E9C094" w14:textId="65FCBFC8" w:rsidR="00533917" w:rsidRDefault="00836866" w:rsidP="005E7FA7">
      <w:r>
        <w:t xml:space="preserve">Table 3: Stickiness index </w:t>
      </w:r>
    </w:p>
    <w:tbl>
      <w:tblPr>
        <w:tblStyle w:val="TableGrid"/>
        <w:tblW w:w="0" w:type="auto"/>
        <w:tblLook w:val="04A0" w:firstRow="1" w:lastRow="0" w:firstColumn="1" w:lastColumn="0" w:noHBand="0" w:noVBand="1"/>
      </w:tblPr>
      <w:tblGrid>
        <w:gridCol w:w="1204"/>
        <w:gridCol w:w="2255"/>
        <w:gridCol w:w="2255"/>
        <w:gridCol w:w="2256"/>
      </w:tblGrid>
      <w:tr w:rsidR="00836866" w14:paraId="03633222" w14:textId="35BE2A93" w:rsidTr="00836866">
        <w:tc>
          <w:tcPr>
            <w:tcW w:w="1204" w:type="dxa"/>
          </w:tcPr>
          <w:p w14:paraId="4192C07E" w14:textId="77777777" w:rsidR="00836866" w:rsidRDefault="00836866" w:rsidP="005E7FA7"/>
        </w:tc>
        <w:tc>
          <w:tcPr>
            <w:tcW w:w="2255" w:type="dxa"/>
          </w:tcPr>
          <w:p w14:paraId="35EF7D43" w14:textId="54EB9FF5" w:rsidR="00836866" w:rsidRDefault="00836866" w:rsidP="005E7FA7">
            <w:r>
              <w:t>Spring-V401</w:t>
            </w:r>
          </w:p>
        </w:tc>
        <w:tc>
          <w:tcPr>
            <w:tcW w:w="2255" w:type="dxa"/>
          </w:tcPr>
          <w:p w14:paraId="3FA544DD" w14:textId="77F5B5EE" w:rsidR="00836866" w:rsidRDefault="00836866" w:rsidP="005E7FA7">
            <w:r>
              <w:t>Spring-V374</w:t>
            </w:r>
          </w:p>
        </w:tc>
        <w:tc>
          <w:tcPr>
            <w:tcW w:w="2256" w:type="dxa"/>
          </w:tcPr>
          <w:p w14:paraId="424F9DBD" w14:textId="2BF002B5" w:rsidR="00836866" w:rsidRDefault="00836866" w:rsidP="005E7FA7">
            <w:r>
              <w:t>Spring-V361</w:t>
            </w:r>
          </w:p>
        </w:tc>
      </w:tr>
      <w:tr w:rsidR="00836866" w14:paraId="7E84B9DC" w14:textId="10C3BB59" w:rsidTr="00836866">
        <w:tc>
          <w:tcPr>
            <w:tcW w:w="1204" w:type="dxa"/>
          </w:tcPr>
          <w:p w14:paraId="0F86E6FF" w14:textId="667EAA3A" w:rsidR="00836866" w:rsidRDefault="00836866" w:rsidP="005E7FA7">
            <w:r>
              <w:t>Fall-V401</w:t>
            </w:r>
          </w:p>
        </w:tc>
        <w:tc>
          <w:tcPr>
            <w:tcW w:w="2255" w:type="dxa"/>
          </w:tcPr>
          <w:p w14:paraId="4558714B" w14:textId="31A49613" w:rsidR="00836866" w:rsidRDefault="00836866" w:rsidP="005E7FA7">
            <w:r>
              <w:t>-</w:t>
            </w:r>
          </w:p>
        </w:tc>
        <w:tc>
          <w:tcPr>
            <w:tcW w:w="2255" w:type="dxa"/>
          </w:tcPr>
          <w:p w14:paraId="6CFF2DF9" w14:textId="2A34C39D" w:rsidR="00836866" w:rsidRDefault="00836866" w:rsidP="005E7FA7">
            <w:r>
              <w:t>6 (14.29%)</w:t>
            </w:r>
          </w:p>
        </w:tc>
        <w:tc>
          <w:tcPr>
            <w:tcW w:w="2256" w:type="dxa"/>
          </w:tcPr>
          <w:p w14:paraId="1493A099" w14:textId="2DA09A62" w:rsidR="00836866" w:rsidRDefault="00836866" w:rsidP="005E7FA7">
            <w:r>
              <w:t>10 (23.81%)</w:t>
            </w:r>
          </w:p>
        </w:tc>
      </w:tr>
      <w:tr w:rsidR="00836866" w14:paraId="637B3D47" w14:textId="7F4C9F09" w:rsidTr="00836866">
        <w:tc>
          <w:tcPr>
            <w:tcW w:w="1204" w:type="dxa"/>
          </w:tcPr>
          <w:p w14:paraId="44DB3A89" w14:textId="6A78B5E8" w:rsidR="00836866" w:rsidRDefault="00836866" w:rsidP="005E7FA7">
            <w:r>
              <w:t>Fall-V374</w:t>
            </w:r>
          </w:p>
        </w:tc>
        <w:tc>
          <w:tcPr>
            <w:tcW w:w="2255" w:type="dxa"/>
          </w:tcPr>
          <w:p w14:paraId="29617F4D" w14:textId="73926E94" w:rsidR="00836866" w:rsidRDefault="00836866" w:rsidP="005E7FA7">
            <w:r>
              <w:t>15 (27.27%)</w:t>
            </w:r>
          </w:p>
        </w:tc>
        <w:tc>
          <w:tcPr>
            <w:tcW w:w="2255" w:type="dxa"/>
          </w:tcPr>
          <w:p w14:paraId="1C5D652C" w14:textId="121E29DA" w:rsidR="00836866" w:rsidRDefault="00836866" w:rsidP="005E7FA7">
            <w:r>
              <w:t>-</w:t>
            </w:r>
          </w:p>
        </w:tc>
        <w:tc>
          <w:tcPr>
            <w:tcW w:w="2256" w:type="dxa"/>
          </w:tcPr>
          <w:p w14:paraId="45FF054D" w14:textId="734551D6" w:rsidR="00836866" w:rsidRDefault="00836866" w:rsidP="005E7FA7">
            <w:r>
              <w:t>9 (16.36%)</w:t>
            </w:r>
          </w:p>
        </w:tc>
      </w:tr>
      <w:tr w:rsidR="00836866" w14:paraId="1BB821FF" w14:textId="32BBA64C" w:rsidTr="00836866">
        <w:tc>
          <w:tcPr>
            <w:tcW w:w="1204" w:type="dxa"/>
          </w:tcPr>
          <w:p w14:paraId="09EAB2A0" w14:textId="752C73B9" w:rsidR="00836866" w:rsidRDefault="00836866" w:rsidP="005E7FA7">
            <w:r>
              <w:t>Fall-V202</w:t>
            </w:r>
          </w:p>
        </w:tc>
        <w:tc>
          <w:tcPr>
            <w:tcW w:w="2255" w:type="dxa"/>
          </w:tcPr>
          <w:p w14:paraId="0BD351D6" w14:textId="505A0671" w:rsidR="00836866" w:rsidRDefault="00836866" w:rsidP="005E7FA7">
            <w:r>
              <w:t>5 (5.7%)</w:t>
            </w:r>
          </w:p>
        </w:tc>
        <w:tc>
          <w:tcPr>
            <w:tcW w:w="2255" w:type="dxa"/>
          </w:tcPr>
          <w:p w14:paraId="44F72A93" w14:textId="5615BBC7" w:rsidR="00836866" w:rsidRDefault="00836866" w:rsidP="005E7FA7">
            <w:r>
              <w:t>1 (1.15%)</w:t>
            </w:r>
          </w:p>
        </w:tc>
        <w:tc>
          <w:tcPr>
            <w:tcW w:w="2256" w:type="dxa"/>
          </w:tcPr>
          <w:p w14:paraId="59292D35" w14:textId="03D0BFE8" w:rsidR="00836866" w:rsidRDefault="00836866" w:rsidP="005E7FA7">
            <w:r>
              <w:t>7 (8%)</w:t>
            </w:r>
          </w:p>
        </w:tc>
      </w:tr>
    </w:tbl>
    <w:p w14:paraId="28BD84CD" w14:textId="588CD8E7" w:rsidR="00836866" w:rsidRPr="004651D7" w:rsidRDefault="00836866" w:rsidP="005E7FA7">
      <w:pPr>
        <w:rPr>
          <w:sz w:val="20"/>
          <w:szCs w:val="20"/>
        </w:rPr>
      </w:pPr>
      <w:r w:rsidRPr="004651D7">
        <w:rPr>
          <w:sz w:val="20"/>
          <w:szCs w:val="20"/>
        </w:rPr>
        <w:t xml:space="preserve">Note: </w:t>
      </w:r>
      <w:r w:rsidRPr="004651D7">
        <w:rPr>
          <w:sz w:val="20"/>
          <w:szCs w:val="20"/>
        </w:rPr>
        <w:t xml:space="preserve">The </w:t>
      </w:r>
      <w:r w:rsidRPr="004651D7">
        <w:rPr>
          <w:sz w:val="20"/>
          <w:szCs w:val="20"/>
        </w:rPr>
        <w:t>numbers</w:t>
      </w:r>
      <w:r w:rsidRPr="004651D7">
        <w:rPr>
          <w:sz w:val="20"/>
          <w:szCs w:val="20"/>
        </w:rPr>
        <w:t xml:space="preserve"> depict the count of returning students from the Fall semester of 2023 who opt to enroll in my various classes during the subsequent semester in Spring 2024.</w:t>
      </w:r>
    </w:p>
    <w:p w14:paraId="548BE03A" w14:textId="77777777" w:rsidR="00836866" w:rsidRPr="004651D7" w:rsidRDefault="00836866" w:rsidP="005E7FA7">
      <w:pPr>
        <w:rPr>
          <w:sz w:val="20"/>
          <w:szCs w:val="20"/>
        </w:rPr>
      </w:pPr>
    </w:p>
    <w:p w14:paraId="0B068BC8" w14:textId="099C844B" w:rsidR="00836866" w:rsidRDefault="00836866" w:rsidP="005E7FA7">
      <w:r w:rsidRPr="00836866">
        <w:t>I've introduced a novel metric called the "Stickiness" index, gauging students' satisfaction with their learning experience in my Fall semester (2023) classes and their subsequent decision to enroll in my different courses during the Spring semester (2024). The data indicates that students appreciate my teaching style, find value in their learning journey with me, and trust that they can achieve similar positive learning outcomes in the upcoming semester.</w:t>
      </w:r>
    </w:p>
    <w:bookmarkEnd w:id="1"/>
    <w:p w14:paraId="03E66818" w14:textId="393421AF" w:rsidR="00AA41DE" w:rsidRDefault="00AA41DE" w:rsidP="005E7FA7"/>
    <w:p w14:paraId="3EFE4357" w14:textId="66962EA9" w:rsidR="005E7FA7" w:rsidRDefault="004C4105" w:rsidP="00233155">
      <w:proofErr w:type="gramStart"/>
      <w:r w:rsidRPr="004C4105">
        <w:t>In an effort to</w:t>
      </w:r>
      <w:proofErr w:type="gramEnd"/>
      <w:r w:rsidRPr="004C4105">
        <w:t xml:space="preserve"> enhance my teaching methodologies, I engaged with a teaching and learning group and took part in a workshop on the Service-Learning Program hosted by CITL.</w:t>
      </w:r>
      <w:r w:rsidR="004D7169">
        <w:t xml:space="preserve"> </w:t>
      </w:r>
    </w:p>
    <w:p w14:paraId="5EA094C4" w14:textId="5A1A7307" w:rsidR="00F91490" w:rsidRDefault="00F91490" w:rsidP="00233155"/>
    <w:p w14:paraId="43BBC6C8" w14:textId="77777777" w:rsidR="004651D7" w:rsidRDefault="004651D7" w:rsidP="00233155"/>
    <w:p w14:paraId="50171D84" w14:textId="1F076F56" w:rsidR="006C4CE5" w:rsidRDefault="00722D89" w:rsidP="004D7169">
      <w:r>
        <w:t xml:space="preserve">In </w:t>
      </w:r>
      <w:r w:rsidR="000E1851">
        <w:t xml:space="preserve">teaching-related </w:t>
      </w:r>
      <w:r>
        <w:t xml:space="preserve">service, I </w:t>
      </w:r>
      <w:r w:rsidR="004C4105">
        <w:t xml:space="preserve">have written recommendation letters to help students applying for the graduate program. Here is the summary table. </w:t>
      </w:r>
    </w:p>
    <w:tbl>
      <w:tblPr>
        <w:tblStyle w:val="TableGrid"/>
        <w:tblW w:w="0" w:type="auto"/>
        <w:tblLook w:val="04A0" w:firstRow="1" w:lastRow="0" w:firstColumn="1" w:lastColumn="0" w:noHBand="0" w:noVBand="1"/>
      </w:tblPr>
      <w:tblGrid>
        <w:gridCol w:w="4963"/>
        <w:gridCol w:w="4963"/>
      </w:tblGrid>
      <w:tr w:rsidR="004C4105" w14:paraId="26A373DD" w14:textId="77777777" w:rsidTr="004C4105">
        <w:tc>
          <w:tcPr>
            <w:tcW w:w="4963" w:type="dxa"/>
          </w:tcPr>
          <w:p w14:paraId="34EE109F" w14:textId="2296CE4B" w:rsidR="004C4105" w:rsidRDefault="004C4105" w:rsidP="004D7169">
            <w:r>
              <w:t>Students’ ID and Class #</w:t>
            </w:r>
          </w:p>
        </w:tc>
        <w:tc>
          <w:tcPr>
            <w:tcW w:w="4963" w:type="dxa"/>
          </w:tcPr>
          <w:p w14:paraId="2C006806" w14:textId="766AB188" w:rsidR="004C4105" w:rsidRDefault="004C4105" w:rsidP="004D7169">
            <w:r>
              <w:t>How many letters I have written</w:t>
            </w:r>
          </w:p>
        </w:tc>
      </w:tr>
      <w:tr w:rsidR="004C4105" w14:paraId="3A918527" w14:textId="77777777" w:rsidTr="004C4105">
        <w:tc>
          <w:tcPr>
            <w:tcW w:w="4963" w:type="dxa"/>
          </w:tcPr>
          <w:p w14:paraId="67A0BC46" w14:textId="1883D86C" w:rsidR="004C4105" w:rsidRDefault="004C4105" w:rsidP="004D7169">
            <w:r w:rsidRPr="004C4105">
              <w:t>6437325</w:t>
            </w:r>
            <w:r w:rsidRPr="004C4105">
              <w:t xml:space="preserve"> </w:t>
            </w:r>
            <w:r>
              <w:t>(V374 &amp; V401)</w:t>
            </w:r>
          </w:p>
        </w:tc>
        <w:tc>
          <w:tcPr>
            <w:tcW w:w="4963" w:type="dxa"/>
          </w:tcPr>
          <w:p w14:paraId="1C63C537" w14:textId="7955FEDB" w:rsidR="004C4105" w:rsidRDefault="004C4105" w:rsidP="004D7169">
            <w:r>
              <w:t>10</w:t>
            </w:r>
          </w:p>
        </w:tc>
      </w:tr>
      <w:tr w:rsidR="004C4105" w14:paraId="221A7743" w14:textId="77777777" w:rsidTr="004C4105">
        <w:tc>
          <w:tcPr>
            <w:tcW w:w="4963" w:type="dxa"/>
          </w:tcPr>
          <w:p w14:paraId="7BAE0F84" w14:textId="5E35EE91" w:rsidR="004C4105" w:rsidRDefault="004C4105" w:rsidP="004D7169">
            <w:r w:rsidRPr="004C4105">
              <w:t>6448845</w:t>
            </w:r>
            <w:r w:rsidRPr="004C4105">
              <w:t xml:space="preserve"> </w:t>
            </w:r>
            <w:r>
              <w:t>(V374 &amp; V401)</w:t>
            </w:r>
          </w:p>
        </w:tc>
        <w:tc>
          <w:tcPr>
            <w:tcW w:w="4963" w:type="dxa"/>
          </w:tcPr>
          <w:p w14:paraId="5F963FCD" w14:textId="0B5DDFE6" w:rsidR="004C4105" w:rsidRDefault="004C4105" w:rsidP="004D7169">
            <w:r>
              <w:t>10</w:t>
            </w:r>
          </w:p>
        </w:tc>
      </w:tr>
      <w:tr w:rsidR="004C4105" w14:paraId="73082B82" w14:textId="77777777" w:rsidTr="004C4105">
        <w:tc>
          <w:tcPr>
            <w:tcW w:w="4963" w:type="dxa"/>
          </w:tcPr>
          <w:p w14:paraId="6C5E0C5F" w14:textId="014DACBA" w:rsidR="004C4105" w:rsidRDefault="004C4105" w:rsidP="004D7169">
            <w:r w:rsidRPr="004C4105">
              <w:t>6437305</w:t>
            </w:r>
            <w:r w:rsidRPr="004C4105">
              <w:t xml:space="preserve"> </w:t>
            </w:r>
            <w:r>
              <w:t>(V401)</w:t>
            </w:r>
          </w:p>
        </w:tc>
        <w:tc>
          <w:tcPr>
            <w:tcW w:w="4963" w:type="dxa"/>
          </w:tcPr>
          <w:p w14:paraId="6F0D79D7" w14:textId="19791D18" w:rsidR="004C4105" w:rsidRDefault="004C4105" w:rsidP="004D7169">
            <w:r>
              <w:t>10</w:t>
            </w:r>
          </w:p>
        </w:tc>
      </w:tr>
      <w:tr w:rsidR="004C4105" w14:paraId="23FA9B0A" w14:textId="77777777" w:rsidTr="004C4105">
        <w:tc>
          <w:tcPr>
            <w:tcW w:w="4963" w:type="dxa"/>
          </w:tcPr>
          <w:p w14:paraId="1B7A048D" w14:textId="4A5AB0E1" w:rsidR="004C4105" w:rsidRDefault="004C4105" w:rsidP="004D7169">
            <w:r w:rsidRPr="004C4105">
              <w:t>6436848</w:t>
            </w:r>
            <w:r w:rsidRPr="004C4105">
              <w:t xml:space="preserve"> </w:t>
            </w:r>
            <w:r>
              <w:t>(V401)</w:t>
            </w:r>
          </w:p>
        </w:tc>
        <w:tc>
          <w:tcPr>
            <w:tcW w:w="4963" w:type="dxa"/>
          </w:tcPr>
          <w:p w14:paraId="330D6579" w14:textId="565DE83A" w:rsidR="004C4105" w:rsidRDefault="004C4105" w:rsidP="004D7169">
            <w:r>
              <w:t>6</w:t>
            </w:r>
          </w:p>
        </w:tc>
      </w:tr>
    </w:tbl>
    <w:p w14:paraId="7B46F148" w14:textId="77777777" w:rsidR="004C4105" w:rsidRDefault="004C4105" w:rsidP="004D7169"/>
    <w:p w14:paraId="492894CE" w14:textId="669BE71E" w:rsidR="00F91490" w:rsidRDefault="00F91490" w:rsidP="004D7169"/>
    <w:bookmarkEnd w:id="0"/>
    <w:p w14:paraId="7AFB004A" w14:textId="0372C4DD" w:rsidR="004651D7" w:rsidRDefault="004651D7" w:rsidP="004651D7">
      <w:r w:rsidRPr="004651D7">
        <w:t xml:space="preserve">I participated in the conference hosted by the National Tax Association from November 2, 2023, to November 4, 2023. During the event, I presented the paper titled "Dealing with Fiscal Stress: Cities versus Suburbs." You can find more details about the program </w:t>
      </w:r>
      <w:r>
        <w:t>(</w:t>
      </w:r>
      <w:hyperlink r:id="rId11" w:history="1">
        <w:r w:rsidRPr="004651D7">
          <w:rPr>
            <w:rStyle w:val="Hyperlink"/>
          </w:rPr>
          <w:t>program link</w:t>
        </w:r>
      </w:hyperlink>
      <w:r>
        <w:t>).</w:t>
      </w:r>
    </w:p>
    <w:p w14:paraId="41532B23" w14:textId="0A47234D" w:rsidR="00836866" w:rsidRDefault="00836866" w:rsidP="004D7169"/>
    <w:sectPr w:rsidR="00836866" w:rsidSect="005E7FA7">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6488" w14:textId="77777777" w:rsidR="00C53C9E" w:rsidRDefault="00C53C9E" w:rsidP="009728DB">
      <w:r>
        <w:separator/>
      </w:r>
    </w:p>
  </w:endnote>
  <w:endnote w:type="continuationSeparator" w:id="0">
    <w:p w14:paraId="7194F223" w14:textId="77777777" w:rsidR="00C53C9E" w:rsidRDefault="00C53C9E" w:rsidP="0097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EAE4" w14:textId="77777777" w:rsidR="009728DB" w:rsidRDefault="00972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570F" w14:textId="77777777" w:rsidR="00C53C9E" w:rsidRDefault="00C53C9E" w:rsidP="009728DB">
      <w:r>
        <w:separator/>
      </w:r>
    </w:p>
  </w:footnote>
  <w:footnote w:type="continuationSeparator" w:id="0">
    <w:p w14:paraId="5B8055EC" w14:textId="77777777" w:rsidR="00C53C9E" w:rsidRDefault="00C53C9E" w:rsidP="00972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94C70"/>
    <w:multiLevelType w:val="hybridMultilevel"/>
    <w:tmpl w:val="65F6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50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6B"/>
    <w:rsid w:val="00002CA8"/>
    <w:rsid w:val="00062CBC"/>
    <w:rsid w:val="0009214D"/>
    <w:rsid w:val="000E1851"/>
    <w:rsid w:val="000E35CD"/>
    <w:rsid w:val="000E4F22"/>
    <w:rsid w:val="000F62C5"/>
    <w:rsid w:val="00101372"/>
    <w:rsid w:val="00136CDC"/>
    <w:rsid w:val="0017218F"/>
    <w:rsid w:val="001C559A"/>
    <w:rsid w:val="0020106B"/>
    <w:rsid w:val="00233155"/>
    <w:rsid w:val="00252E90"/>
    <w:rsid w:val="00273881"/>
    <w:rsid w:val="00277354"/>
    <w:rsid w:val="00310ED6"/>
    <w:rsid w:val="0031574F"/>
    <w:rsid w:val="0032042A"/>
    <w:rsid w:val="00351C9A"/>
    <w:rsid w:val="00370EF2"/>
    <w:rsid w:val="004651D7"/>
    <w:rsid w:val="004C4105"/>
    <w:rsid w:val="004D521F"/>
    <w:rsid w:val="004D7169"/>
    <w:rsid w:val="005075AB"/>
    <w:rsid w:val="00533917"/>
    <w:rsid w:val="00553EBC"/>
    <w:rsid w:val="00554D3E"/>
    <w:rsid w:val="00590DBC"/>
    <w:rsid w:val="005B2B6C"/>
    <w:rsid w:val="005B72C9"/>
    <w:rsid w:val="005E17A5"/>
    <w:rsid w:val="005E7FA7"/>
    <w:rsid w:val="005F66AC"/>
    <w:rsid w:val="00601771"/>
    <w:rsid w:val="00607AEF"/>
    <w:rsid w:val="006139FF"/>
    <w:rsid w:val="006174A9"/>
    <w:rsid w:val="00683CFC"/>
    <w:rsid w:val="006A0FF2"/>
    <w:rsid w:val="006C4CE5"/>
    <w:rsid w:val="006F16A4"/>
    <w:rsid w:val="00722D89"/>
    <w:rsid w:val="00746977"/>
    <w:rsid w:val="0077215A"/>
    <w:rsid w:val="007810A5"/>
    <w:rsid w:val="007A0CE1"/>
    <w:rsid w:val="007A1216"/>
    <w:rsid w:val="007A2FF6"/>
    <w:rsid w:val="007A437C"/>
    <w:rsid w:val="007D61F6"/>
    <w:rsid w:val="00816F09"/>
    <w:rsid w:val="00836866"/>
    <w:rsid w:val="008401AC"/>
    <w:rsid w:val="00853B72"/>
    <w:rsid w:val="00863361"/>
    <w:rsid w:val="00886879"/>
    <w:rsid w:val="008D16CC"/>
    <w:rsid w:val="008F10C0"/>
    <w:rsid w:val="009125DA"/>
    <w:rsid w:val="00927A58"/>
    <w:rsid w:val="009332C3"/>
    <w:rsid w:val="00965AE5"/>
    <w:rsid w:val="00966B4D"/>
    <w:rsid w:val="009728DB"/>
    <w:rsid w:val="00974706"/>
    <w:rsid w:val="009B2D8B"/>
    <w:rsid w:val="009D08F7"/>
    <w:rsid w:val="00A25CF2"/>
    <w:rsid w:val="00A52180"/>
    <w:rsid w:val="00A71D62"/>
    <w:rsid w:val="00A8277E"/>
    <w:rsid w:val="00A86C72"/>
    <w:rsid w:val="00AA2D61"/>
    <w:rsid w:val="00AA41DE"/>
    <w:rsid w:val="00AC6E34"/>
    <w:rsid w:val="00AD0748"/>
    <w:rsid w:val="00AD7D66"/>
    <w:rsid w:val="00AE2015"/>
    <w:rsid w:val="00B233F6"/>
    <w:rsid w:val="00B265EF"/>
    <w:rsid w:val="00B2715A"/>
    <w:rsid w:val="00B81929"/>
    <w:rsid w:val="00B82676"/>
    <w:rsid w:val="00C533B6"/>
    <w:rsid w:val="00C53C9E"/>
    <w:rsid w:val="00C84681"/>
    <w:rsid w:val="00CB1D92"/>
    <w:rsid w:val="00CD6246"/>
    <w:rsid w:val="00CD7F8E"/>
    <w:rsid w:val="00CF076E"/>
    <w:rsid w:val="00D000B7"/>
    <w:rsid w:val="00D6675B"/>
    <w:rsid w:val="00D9026E"/>
    <w:rsid w:val="00DA690D"/>
    <w:rsid w:val="00DB0593"/>
    <w:rsid w:val="00DF135F"/>
    <w:rsid w:val="00E610A6"/>
    <w:rsid w:val="00EC3006"/>
    <w:rsid w:val="00EC3EC0"/>
    <w:rsid w:val="00EE6138"/>
    <w:rsid w:val="00F419C7"/>
    <w:rsid w:val="00F62892"/>
    <w:rsid w:val="00F91490"/>
    <w:rsid w:val="00FA55EF"/>
    <w:rsid w:val="00FD7D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227"/>
  <w15:chartTrackingRefBased/>
  <w15:docId w15:val="{4F58D5F0-B551-40B2-B812-89932157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6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8DB"/>
    <w:pPr>
      <w:tabs>
        <w:tab w:val="center" w:pos="4680"/>
        <w:tab w:val="right" w:pos="9360"/>
      </w:tabs>
    </w:pPr>
  </w:style>
  <w:style w:type="character" w:customStyle="1" w:styleId="HeaderChar">
    <w:name w:val="Header Char"/>
    <w:link w:val="Header"/>
    <w:uiPriority w:val="99"/>
    <w:rsid w:val="009728DB"/>
    <w:rPr>
      <w:rFonts w:ascii="Times New Roman" w:eastAsia="Times New Roman" w:hAnsi="Times New Roman"/>
      <w:sz w:val="24"/>
      <w:szCs w:val="24"/>
    </w:rPr>
  </w:style>
  <w:style w:type="paragraph" w:styleId="Footer">
    <w:name w:val="footer"/>
    <w:basedOn w:val="Normal"/>
    <w:link w:val="FooterChar"/>
    <w:uiPriority w:val="99"/>
    <w:unhideWhenUsed/>
    <w:rsid w:val="009728DB"/>
    <w:pPr>
      <w:tabs>
        <w:tab w:val="center" w:pos="4680"/>
        <w:tab w:val="right" w:pos="9360"/>
      </w:tabs>
    </w:pPr>
  </w:style>
  <w:style w:type="character" w:customStyle="1" w:styleId="FooterChar">
    <w:name w:val="Footer Char"/>
    <w:link w:val="Footer"/>
    <w:uiPriority w:val="99"/>
    <w:rsid w:val="009728DB"/>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728DB"/>
    <w:rPr>
      <w:rFonts w:ascii="Tahoma" w:hAnsi="Tahoma" w:cs="Tahoma"/>
      <w:sz w:val="16"/>
      <w:szCs w:val="16"/>
    </w:rPr>
  </w:style>
  <w:style w:type="character" w:customStyle="1" w:styleId="BalloonTextChar">
    <w:name w:val="Balloon Text Char"/>
    <w:link w:val="BalloonText"/>
    <w:uiPriority w:val="99"/>
    <w:semiHidden/>
    <w:rsid w:val="009728DB"/>
    <w:rPr>
      <w:rFonts w:ascii="Tahoma" w:eastAsia="Times New Roman" w:hAnsi="Tahoma" w:cs="Tahoma"/>
      <w:sz w:val="16"/>
      <w:szCs w:val="16"/>
    </w:rPr>
  </w:style>
  <w:style w:type="paragraph" w:styleId="Revision">
    <w:name w:val="Revision"/>
    <w:hidden/>
    <w:uiPriority w:val="99"/>
    <w:semiHidden/>
    <w:rsid w:val="000E35CD"/>
    <w:rPr>
      <w:rFonts w:ascii="Times New Roman" w:eastAsia="Times New Roman" w:hAnsi="Times New Roman"/>
      <w:sz w:val="24"/>
      <w:szCs w:val="24"/>
    </w:rPr>
  </w:style>
  <w:style w:type="paragraph" w:styleId="ListParagraph">
    <w:name w:val="List Paragraph"/>
    <w:basedOn w:val="Normal"/>
    <w:uiPriority w:val="34"/>
    <w:qFormat/>
    <w:rsid w:val="000E35CD"/>
    <w:pPr>
      <w:ind w:left="720"/>
      <w:contextualSpacing/>
    </w:pPr>
  </w:style>
  <w:style w:type="table" w:styleId="TableGrid">
    <w:name w:val="Table Grid"/>
    <w:basedOn w:val="TableNormal"/>
    <w:uiPriority w:val="59"/>
    <w:rsid w:val="00836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866"/>
    <w:rPr>
      <w:color w:val="0563C1" w:themeColor="hyperlink"/>
      <w:u w:val="single"/>
    </w:rPr>
  </w:style>
  <w:style w:type="character" w:styleId="UnresolvedMention">
    <w:name w:val="Unresolved Mention"/>
    <w:basedOn w:val="DefaultParagraphFont"/>
    <w:uiPriority w:val="99"/>
    <w:semiHidden/>
    <w:unhideWhenUsed/>
    <w:rsid w:val="00836866"/>
    <w:rPr>
      <w:color w:val="605E5C"/>
      <w:shd w:val="clear" w:color="auto" w:fill="E1DFDD"/>
    </w:rPr>
  </w:style>
  <w:style w:type="character" w:styleId="FollowedHyperlink">
    <w:name w:val="FollowedHyperlink"/>
    <w:basedOn w:val="DefaultParagraphFont"/>
    <w:uiPriority w:val="99"/>
    <w:semiHidden/>
    <w:unhideWhenUsed/>
    <w:rsid w:val="008368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6298">
      <w:bodyDiv w:val="1"/>
      <w:marLeft w:val="0"/>
      <w:marRight w:val="0"/>
      <w:marTop w:val="0"/>
      <w:marBottom w:val="0"/>
      <w:divBdr>
        <w:top w:val="none" w:sz="0" w:space="0" w:color="auto"/>
        <w:left w:val="none" w:sz="0" w:space="0" w:color="auto"/>
        <w:bottom w:val="none" w:sz="0" w:space="0" w:color="auto"/>
        <w:right w:val="none" w:sz="0" w:space="0" w:color="auto"/>
      </w:divBdr>
    </w:div>
    <w:div w:id="151966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1i3omuvvo9x4yujheoir2/IUB-Fall-2023-Individual-Report-for-SPEA-V374-LEC-10928-INTERMED-PUBLIC-BUDGET-FIN-Annie-Hsu-_e6bd2077-486a-436a-9fe3-dbf40625640ben-US.pdf?rlkey=oe84e9b3qhqo7haalcwsthhg8&amp;dl=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cl/fi/oedy7ved3dcb5snsonrk1/IUB-Fall-2023-Individual-Report-for-SPEA-V401-LEC-3230-FIN-COST-BENEFIT-ANALYSIS-Annie-Hsu-_28fe34e9-f7b4-451e-aba0-2e28fe32f0eaen-US.pdf?rlkey=vo09exd0sbdmc77gg97c9l5ct&amp;dl=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ta.confex.com/nta/2023/meetingapp.cgi/Person/3715" TargetMode="External"/><Relationship Id="rId5" Type="http://schemas.openxmlformats.org/officeDocument/2006/relationships/footnotes" Target="footnotes.xml"/><Relationship Id="rId10" Type="http://schemas.openxmlformats.org/officeDocument/2006/relationships/hyperlink" Target="https://www.dropbox.com/scl/fo/f3e5s8uxv2y1aq7bhy6yd/h?rlkey=oygvbidpn3jmqkjmqxtogn3cc&amp;dl=0" TargetMode="External"/><Relationship Id="rId4" Type="http://schemas.openxmlformats.org/officeDocument/2006/relationships/webSettings" Target="webSettings.xml"/><Relationship Id="rId9" Type="http://schemas.openxmlformats.org/officeDocument/2006/relationships/hyperlink" Target="https://www.dropbox.com/scl/fi/t6whisodsaci9mz4fmee0/IUB-Fall-2023-Individual-Report-for-SPEA-V202-LEC-10236-CONTEMP-ECON-ISSUES-PUBLIC-AFF-Annie-Hsu-_41eeec7b-08d8-491d-8c71-d7118c52be0een-US.pdf?rlkey=r7samzp77drhcdh3h94qjqwsj&amp;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mikesell</dc:creator>
  <cp:keywords/>
  <cp:lastModifiedBy>Hsu, Yu-Hsin</cp:lastModifiedBy>
  <cp:revision>8</cp:revision>
  <cp:lastPrinted>2015-02-25T19:49:00Z</cp:lastPrinted>
  <dcterms:created xsi:type="dcterms:W3CDTF">2024-01-11T13:18:00Z</dcterms:created>
  <dcterms:modified xsi:type="dcterms:W3CDTF">2024-01-12T14:22:00Z</dcterms:modified>
</cp:coreProperties>
</file>