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согласования документов (учебный пример)</w:t>
      </w:r>
    </w:p>
    <w:p>
      <w:r>
        <w:t>Редакция: июнь 2026. Организация вымышленная, все сведения условные.</w:t>
      </w:r>
    </w:p>
    <w:p>
      <w:pPr>
        <w:pStyle w:val="Heading1"/>
      </w:pPr>
      <w:r>
        <w:t>1. Общие положения</w:t>
      </w:r>
    </w:p>
    <w:p>
      <w:r>
        <w:t>Регламент определяет порядок согласования внутренних документов подразделения.</w:t>
      </w:r>
    </w:p>
    <w:p>
      <w:r>
        <w:t>Регламент обязателен для всех сотрудников, которые готовят, согласуют или утверждают документы.</w:t>
      </w:r>
    </w:p>
    <w:p>
      <w:r>
        <w:t>Согласование ведётся в электронном виде; бумажный лист согласования оформляется по запросу.</w:t>
      </w:r>
    </w:p>
    <w:p>
      <w:pPr>
        <w:pStyle w:val="Heading1"/>
      </w:pPr>
      <w:r>
        <w:t>2. Участники и роли</w:t>
      </w:r>
    </w:p>
    <w:p>
      <w:r>
        <w:t>В согласовании участвуют инициатор, согласующие и утверждающий.</w:t>
      </w:r>
    </w:p>
    <w:p>
      <w:pPr>
        <w:pStyle w:val="Heading2"/>
      </w:pPr>
      <w:r>
        <w:t>2.1. Инициатор</w:t>
      </w:r>
    </w:p>
    <w:p>
      <w:r>
        <w:t>Инициатор готовит документ, собирает комплект приложений и запускает согласование.</w:t>
      </w:r>
    </w:p>
    <w:p>
      <w:r>
        <w:t>Инициатор отвечает на замечания и вносит правки в согласованные сроки.</w:t>
      </w:r>
    </w:p>
    <w:p>
      <w:pPr>
        <w:pStyle w:val="Heading2"/>
      </w:pPr>
      <w:r>
        <w:t>2.2. Согласующие</w:t>
      </w:r>
    </w:p>
    <w:p>
      <w:r>
        <w:t>Состав согласующих зависит от типа документа; базовый состав приведён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Что проверяет</w:t>
            </w:r>
          </w:p>
        </w:tc>
        <w:tc>
          <w:tcPr>
            <w:tcW w:type="dxa" w:w="2880"/>
          </w:tcPr>
          <w:p>
            <w:r>
              <w:t>Срок ответа</w:t>
            </w:r>
          </w:p>
        </w:tc>
      </w:tr>
      <w:tr>
        <w:tc>
          <w:tcPr>
            <w:tcW w:type="dxa" w:w="2880"/>
          </w:tcPr>
          <w:p>
            <w:r>
              <w:t>Юрист</w:t>
            </w:r>
          </w:p>
        </w:tc>
        <w:tc>
          <w:tcPr>
            <w:tcW w:type="dxa" w:w="2880"/>
          </w:tcPr>
          <w:p>
            <w:r>
              <w:t>Соответствие нормам и договорам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Финансовый контролёр</w:t>
            </w:r>
          </w:p>
        </w:tc>
        <w:tc>
          <w:tcPr>
            <w:tcW w:type="dxa" w:w="2880"/>
          </w:tcPr>
          <w:p>
            <w:r>
              <w:t>Бюджет и расчёты</w:t>
            </w:r>
          </w:p>
        </w:tc>
        <w:tc>
          <w:tcPr>
            <w:tcW w:type="dxa" w:w="2880"/>
          </w:tcPr>
          <w:p>
            <w:r>
              <w:t>2 рабочих дня</w:t>
            </w:r>
          </w:p>
        </w:tc>
      </w:tr>
      <w:tr>
        <w:tc>
          <w:tcPr>
            <w:tcW w:type="dxa" w:w="2880"/>
          </w:tcPr>
          <w:p>
            <w:r>
              <w:t>Руководитель направления</w:t>
            </w:r>
          </w:p>
        </w:tc>
        <w:tc>
          <w:tcPr>
            <w:tcW w:type="dxa" w:w="2880"/>
          </w:tcPr>
          <w:p>
            <w:r>
              <w:t>Содержание и сроки</w:t>
            </w:r>
          </w:p>
        </w:tc>
        <w:tc>
          <w:tcPr>
            <w:tcW w:type="dxa" w:w="2880"/>
          </w:tcPr>
          <w:p>
            <w:r>
              <w:t>1 рабочий день</w:t>
            </w:r>
          </w:p>
        </w:tc>
      </w:tr>
    </w:tbl>
    <w:p>
      <w:pPr>
        <w:pStyle w:val="Heading2"/>
      </w:pPr>
      <w:r>
        <w:t>2.3. Утверждающий</w:t>
      </w:r>
    </w:p>
    <w:p>
      <w:r>
        <w:t>Утверждающий принимает итоговое решение после сбора всех согласований.</w:t>
      </w:r>
    </w:p>
    <w:p>
      <w:pPr>
        <w:pStyle w:val="Heading1"/>
      </w:pPr>
      <w:r>
        <w:t>3. Сроки согласования</w:t>
      </w:r>
    </w:p>
    <w:p>
      <w:r>
        <w:t>Срок согласования документа составляет 7 рабочих дней.</w:t>
      </w:r>
    </w:p>
    <w:p>
      <w:r>
        <w:t>Срочные документы согласуются за 2 рабочих дня по решению руководителя.</w:t>
      </w:r>
    </w:p>
    <w:p>
      <w:pPr>
        <w:pStyle w:val="Heading1"/>
      </w:pPr>
      <w:r>
        <w:t>4. Порядок согласования</w:t>
      </w:r>
    </w:p>
    <w:p>
      <w:r>
        <w:t>Согласование проходит в три шага: подготовка комплекта, параллельное согласование, доработка.</w:t>
      </w:r>
    </w:p>
    <w:p>
      <w:pPr>
        <w:pStyle w:val="Heading2"/>
      </w:pPr>
      <w:r>
        <w:t>4.1. Подготовка комплекта</w:t>
      </w:r>
    </w:p>
    <w:p>
      <w:r>
        <w:t>Комплект включает документ, пояснительную записку и расчёты, если они есть.</w:t>
      </w:r>
    </w:p>
    <w:p>
      <w:r>
        <w:t>Неполный комплект возвращается инициатору без рассмотрения.</w:t>
      </w:r>
    </w:p>
    <w:p>
      <w:pPr>
        <w:pStyle w:val="Heading2"/>
      </w:pPr>
      <w:r>
        <w:t>4.2. Параллельное согласование</w:t>
      </w:r>
    </w:p>
    <w:p>
      <w:r>
        <w:t>Согласующие получают комплект одновременно и отвечают независимо друг от друга.</w:t>
      </w:r>
    </w:p>
    <w:p>
      <w:r>
        <w:t>Ответ согласующего: «согласовано», «согласовано с замечаниями» или «отклонено».</w:t>
      </w:r>
    </w:p>
    <w:p>
      <w:pPr>
        <w:pStyle w:val="Heading1"/>
      </w:pPr>
      <w:r>
        <w:t>5. Срочные документы</w:t>
      </w:r>
    </w:p>
    <w:p>
      <w:r>
        <w:t>Срочным считается документ, задержка которого ведёт к срыву обязательств подразделения.</w:t>
      </w:r>
    </w:p>
    <w:p>
      <w:r>
        <w:t>Решение о срочности принимает руководитель направления и фиксирует его в листе согласования.</w:t>
      </w:r>
    </w:p>
    <w:p>
      <w:pPr>
        <w:pStyle w:val="Heading1"/>
      </w:pPr>
      <w:r>
        <w:t>6. Хранение и версии</w:t>
      </w:r>
    </w:p>
    <w:p>
      <w:r>
        <w:t>Каждая редакция документа хранится отдельной версией с датой и кратким описанием изменений.</w:t>
      </w:r>
    </w:p>
    <w:p>
      <w:r>
        <w:t>Действующую версию определяет утверждающий; прежние версии не удаляются.</w:t>
      </w:r>
    </w:p>
    <w:p>
      <w:pPr>
        <w:pStyle w:val="Heading1"/>
      </w:pPr>
      <w:r>
        <w:t>7. Ответственность</w:t>
      </w:r>
    </w:p>
    <w:p>
      <w:r>
        <w:t>Инициатор отвечает за полноту комплекта и достоверность сведений.</w:t>
      </w:r>
    </w:p>
    <w:p>
      <w:r>
        <w:t>Согласующие отвечают за соблюдение сроков ответа.</w:t>
      </w:r>
    </w:p>
    <w:p>
      <w:pPr>
        <w:pStyle w:val="Heading1"/>
      </w:pPr>
      <w:r>
        <w:t>8. Контроль исполнения</w:t>
      </w:r>
    </w:p>
    <w:p>
      <w:r>
        <w:t>Контроль сроков согласования ведёт руководитель направления раз в месяц по выборке документов.</w:t>
      </w:r>
    </w:p>
    <w:p>
      <w:r>
        <w:t>Результаты контроля включаются в ежемесячный отчёт направления.</w:t>
      </w:r>
    </w:p>
    <w:p>
      <w:pPr>
        <w:pStyle w:val="Heading1"/>
      </w:pPr>
      <w:r>
        <w:t>9. Заключительные положения</w:t>
      </w:r>
    </w:p>
    <w:p>
      <w:r>
        <w:t>Изменения в регламент вносятся по той же процедуре согласования.</w:t>
      </w:r>
    </w:p>
    <w:p>
      <w:r>
        <w:t>Регламент пересматривается не реже одного раза в год.</w:t>
      </w:r>
    </w:p>
    <w:p>
      <w:pPr>
        <w:pStyle w:val="Heading1"/>
      </w:pPr>
      <w:r>
        <w:t>Приложение А. Лист согласования</w:t>
      </w:r>
    </w:p>
    <w:p>
      <w:r>
        <w:t>Форма листа согласования (заполняется на каждый документ).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Согласующий</w:t>
            </w:r>
          </w:p>
        </w:tc>
        <w:tc>
          <w:tcPr>
            <w:tcW w:type="dxa" w:w="2160"/>
          </w:tcPr>
          <w:p>
            <w:r>
              <w:t>Решение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Замечания (раздел)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