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F4C81"/>
        </w:rPr>
        <w:t>ClaimClear AI</w:t>
      </w:r>
    </w:p>
    <w:p>
      <w:pPr>
        <w:jc w:val="center"/>
      </w:pPr>
      <w:r>
        <w:rPr>
          <w:i/>
          <w:color w:val="17A2B8"/>
          <w:sz w:val="24"/>
        </w:rPr>
        <w:t>ClaimClear AI — AI-Powered Insurance Claim Explanation Assistant</w:t>
      </w:r>
    </w:p>
    <w:p/>
    <w:p>
      <w:r/>
      <w:r>
        <w:rPr>
          <w:b/>
        </w:rPr>
        <w:t>AI-Powered Insurance Claim Explanation Assistant</w:t>
      </w:r>
      <w:r/>
    </w:p>
    <w:p>
      <w:pPr>
        <w:ind w:left="720"/>
      </w:pPr>
      <w:r>
        <w:rPr>
          <w:i/>
          <w:color w:val="555555"/>
        </w:rPr>
        <w:t>Transform complex insurance claim decisions into clear, personalized</w:t>
      </w:r>
    </w:p>
    <w:p>
      <w:pPr>
        <w:ind w:left="720"/>
      </w:pPr>
      <w:r>
        <w:rPr>
          <w:i/>
          <w:color w:val="555555"/>
        </w:rPr>
        <w:t>explanations that customers can actually understand.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The Problem</w:t>
      </w:r>
    </w:p>
    <w:p>
      <w:r>
        <w:t>Insurance customers receive claim decisions written in dense policy language</w:t>
      </w:r>
    </w:p>
    <w:p>
      <w:r>
        <w:t>full of jargon like "subrogation", "contestability period", and "deductible</w:t>
      </w:r>
    </w:p>
    <w:p>
      <w:r>
        <w:t>aggregate". This leads to:</w:t>
      </w:r>
    </w:p>
    <w:p>
      <w:pPr>
        <w:pStyle w:val="ListBullet"/>
      </w:pPr>
      <w:r>
        <w:t>Confused customers who don't understand why their claim was denied</w:t>
      </w:r>
    </w:p>
    <w:p>
      <w:pPr>
        <w:pStyle w:val="ListBullet"/>
      </w:pPr>
      <w:r>
        <w:t>High call volumes to customer service for explanation</w:t>
      </w:r>
    </w:p>
    <w:p>
      <w:pPr>
        <w:pStyle w:val="ListBullet"/>
      </w:pPr>
      <w:r>
        <w:t>Low customer satisfaction and trust erosion</w:t>
      </w:r>
    </w:p>
    <w:p>
      <w:r/>
      <w:r>
        <w:rPr>
          <w:b/>
        </w:rPr>
        <w:t>ClaimClear AI</w:t>
      </w:r>
      <w:r>
        <w:t xml:space="preserve"> solves this with an agentic AI pipeline that generates</w:t>
      </w:r>
    </w:p>
    <w:p>
      <w:r>
        <w:t>clear, empathetic, personalized explanations — grounded in actual policy</w:t>
      </w:r>
    </w:p>
    <w:p>
      <w:r>
        <w:t>documents via LangChain RAG and quality-checked before delivery.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Modern AI Techniques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Technique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What It Does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Why It Matters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Agentic 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5-stage pipeline (Analyze → Retrieve → Generate → Evaluate → Refine)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Each stage has a focused role; errors are caught before delivery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LangChain RAG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PyPDFLoader + RecursiveCharacterTextSplitter + ChromaDB vector store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Retrieves exact policy sections from a real PDF with page citations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PDF Document Grounding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8-page SilverShield Master Policy PDF is the RAG source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Real document ingestion, not hardcoded text — demonstrates production RAG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Dual Retrieval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ChromaDB vector search (with embeddings) or keyword fallback (zero-cost)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Works with or without an API key; seamless upgrade path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Self-Evaluation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LLM scores its own output (accuracy, empathy, readability, completeness)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Catches tone/accuracy issues automatically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Conditional Refinement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Re-generates only when quality score &lt; 7/10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Saves tokens when output is already good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Structured Outputs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OpenAI JSON mode (`response_format: json_object`)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Zero parsing failures, guaranteed valid responses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Few-Shot Prompting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One gold-standard example with PDF page citations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Consistent formatting and citation style across all generations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Chain-of-Thought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Analysis stage reasons about complexity before generation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Better explanations for complex multi-factor decisions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Multi-Model Support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OpenAI, TCS GenAI Lab, or any OpenAI-compatible endpoint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Flexible deployment across different AI providers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Quick Start</w:t>
      </w:r>
    </w:p>
    <w:p>
      <w:pPr>
        <w:pStyle w:val="Heading3"/>
      </w:pPr>
      <w:r>
        <w:rPr>
          <w:color w:val="17A2B8"/>
        </w:rPr>
        <w:t>Prerequisites</w:t>
      </w:r>
    </w:p>
    <w:p>
      <w:pPr>
        <w:pStyle w:val="ListBullet"/>
      </w:pPr>
      <w:r>
        <w:t>Python 3.11+</w:t>
      </w:r>
    </w:p>
    <w:p>
      <w:pPr>
        <w:pStyle w:val="ListBullet"/>
      </w:pPr>
      <w:r>
        <w:t>OpenAI API key (optional — demo mode works without one)</w:t>
      </w:r>
    </w:p>
    <w:p>
      <w:pPr>
        <w:pStyle w:val="Heading3"/>
      </w:pPr>
      <w:r>
        <w:rPr>
          <w:color w:val="17A2B8"/>
        </w:rPr>
        <w:t>Install &amp; Run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# Clone the repository and switch to the correct branch</w:t>
        <w:br/>
        <w:t>git clone https://github.com/annondeveloper/hackathon.git</w:t>
        <w:br/>
        <w:t>cd hackathon</w:t>
        <w:br/>
        <w:t>git checkout claude/python-version-oTxa2</w:t>
        <w:br/>
        <w:br/>
        <w:t># Create virtual environment</w:t>
        <w:br/>
        <w:t>python -m venv venv</w:t>
        <w:br/>
        <w:t>source venv/bin/activate    # Windows: venv\Scripts\activate</w:t>
        <w:br/>
        <w:br/>
        <w:t># Install dependencies</w:t>
        <w:br/>
        <w:t>pip install -r requirements.txt</w:t>
        <w:br/>
        <w:br/>
        <w:t># Generate the policy PDF (RAG source document)</w:t>
        <w:br/>
        <w:t>python create_policy_pdf.py</w:t>
        <w:br/>
        <w:br/>
        <w:t># Run the app</w:t>
        <w:br/>
        <w:t>streamlit run app.py</w:t>
        <w:br/>
        <w:t># Opens at http://localhost:8501</w:t>
      </w:r>
    </w:p>
    <w:p>
      <w:pPr>
        <w:pStyle w:val="Heading3"/>
      </w:pPr>
      <w:r>
        <w:rPr>
          <w:color w:val="17A2B8"/>
        </w:rPr>
        <w:t>Configure API Key</w:t>
      </w:r>
    </w:p>
    <w:p>
      <w:r/>
      <w:r>
        <w:rPr>
          <w:b/>
        </w:rPr>
        <w:t>Option A — Sidebar (recommended for quick testing):</w:t>
      </w:r>
      <w:r/>
    </w:p>
    <w:p>
      <w:r>
        <w:t>Paste your OpenAI API key directly in the sidebar input. It stays in memory</w:t>
      </w:r>
    </w:p>
    <w:p>
      <w:r>
        <w:t>only and is never written to disk.</w:t>
      </w:r>
    </w:p>
    <w:p>
      <w:r/>
      <w:r>
        <w:rPr>
          <w:b/>
        </w:rPr>
        <w:t>Option B — Environment variable:</w:t>
      </w:r>
      <w:r/>
    </w:p>
    <w:p>
      <w:pPr>
        <w:ind w:left="432"/>
      </w:pPr>
      <w:r>
        <w:rPr>
          <w:rFonts w:ascii="Consolas" w:hAnsi="Consolas"/>
          <w:color w:val="2D2D2D"/>
          <w:sz w:val="18"/>
        </w:rPr>
        <w:t>cp .env.example .env</w:t>
        <w:br/>
        <w:t># Edit .env: OPENAI_API_KEY=sk-your-key-here</w:t>
      </w:r>
    </w:p>
    <w:p>
      <w:r/>
      <w:r>
        <w:rPr>
          <w:b/>
        </w:rPr>
        <w:t>Option C — No key (demo mode):</w:t>
      </w:r>
      <w:r/>
    </w:p>
    <w:p>
      <w:r>
        <w:t>The app works without an API key using pre-built sample explanations with</w:t>
      </w:r>
    </w:p>
    <w:p>
      <w:r>
        <w:t>RAG citations from the policy PDF.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How It Works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┌────────────────────────────────────────────────────────────────┐</w:t>
        <w:br/>
        <w:t>│                     Streamlit UI (app.py)                       │</w:t>
        <w:br/>
        <w:t>│  Claim Form → Sidebar Settings → Results + RAG Citations       │</w:t>
        <w:br/>
        <w:t>└─────────────────────────────┬──────────────────────────────────┘</w:t>
        <w:br/>
        <w:t xml:space="preserve">                              │</w:t>
        <w:br/>
        <w:t xml:space="preserve">                    ┌─────────▼──────────┐</w:t>
        <w:br/>
        <w:t xml:space="preserve">                    │  Pipeline (pipeline.py)                     │</w:t>
        <w:br/>
        <w:t xml:space="preserve">                    │                                             │</w:t>
        <w:br/>
        <w:t xml:space="preserve">                    │  Stage 1: ANALYZE                           │</w:t>
        <w:br/>
        <w:t xml:space="preserve">                    │  └─ Extract complexity, key factors, jargon │</w:t>
        <w:br/>
        <w:t xml:space="preserve">                    │                                             │</w:t>
        <w:br/>
        <w:t xml:space="preserve">                    │  Stage 2: RETRIEVE (RAG)                    │</w:t>
        <w:br/>
        <w:t xml:space="preserve">                    │  └─ LangChain → ChromaDB → Top-3 chunks    │</w:t>
        <w:br/>
        <w:t xml:space="preserve">                    │                     ▲                       │</w:t>
        <w:br/>
        <w:t xml:space="preserve">                    │                     │                       │</w:t>
        <w:br/>
        <w:t xml:space="preserve">                    │            ┌────────┴────────┐              │</w:t>
        <w:br/>
        <w:t xml:space="preserve">                    │            │  PolicyStore     │              │</w:t>
        <w:br/>
        <w:t xml:space="preserve">                    │            │  (LangChain RAG) │              │</w:t>
        <w:br/>
        <w:t xml:space="preserve">                    │            │                  │              │</w:t>
        <w:br/>
        <w:t xml:space="preserve">                    │            │  PyPDFLoader     │              │</w:t>
        <w:br/>
        <w:t xml:space="preserve">                    │            │  TextSplitter    │              │</w:t>
        <w:br/>
        <w:t xml:space="preserve">                    │            │  ChromaDB Vector │              │</w:t>
        <w:br/>
        <w:t xml:space="preserve">                    │            │  Keyword Fallback│              │</w:t>
        <w:br/>
        <w:t xml:space="preserve">                    │            └────────┬────────┘              │</w:t>
        <w:br/>
        <w:t xml:space="preserve">                    │                     │                       │</w:t>
        <w:br/>
        <w:t xml:space="preserve">                    │            ┌────────┴────────┐              │</w:t>
        <w:br/>
        <w:t xml:space="preserve">                    │            │  Policy PDF      │              │</w:t>
        <w:br/>
        <w:t xml:space="preserve">                    │            │  (8 pages,       │              │</w:t>
        <w:br/>
        <w:t xml:space="preserve">                    │            │  12 sections)    │              │</w:t>
        <w:br/>
        <w:t xml:space="preserve">                    │            └─────────────────┘              │</w:t>
        <w:br/>
        <w:t xml:space="preserve">                    │                                             │</w:t>
        <w:br/>
        <w:t xml:space="preserve">                    │  Stage 3: GENERATE                          │</w:t>
        <w:br/>
        <w:t xml:space="preserve">                    │  └─ Explanation + glossary (few-shot + RAG) │</w:t>
        <w:br/>
        <w:t xml:space="preserve">                    │                                             │</w:t>
        <w:br/>
        <w:t xml:space="preserve">                    │  Stage 4: EVALUATE                          │</w:t>
        <w:br/>
        <w:t xml:space="preserve">                    │  └─ Score: accuracy, empathy, readability   │</w:t>
        <w:br/>
        <w:t xml:space="preserve">                    │                                             │</w:t>
        <w:br/>
        <w:t xml:space="preserve">                    │  Stage 5: REFINE (if score &lt; 7/10)          │</w:t>
        <w:br/>
        <w:t xml:space="preserve">                    │  └─ Fix issues from evaluation              │</w:t>
        <w:br/>
        <w:t xml:space="preserve">                    └─────────────────────────────────────────────┘</w:t>
        <w:br/>
        <w:t xml:space="preserve">                              │</w:t>
        <w:br/>
        <w:t xml:space="preserve">                    ┌─────────▼──────────┐</w:t>
        <w:br/>
        <w:t xml:space="preserve">                    │   LLM Provider      │</w:t>
        <w:br/>
        <w:t xml:space="preserve">                    │   OpenAI / TCS /    │</w:t>
        <w:br/>
        <w:t xml:space="preserve">                    │   Custom Endpoint   │</w:t>
        <w:br/>
        <w:t xml:space="preserve">                    └────────────────────┘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Project Structure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hackathon/</w:t>
        <w:br/>
        <w:t>├── app.py                # Streamlit UI — form, RAG citations, pipeline transparency</w:t>
        <w:br/>
        <w:t>├── pipeline.py           # 5-stage agentic pipeline with LangChain RAG integration</w:t>
        <w:br/>
        <w:t>├── policy_store.py       # LangChain RAG store — PDF loader, splitter, ChromaDB, keyword fallback</w:t>
        <w:br/>
        <w:t>├── sample_data.py        # 4 sample claims across Health, Auto, Home, Travel</w:t>
        <w:br/>
        <w:t>├── create_policy_pdf.py  # Generates the SilverShield Master Policy PDF (RAG source)</w:t>
        <w:br/>
        <w:t>├── generate_docs.py      # Script to generate formatted Word (.docx) documents</w:t>
        <w:br/>
        <w:t>├── requirements.txt      # Python dependencies (streamlit, openai, langchain, chromadb, etc.)</w:t>
        <w:br/>
        <w:t>├── .env.example          # Environment variable template</w:t>
        <w:br/>
        <w:t>├── .gitignore            # Standard Python ignores</w:t>
        <w:br/>
        <w:t>│</w:t>
        <w:br/>
        <w:t>├── README.md             # This file — overview and quick start</w:t>
        <w:br/>
        <w:t>├── ARCHITECTURE.md       # Detailed architecture and data flow</w:t>
        <w:br/>
        <w:t>├── DEPLOYMENT.md         # Full deployment guide (local, Docker, cloud)</w:t>
        <w:br/>
        <w:t>├── DESIGN_DECISIONS.md   # Why each AI technique was chosen</w:t>
        <w:br/>
        <w:t>├── VIDEO_PROMPT.md       # Demo video generation prompt</w:t>
        <w:br/>
        <w:t>│</w:t>
        <w:br/>
        <w:t>└── docs/                 # Generated documents</w:t>
        <w:br/>
        <w:t xml:space="preserve">    ├── SilverShield_Master_Policy.pdf   # 8-page insurance policy (RAG source)</w:t>
        <w:br/>
        <w:t xml:space="preserve">    ├── ClaimClear_AI_README.docx</w:t>
        <w:br/>
        <w:t xml:space="preserve">    ├── ClaimClear_AI_Architecture.docx</w:t>
        <w:br/>
        <w:t xml:space="preserve">    ├── ClaimClear_AI_Architecture_Diagram.docx  # Visual architecture diagram</w:t>
        <w:br/>
        <w:t xml:space="preserve">    ├── ClaimClear_AI_Deployment_Guide.docx</w:t>
        <w:br/>
        <w:t xml:space="preserve">    └── ClaimClear_AI_Design_Decisions.docx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Features</w:t>
      </w:r>
    </w:p>
    <w:p>
      <w:pPr>
        <w:pStyle w:val="ListBullet"/>
      </w:pPr>
      <w:r>
        <w:t>LangChain RAG Pipeline — PDF ingestion, text splitting, ChromaDB vector search</w:t>
      </w:r>
    </w:p>
    <w:p>
      <w:pPr>
        <w:pStyle w:val="ListBullet"/>
      </w:pPr>
      <w:r>
        <w:t>Real Policy PDF — 8-page SilverShield Master Policy with 12 sections as RAG source</w:t>
      </w:r>
    </w:p>
    <w:p>
      <w:pPr>
        <w:pStyle w:val="ListBullet"/>
      </w:pPr>
      <w:r>
        <w:t>RAG Citations — Every explanation cites specific PDF pages and sections</w:t>
      </w:r>
    </w:p>
    <w:p>
      <w:pPr>
        <w:pStyle w:val="ListBullet"/>
      </w:pPr>
      <w:r>
        <w:t>Dual Retrieval — Vector search (ChromaDB + OpenAI embeddings) or keyword fallback</w:t>
      </w:r>
    </w:p>
    <w:p>
      <w:pPr>
        <w:pStyle w:val="ListBullet"/>
      </w:pPr>
      <w:r>
        <w:t>Agentic Pipeline — 5-stage AI workflow with full transparency</w:t>
      </w:r>
    </w:p>
    <w:p>
      <w:pPr>
        <w:pStyle w:val="ListBullet"/>
      </w:pPr>
      <w:r>
        <w:t>Self-Evaluation — Quality scores (accuracy, empathy, readability, completeness)</w:t>
      </w:r>
    </w:p>
    <w:p>
      <w:pPr>
        <w:pStyle w:val="ListBullet"/>
      </w:pPr>
      <w:r>
        <w:t>Multi-Model — OpenAI GPT-4o/mini, TCS GenAI Lab, or custom endpoints</w:t>
      </w:r>
    </w:p>
    <w:p>
      <w:pPr>
        <w:pStyle w:val="ListBullet"/>
      </w:pPr>
      <w:r>
        <w:t>Demo Mode — Works instantly without an API key (with sample RAG citations)</w:t>
      </w:r>
    </w:p>
    <w:p>
      <w:pPr>
        <w:pStyle w:val="ListBullet"/>
      </w:pPr>
      <w:r>
        <w:t>Sample Claims — 4 realistic scenarios (denied, approved, partial, under review)</w:t>
      </w:r>
    </w:p>
    <w:p>
      <w:pPr>
        <w:pStyle w:val="ListBullet"/>
      </w:pPr>
      <w:r>
        <w:t>Tone &amp; Reading Level Control — Simple/Professional/Technical + Basic/Intermediate/Advanced</w:t>
      </w:r>
    </w:p>
    <w:p>
      <w:pPr>
        <w:pStyle w:val="ListBullet"/>
      </w:pPr>
      <w:r>
        <w:t>Pipeline Transparency — See every stage including RAG retrieval details</w:t>
      </w:r>
    </w:p>
    <w:p>
      <w:pPr>
        <w:pStyle w:val="ListBullet"/>
      </w:pPr>
      <w:r>
        <w:t>PDF Download — Policy document available for download in the sidebar</w:t>
      </w:r>
    </w:p>
    <w:p>
      <w:pPr>
        <w:pStyle w:val="ListBullet"/>
      </w:pPr>
      <w:r>
        <w:t>Token Tracking — Monitor total tokens used per generation</w:t>
      </w:r>
    </w:p>
    <w:p>
      <w:pPr>
        <w:pStyle w:val="ListBullet"/>
      </w:pPr>
      <w:r>
        <w:t>Export — Download explanations as text files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Sample Output</w:t>
      </w:r>
    </w:p>
    <w:p>
      <w:r/>
      <w:r>
        <w:rPr>
          <w:b/>
        </w:rPr>
        <w:t>Input:</w:t>
      </w:r>
      <w:r>
        <w:t xml:space="preserve"> Denied health claim for $4,750 (out-of-network MRI)</w:t>
      </w:r>
    </w:p>
    <w:p>
      <w:r/>
      <w:r>
        <w:rPr>
          <w:b/>
        </w:rPr>
        <w:t>Pipeline produces:</w:t>
      </w:r>
      <w:r/>
    </w:p>
    <w:p>
      <w:pPr>
        <w:pStyle w:val="ListBullet"/>
      </w:pPr>
      <w:r>
        <w:t>Clear explanation letter addressing the customer by name</w:t>
      </w:r>
    </w:p>
    <w:p>
      <w:pPr>
        <w:pStyle w:val="ListBullet"/>
      </w:pPr>
      <w:r>
        <w:t>References to specific policy sections with page numbers (Section 3.2, p.3)</w:t>
      </w:r>
    </w:p>
    <w:p>
      <w:pPr>
        <w:pStyle w:val="ListBullet"/>
      </w:pPr>
      <w:r>
        <w:t>RAG citations showing the exact PDF passages that grounded the explanation</w:t>
      </w:r>
    </w:p>
    <w:p>
      <w:pPr>
        <w:pStyle w:val="ListBullet"/>
      </w:pPr>
      <w:r>
        <w:t>3 actionable next steps (appeal, network exception, future authorization)</w:t>
      </w:r>
    </w:p>
    <w:p>
      <w:pPr>
        <w:pStyle w:val="ListBullet"/>
      </w:pPr>
      <w:r>
        <w:t>Glossary defining "out-of-network", "prior authorization", "deductible"</w:t>
      </w:r>
    </w:p>
    <w:p>
      <w:pPr>
        <w:pStyle w:val="ListBullet"/>
      </w:pPr>
      <w:r>
        <w:t>Quality scores: Accuracy 9/10, Empathy 8/10, Readability 9/10</w:t>
      </w:r>
    </w:p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Success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Target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How Measured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Explanation Accuracy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&gt;= 8/10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Self-evaluation accuracy score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Customer Readability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&gt;= 8/10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Self-evaluation readability score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Support Call Reduction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&gt;= 30%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Before/after comparison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Generation 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&lt; 10 seconds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Pipeline processing time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Token Efficiency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&lt; 3,000 tokens/request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Total tokens tracked per run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Documentation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8"/>
              </w:rPr>
              <w:t>Document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[ARCHITECTURE.md](ARCHITECTURE.md)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System architecture, data flow, component details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[DEPLOYMENT.md](DEPLOYMENT.md)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Local, Docker, and cloud deployment guides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[DESIGN_DECISIONS.md](DESIGN_DECISIONS.md)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Rationale for each AI technique and design choice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[VIDEO_PROMPT.md](VIDEO_PROMPT.md)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Prompt for generating a demo video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docs/ClaimClear_AI_Architecture_Diagram.docx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Visual architecture diagram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Tech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Technology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Why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Streamlit 1.41+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Rapid prototyping, built-in widgets, zero frontend code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Language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Python 3.11+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Rich AI/ML ecosystem, OpenAI SDK support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OpenAI GPT-4o-mini / GPT-4o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Best cost/quality ratio, native JSON mode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RAG Framework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LangChain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PyPDFLoader, text splitting, embeddings integration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Vector Store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ChromaDB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In-memory vector search, LangChain-native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Embeddings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OpenAI text-embedding-3-small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High-quality semantic search at low cost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PDF Generation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fpdf2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Lightweight PDF creation for the policy document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PDF Parsing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PyPDF2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Extract text from policy PDF for RAG ingestion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Multi-Model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OpenAI-compatible API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Supports TCS GenAI Lab, Azure, custom endpoints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rPr>
          <w:color w:val="0F4C81"/>
        </w:rPr>
        <w:t>License</w:t>
      </w:r>
    </w:p>
    <w:p>
      <w:r>
        <w:t>Built for the AI Prototype Challenge. Internal use only.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