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B29F" w14:textId="34822002" w:rsidR="00235775" w:rsidRPr="00F01036" w:rsidRDefault="00000000" w:rsidP="00E1318E">
      <w:pPr>
        <w:spacing w:after="80"/>
      </w:pPr>
      <w:r w:rsidRPr="00F01036">
        <w:rPr>
          <w:rFonts w:ascii="Calibri" w:hAnsi="Calibri"/>
          <w:b/>
          <w:sz w:val="48"/>
        </w:rPr>
        <w:t>Recent Advancements in Agricultural Biotechnology and Bio-AI Integration</w:t>
      </w:r>
    </w:p>
    <w:p w14:paraId="4C52E6BA" w14:textId="523FF931" w:rsidR="00856E77" w:rsidRPr="00F01036" w:rsidRDefault="00000000" w:rsidP="00856E77">
      <w:pPr>
        <w:keepNext/>
        <w:spacing w:before="320" w:after="120"/>
        <w:rPr>
          <w:u w:val="single"/>
        </w:rPr>
      </w:pPr>
      <w:r w:rsidRPr="00F01036">
        <w:rPr>
          <w:rFonts w:ascii="Calibri" w:hAnsi="Calibri"/>
          <w:b/>
          <w:sz w:val="30"/>
          <w:u w:val="single"/>
        </w:rPr>
        <w:t>Introduction and Executive Summary</w:t>
      </w:r>
      <w:r w:rsidR="00856E77" w:rsidRPr="00F01036">
        <w:rPr>
          <w:rFonts w:ascii="Calibri" w:hAnsi="Calibri"/>
          <w:b/>
          <w:sz w:val="30"/>
          <w:u w:val="single"/>
        </w:rPr>
        <w:t>:</w:t>
      </w:r>
    </w:p>
    <w:p w14:paraId="39A60B1E" w14:textId="2C978841" w:rsidR="00E1318E" w:rsidRPr="00F01036" w:rsidRDefault="00E1318E" w:rsidP="00856E77">
      <w:pPr>
        <w:keepNext/>
        <w:spacing w:before="320" w:after="120"/>
        <w:rPr>
          <w:u w:val="single"/>
        </w:rPr>
      </w:pPr>
      <w:r w:rsidRPr="00F01036">
        <w:rPr>
          <w:rFonts w:ascii="Calibri" w:hAnsi="Calibri"/>
        </w:rPr>
        <w:t>Agricultural biotechnology is driven by the global initiative to achieve food security, combat climate change, and reduce environmental degradation. Traditional agricultural practices heavily rely on nitrogen and phosphorus fertilizers, chemical pesticides, and energy-intensive processing, contributing to soil erosion, greenhouse gas emissions, and loss of biodiversity [1]. Recent breakthroughs in synthetic biology, microbiome engineering, precision bio-materials, climate resilience technologies, and artificial intelligence (AI) offer incredible solutions for a sustainable, resilient, and high-yield agriculture sector.</w:t>
      </w:r>
    </w:p>
    <w:p w14:paraId="60F4596C" w14:textId="07EDE41A" w:rsidR="00235775" w:rsidRPr="00F01036" w:rsidRDefault="00000000">
      <w:pPr>
        <w:spacing w:after="120"/>
      </w:pPr>
      <w:r w:rsidRPr="00F01036">
        <w:rPr>
          <w:rFonts w:ascii="Calibri" w:hAnsi="Calibri"/>
        </w:rPr>
        <w:t xml:space="preserve">This report </w:t>
      </w:r>
      <w:r w:rsidR="00E1318E" w:rsidRPr="00F01036">
        <w:rPr>
          <w:rFonts w:ascii="Calibri" w:hAnsi="Calibri"/>
        </w:rPr>
        <w:t xml:space="preserve">compiles </w:t>
      </w:r>
      <w:r w:rsidRPr="00F01036">
        <w:rPr>
          <w:rFonts w:ascii="Calibri" w:hAnsi="Calibri"/>
        </w:rPr>
        <w:t>recent advancements across five primary domains [1, 2]:</w:t>
      </w:r>
    </w:p>
    <w:p w14:paraId="19178198" w14:textId="3E4A117B" w:rsidR="00235775" w:rsidRPr="00F01036" w:rsidRDefault="00000000">
      <w:pPr>
        <w:pStyle w:val="ListBullet"/>
        <w:spacing w:after="80"/>
      </w:pPr>
      <w:r w:rsidRPr="00F01036">
        <w:rPr>
          <w:rFonts w:ascii="Calibri" w:hAnsi="Calibri"/>
          <w:b/>
        </w:rPr>
        <w:t>Commercial Market Landscape &amp; Climate Resilience:</w:t>
      </w:r>
      <w:r w:rsidRPr="00F01036">
        <w:rPr>
          <w:rFonts w:ascii="Calibri" w:hAnsi="Calibri"/>
        </w:rPr>
        <w:t xml:space="preserve"> Global market expansion trends, investment momentum, economic growth drivers, and crop science innovations targeting climate adaptation </w:t>
      </w:r>
      <w:r w:rsidR="00856E77" w:rsidRPr="00F01036">
        <w:rPr>
          <w:rFonts w:ascii="Calibri" w:hAnsi="Calibri"/>
        </w:rPr>
        <w:t>[3, 4, 13</w:t>
      </w:r>
      <w:r w:rsidRPr="00F01036">
        <w:rPr>
          <w:rFonts w:ascii="Calibri" w:hAnsi="Calibri"/>
        </w:rPr>
        <w:t>].</w:t>
      </w:r>
    </w:p>
    <w:p w14:paraId="35D35346" w14:textId="1D3E3A17" w:rsidR="00235775" w:rsidRPr="00F01036" w:rsidRDefault="00000000">
      <w:pPr>
        <w:pStyle w:val="ListBullet"/>
        <w:spacing w:after="80"/>
      </w:pPr>
      <w:r w:rsidRPr="00F01036">
        <w:rPr>
          <w:rFonts w:ascii="Calibri" w:hAnsi="Calibri"/>
          <w:b/>
        </w:rPr>
        <w:t>Next-Generation Microbes &amp; Biofertilizer Technologies:</w:t>
      </w:r>
      <w:r w:rsidRPr="00F01036">
        <w:rPr>
          <w:rFonts w:ascii="Calibri" w:hAnsi="Calibri"/>
        </w:rPr>
        <w:t xml:space="preserve"> Metagenomic strain discovery from extremophiles, CRISPR-Cas9 microbial engineering, multi-omics profiling, nano-encapsulation formulations, multi-strain consortia, and GHG mitigation </w:t>
      </w:r>
      <w:r w:rsidR="00856E77" w:rsidRPr="00F01036">
        <w:rPr>
          <w:rFonts w:ascii="Calibri" w:hAnsi="Calibri"/>
        </w:rPr>
        <w:t>[5, 7, 8, 11</w:t>
      </w:r>
      <w:r w:rsidRPr="00F01036">
        <w:rPr>
          <w:rFonts w:ascii="Calibri" w:hAnsi="Calibri"/>
        </w:rPr>
        <w:t>].</w:t>
      </w:r>
    </w:p>
    <w:p w14:paraId="072E80F8" w14:textId="7544E425" w:rsidR="00235775" w:rsidRPr="00F01036" w:rsidRDefault="00000000">
      <w:pPr>
        <w:pStyle w:val="ListBullet"/>
        <w:spacing w:after="80"/>
      </w:pPr>
      <w:r w:rsidRPr="00F01036">
        <w:rPr>
          <w:rFonts w:ascii="Calibri" w:hAnsi="Calibri"/>
          <w:b/>
        </w:rPr>
        <w:t>Bio-Based Crop Protection &amp; Waste Valorization:</w:t>
      </w:r>
      <w:r w:rsidRPr="00F01036">
        <w:rPr>
          <w:rFonts w:ascii="Calibri" w:hAnsi="Calibri"/>
        </w:rPr>
        <w:t xml:space="preserve"> Plant growth-promoting bacteria (PGPB), biostimulants, and chitin/chitosan nano-carriers derived from circular bio-waste </w:t>
      </w:r>
      <w:r w:rsidR="00856E77" w:rsidRPr="00F01036">
        <w:rPr>
          <w:rFonts w:ascii="Calibri" w:hAnsi="Calibri"/>
        </w:rPr>
        <w:t>[7, 10, 11</w:t>
      </w:r>
      <w:r w:rsidRPr="00F01036">
        <w:rPr>
          <w:rFonts w:ascii="Calibri" w:hAnsi="Calibri"/>
        </w:rPr>
        <w:t>].</w:t>
      </w:r>
    </w:p>
    <w:p w14:paraId="1E166A16" w14:textId="4C4C40C7" w:rsidR="00235775" w:rsidRPr="00F01036" w:rsidRDefault="00000000">
      <w:pPr>
        <w:pStyle w:val="ListBullet"/>
        <w:spacing w:after="80"/>
      </w:pPr>
      <w:r w:rsidRPr="00F01036">
        <w:rPr>
          <w:rFonts w:ascii="Calibri" w:hAnsi="Calibri"/>
          <w:b/>
        </w:rPr>
        <w:t>Precision Genomics &amp; Field Diagnostics:</w:t>
      </w:r>
      <w:r w:rsidRPr="00F01036">
        <w:rPr>
          <w:rFonts w:ascii="Calibri" w:hAnsi="Calibri"/>
        </w:rPr>
        <w:t xml:space="preserve"> CRISPR-Cas prime/base gene editing, RNA interference (RNAi), marker-assisted breeding, and field-deployable isothermal diagnostics </w:t>
      </w:r>
      <w:r w:rsidR="00856E77" w:rsidRPr="00F01036">
        <w:rPr>
          <w:rFonts w:ascii="Calibri" w:hAnsi="Calibri"/>
        </w:rPr>
        <w:t>[2, 3, 5, 12</w:t>
      </w:r>
      <w:r w:rsidRPr="00F01036">
        <w:rPr>
          <w:rFonts w:ascii="Calibri" w:hAnsi="Calibri"/>
        </w:rPr>
        <w:t>].</w:t>
      </w:r>
    </w:p>
    <w:p w14:paraId="5CF0861D" w14:textId="1A936A92" w:rsidR="00235775" w:rsidRPr="00F01036" w:rsidRDefault="00000000">
      <w:pPr>
        <w:pStyle w:val="ListBullet"/>
        <w:spacing w:after="80"/>
      </w:pPr>
      <w:r w:rsidRPr="00F01036">
        <w:rPr>
          <w:rFonts w:ascii="Calibri" w:hAnsi="Calibri"/>
          <w:b/>
        </w:rPr>
        <w:t>Precision AI &amp; Regional Frameworks:</w:t>
      </w:r>
      <w:r w:rsidRPr="00F01036">
        <w:rPr>
          <w:rFonts w:ascii="Calibri" w:hAnsi="Calibri"/>
        </w:rPr>
        <w:t xml:space="preserve"> Integration of satellite remote sensing (e.g., Farmonaut), smart hydroponics (AgriSage), and IISc's game-theoretic GRAMA program </w:t>
      </w:r>
      <w:r w:rsidR="00856E77" w:rsidRPr="00F01036">
        <w:rPr>
          <w:rFonts w:ascii="Calibri" w:hAnsi="Calibri"/>
        </w:rPr>
        <w:t>[1, 4, 9]</w:t>
      </w:r>
      <w:r w:rsidRPr="00F01036">
        <w:rPr>
          <w:rFonts w:ascii="Calibri" w:hAnsi="Calibri"/>
        </w:rPr>
        <w:t>.</w:t>
      </w:r>
    </w:p>
    <w:p w14:paraId="32042820" w14:textId="0C931848" w:rsidR="00856E77" w:rsidRPr="00F01036" w:rsidRDefault="00061FEF" w:rsidP="00856E77">
      <w:pPr>
        <w:keepNext/>
        <w:spacing w:before="320" w:after="120"/>
        <w:rPr>
          <w:rFonts w:ascii="Calibri" w:hAnsi="Calibri"/>
          <w:b/>
          <w:sz w:val="30"/>
          <w:u w:val="single"/>
        </w:rPr>
      </w:pPr>
      <w:r w:rsidRPr="00F01036">
        <w:rPr>
          <w:rFonts w:ascii="Calibri" w:hAnsi="Calibri"/>
          <w:b/>
          <w:sz w:val="30"/>
          <w:u w:val="single"/>
        </w:rPr>
        <w:t xml:space="preserve">Crop Science Innovations </w:t>
      </w:r>
      <w:r w:rsidRPr="00F01036">
        <w:rPr>
          <w:rFonts w:ascii="Calibri" w:hAnsi="Calibri"/>
          <w:b/>
          <w:sz w:val="30"/>
          <w:u w:val="single"/>
        </w:rPr>
        <w:t>and Next-Generation Biofertilizers</w:t>
      </w:r>
      <w:r w:rsidRPr="00F01036">
        <w:rPr>
          <w:rFonts w:ascii="Calibri" w:hAnsi="Calibri"/>
          <w:b/>
          <w:sz w:val="30"/>
          <w:u w:val="single"/>
        </w:rPr>
        <w:t>:</w:t>
      </w:r>
    </w:p>
    <w:p w14:paraId="52211A2B" w14:textId="7B47ABBC" w:rsidR="00856E77" w:rsidRPr="00F01036" w:rsidRDefault="00061FEF" w:rsidP="00F01036">
      <w:pPr>
        <w:keepNext/>
        <w:spacing w:before="320" w:after="120"/>
        <w:rPr>
          <w:rFonts w:ascii="Calibri" w:hAnsi="Calibri"/>
          <w:b/>
          <w:sz w:val="30"/>
        </w:rPr>
      </w:pPr>
      <w:r w:rsidRPr="00F01036">
        <w:rPr>
          <w:rFonts w:ascii="Calibri" w:hAnsi="Calibri"/>
        </w:rPr>
        <w:t>As climate change causes extreme weather events and becomes more unpredictable, crop science innovation is the first step towards agricultural resilience [</w:t>
      </w:r>
      <w:r w:rsidR="00856E77" w:rsidRPr="00F01036">
        <w:rPr>
          <w:rFonts w:ascii="Calibri" w:hAnsi="Calibri"/>
        </w:rPr>
        <w:t>3</w:t>
      </w:r>
      <w:r w:rsidRPr="00F01036">
        <w:rPr>
          <w:rFonts w:ascii="Calibri" w:hAnsi="Calibri"/>
        </w:rPr>
        <w:t>]</w:t>
      </w:r>
      <w:r w:rsidRPr="00F01036">
        <w:rPr>
          <w:rFonts w:ascii="Calibri" w:hAnsi="Calibri"/>
        </w:rPr>
        <w:t xml:space="preserve">. </w:t>
      </w:r>
      <w:r w:rsidRPr="00F01036">
        <w:rPr>
          <w:rFonts w:ascii="Calibri" w:hAnsi="Calibri"/>
        </w:rPr>
        <w:t>Modern biofertilizer development has transitioned to engineered, metagenomically discovered microbial consortia capable of thriving in harsh agronomic environments [</w:t>
      </w:r>
      <w:r w:rsidR="00856E77" w:rsidRPr="00F01036">
        <w:rPr>
          <w:rFonts w:ascii="Calibri" w:hAnsi="Calibri"/>
        </w:rPr>
        <w:t>5,7,8</w:t>
      </w:r>
      <w:r w:rsidRPr="00F01036">
        <w:rPr>
          <w:rFonts w:ascii="Calibri" w:hAnsi="Calibri"/>
        </w:rPr>
        <w:t>]</w:t>
      </w:r>
      <w:r w:rsidRPr="00F01036">
        <w:rPr>
          <w:rFonts w:ascii="Calibri" w:hAnsi="Calibri"/>
        </w:rPr>
        <w:t>.</w:t>
      </w:r>
    </w:p>
    <w:p w14:paraId="20376037" w14:textId="60A8C6E5" w:rsidR="00061FEF" w:rsidRPr="00F01036" w:rsidRDefault="00F01036" w:rsidP="00061FEF">
      <w:pPr>
        <w:spacing w:after="120"/>
      </w:pPr>
      <w:r w:rsidRPr="00F01036">
        <w:rPr>
          <w:rFonts w:ascii="Calibri" w:hAnsi="Calibri"/>
          <w:b/>
          <w:sz w:val="25"/>
        </w:rPr>
        <w:t xml:space="preserve">1. </w:t>
      </w:r>
      <w:r w:rsidR="00061FEF" w:rsidRPr="00F01036">
        <w:rPr>
          <w:rFonts w:ascii="Calibri" w:hAnsi="Calibri"/>
          <w:b/>
          <w:sz w:val="25"/>
        </w:rPr>
        <w:t>Crop Science Innovations for Climate Adaptability</w:t>
      </w:r>
      <w:r w:rsidR="00061FEF" w:rsidRPr="00F01036">
        <w:rPr>
          <w:rFonts w:ascii="Calibri" w:hAnsi="Calibri"/>
          <w:b/>
          <w:sz w:val="25"/>
        </w:rPr>
        <w:t>:</w:t>
      </w:r>
    </w:p>
    <w:p w14:paraId="0772DDF9" w14:textId="1E4A2922" w:rsidR="00061FEF" w:rsidRPr="00F01036" w:rsidRDefault="00061FEF" w:rsidP="00061FEF">
      <w:pPr>
        <w:pStyle w:val="ListBullet"/>
        <w:spacing w:after="80"/>
      </w:pPr>
      <w:r w:rsidRPr="00F01036">
        <w:rPr>
          <w:rFonts w:ascii="Calibri" w:hAnsi="Calibri"/>
          <w:b/>
        </w:rPr>
        <w:t>Abiotic Stress Tolerance:</w:t>
      </w:r>
      <w:r w:rsidRPr="00F01036">
        <w:rPr>
          <w:rFonts w:ascii="Calibri" w:hAnsi="Calibri"/>
        </w:rPr>
        <w:t xml:space="preserve"> Advanced genetic platforms and bio</w:t>
      </w:r>
      <w:r w:rsidRPr="00F01036">
        <w:rPr>
          <w:rFonts w:ascii="Calibri" w:hAnsi="Calibri"/>
        </w:rPr>
        <w:t>-</w:t>
      </w:r>
      <w:r w:rsidRPr="00F01036">
        <w:rPr>
          <w:rFonts w:ascii="Calibri" w:hAnsi="Calibri"/>
        </w:rPr>
        <w:t>stimulant formulations are enabling crops to withstand severe heat waves, extended droughts, and extreme soil salinity [</w:t>
      </w:r>
      <w:r w:rsidR="00856E77" w:rsidRPr="00F01036">
        <w:rPr>
          <w:rFonts w:ascii="Calibri" w:hAnsi="Calibri"/>
        </w:rPr>
        <w:t>3,12</w:t>
      </w:r>
      <w:r w:rsidRPr="00F01036">
        <w:rPr>
          <w:rFonts w:ascii="Calibri" w:hAnsi="Calibri"/>
        </w:rPr>
        <w:t>].</w:t>
      </w:r>
    </w:p>
    <w:p w14:paraId="5CBA5194" w14:textId="359D1F2D" w:rsidR="00061FEF" w:rsidRPr="00F01036" w:rsidRDefault="00061FEF" w:rsidP="00061FEF">
      <w:pPr>
        <w:pStyle w:val="ListBullet"/>
        <w:spacing w:after="80"/>
      </w:pPr>
      <w:r w:rsidRPr="00F01036">
        <w:rPr>
          <w:rFonts w:ascii="Calibri" w:hAnsi="Calibri"/>
          <w:b/>
        </w:rPr>
        <w:lastRenderedPageBreak/>
        <w:t>Nutrient Efficiency &amp; Carbon Sequestration:</w:t>
      </w:r>
      <w:r w:rsidRPr="00F01036">
        <w:rPr>
          <w:rFonts w:ascii="Calibri" w:hAnsi="Calibri"/>
        </w:rPr>
        <w:t xml:space="preserve"> Innovations in synthetic biology are targeting enhanced photosynthetic pathways (C3 to C4 efficiency upgrades) and biological nitrogen fixation in non-leguminous crops, reducing reliance on synthetic fertilizers [</w:t>
      </w:r>
      <w:r w:rsidR="00856E77" w:rsidRPr="00F01036">
        <w:rPr>
          <w:rFonts w:ascii="Calibri" w:hAnsi="Calibri"/>
        </w:rPr>
        <w:t>3,5</w:t>
      </w:r>
      <w:r w:rsidRPr="00F01036">
        <w:rPr>
          <w:rFonts w:ascii="Calibri" w:hAnsi="Calibri"/>
        </w:rPr>
        <w:t>].</w:t>
      </w:r>
    </w:p>
    <w:p w14:paraId="7BEB721A" w14:textId="40281484" w:rsidR="00235775" w:rsidRPr="00F01036" w:rsidRDefault="00061FEF" w:rsidP="00061FEF">
      <w:pPr>
        <w:pStyle w:val="ListBullet"/>
        <w:spacing w:after="80"/>
      </w:pPr>
      <w:r w:rsidRPr="00F01036">
        <w:rPr>
          <w:rFonts w:ascii="Calibri" w:hAnsi="Calibri"/>
          <w:b/>
        </w:rPr>
        <w:t>Sustainable Agrochemical Substitutes:</w:t>
      </w:r>
      <w:r w:rsidRPr="00F01036">
        <w:rPr>
          <w:rFonts w:ascii="Calibri" w:hAnsi="Calibri"/>
        </w:rPr>
        <w:t xml:space="preserve"> Biological pest control products—such as RNAi sprays and peptide-based crop protection—are replacing traditional synthetic active ingredients that face regulatory phase-outs [</w:t>
      </w:r>
      <w:r w:rsidR="00856E77" w:rsidRPr="00F01036">
        <w:rPr>
          <w:rFonts w:ascii="Calibri" w:hAnsi="Calibri"/>
        </w:rPr>
        <w:t>3,4</w:t>
      </w:r>
      <w:r w:rsidRPr="00F01036">
        <w:rPr>
          <w:rFonts w:ascii="Calibri" w:hAnsi="Calibri"/>
        </w:rPr>
        <w:t>].</w:t>
      </w:r>
    </w:p>
    <w:p w14:paraId="26239429" w14:textId="0D503C77" w:rsidR="008B125A" w:rsidRPr="00F01036" w:rsidRDefault="008B125A" w:rsidP="008B125A">
      <w:pPr>
        <w:pStyle w:val="ListBullet"/>
        <w:spacing w:after="80"/>
      </w:pPr>
      <w:r w:rsidRPr="00F01036">
        <w:rPr>
          <w:rFonts w:ascii="Calibri" w:hAnsi="Calibri"/>
          <w:b/>
        </w:rPr>
        <w:t>Greenhouse Gas (GHG) Reduction:</w:t>
      </w:r>
      <w:r w:rsidRPr="00F01036">
        <w:rPr>
          <w:rFonts w:ascii="Calibri" w:hAnsi="Calibri"/>
        </w:rPr>
        <w:t xml:space="preserve"> Engineered microbial formulations actively function as carbon sinks while suppressing methane (CH4) emissions in flooded paddy fields and nitrous oxide (N2O) emissions in upland cropping systems [</w:t>
      </w:r>
      <w:r w:rsidR="00901898" w:rsidRPr="00F01036">
        <w:rPr>
          <w:rFonts w:ascii="Calibri" w:hAnsi="Calibri"/>
        </w:rPr>
        <w:t>5,8</w:t>
      </w:r>
      <w:r w:rsidRPr="00F01036">
        <w:rPr>
          <w:rFonts w:ascii="Calibri" w:hAnsi="Calibri"/>
        </w:rPr>
        <w:t>].</w:t>
      </w:r>
    </w:p>
    <w:p w14:paraId="1C132949" w14:textId="10092A7D" w:rsidR="008B125A" w:rsidRPr="00F01036" w:rsidRDefault="008B125A" w:rsidP="008B125A">
      <w:pPr>
        <w:pStyle w:val="ListBullet"/>
        <w:spacing w:after="80"/>
      </w:pPr>
      <w:r w:rsidRPr="00F01036">
        <w:rPr>
          <w:rFonts w:ascii="Calibri" w:hAnsi="Calibri"/>
          <w:b/>
        </w:rPr>
        <w:t>AI-Selected Microbial Formulations:</w:t>
      </w:r>
      <w:r w:rsidRPr="00F01036">
        <w:rPr>
          <w:rFonts w:ascii="Calibri" w:hAnsi="Calibri"/>
        </w:rPr>
        <w:t xml:space="preserve"> AI-driven strain selection tools combine soil microbiome sequencing, regional climatic data, and crop genetics to design tailored microbial formulations optimized for specific crop types, soil chemistries, and localized climate stresses [</w:t>
      </w:r>
      <w:r w:rsidR="00901898" w:rsidRPr="00F01036">
        <w:rPr>
          <w:rFonts w:ascii="Calibri" w:hAnsi="Calibri"/>
        </w:rPr>
        <w:t>4,5</w:t>
      </w:r>
      <w:r w:rsidRPr="00F01036">
        <w:rPr>
          <w:rFonts w:ascii="Calibri" w:hAnsi="Calibri"/>
        </w:rPr>
        <w:t>].</w:t>
      </w:r>
    </w:p>
    <w:p w14:paraId="1BA72F29" w14:textId="3479DF0E" w:rsidR="00235775" w:rsidRPr="00F01036" w:rsidRDefault="00F01036">
      <w:pPr>
        <w:keepNext/>
        <w:spacing w:before="240" w:after="80"/>
      </w:pPr>
      <w:r w:rsidRPr="00F01036">
        <w:rPr>
          <w:rFonts w:ascii="Calibri" w:hAnsi="Calibri"/>
          <w:b/>
          <w:sz w:val="25"/>
        </w:rPr>
        <w:t xml:space="preserve">2. </w:t>
      </w:r>
      <w:r w:rsidR="00000000" w:rsidRPr="00F01036">
        <w:rPr>
          <w:rFonts w:ascii="Calibri" w:hAnsi="Calibri"/>
          <w:b/>
          <w:sz w:val="25"/>
        </w:rPr>
        <w:t>Strain Discovery via Metagenomics &amp; Extremophiles</w:t>
      </w:r>
      <w:r w:rsidR="00061FEF" w:rsidRPr="00F01036">
        <w:rPr>
          <w:rFonts w:ascii="Calibri" w:hAnsi="Calibri"/>
          <w:b/>
          <w:sz w:val="25"/>
        </w:rPr>
        <w:t>:</w:t>
      </w:r>
    </w:p>
    <w:p w14:paraId="77C8F57C" w14:textId="25C7E7CE" w:rsidR="00235775" w:rsidRPr="00F01036" w:rsidRDefault="00000000">
      <w:pPr>
        <w:spacing w:after="120"/>
      </w:pPr>
      <w:r w:rsidRPr="00F01036">
        <w:rPr>
          <w:rFonts w:ascii="Calibri" w:hAnsi="Calibri"/>
        </w:rPr>
        <w:t>Culture-independent metagenomic approaches have enabled the isolation of novel, highly efficient nitrogen-fixing and nutrient-solubilizing bacterial strains directly from extreme environments like saline-alkaline soils, degraded lands, and geothermal springs [</w:t>
      </w:r>
      <w:r w:rsidR="00901898" w:rsidRPr="00F01036">
        <w:rPr>
          <w:rFonts w:ascii="Calibri" w:hAnsi="Calibri"/>
        </w:rPr>
        <w:t>5,8</w:t>
      </w:r>
      <w:r w:rsidRPr="00F01036">
        <w:rPr>
          <w:rFonts w:ascii="Calibri" w:hAnsi="Calibri"/>
        </w:rPr>
        <w:t>]. Key isolated extremophilic species include:</w:t>
      </w:r>
    </w:p>
    <w:p w14:paraId="737E7BB9" w14:textId="73450925" w:rsidR="00235775" w:rsidRPr="00F01036" w:rsidRDefault="00000000">
      <w:pPr>
        <w:pStyle w:val="ListBullet"/>
        <w:spacing w:after="80"/>
      </w:pPr>
      <w:r w:rsidRPr="00F01036">
        <w:rPr>
          <w:rFonts w:ascii="Calibri" w:hAnsi="Calibri"/>
          <w:b/>
        </w:rPr>
        <w:t>Bacillus safensis:</w:t>
      </w:r>
      <w:r w:rsidRPr="00F01036">
        <w:rPr>
          <w:rFonts w:ascii="Calibri" w:hAnsi="Calibri"/>
        </w:rPr>
        <w:t xml:space="preserve"> Demonstrates high osmotic tolerance and phosphate solubilization efficiency in degraded, nutrient-depleted soils [</w:t>
      </w:r>
      <w:r w:rsidR="00901898" w:rsidRPr="00F01036">
        <w:rPr>
          <w:rFonts w:ascii="Calibri" w:hAnsi="Calibri"/>
        </w:rPr>
        <w:t>5,7</w:t>
      </w:r>
      <w:r w:rsidRPr="00F01036">
        <w:rPr>
          <w:rFonts w:ascii="Calibri" w:hAnsi="Calibri"/>
        </w:rPr>
        <w:t>].</w:t>
      </w:r>
    </w:p>
    <w:p w14:paraId="565D54C7" w14:textId="3FA2BDA5" w:rsidR="00235775" w:rsidRPr="00F01036" w:rsidRDefault="00000000">
      <w:pPr>
        <w:pStyle w:val="ListBullet"/>
        <w:spacing w:after="80"/>
      </w:pPr>
      <w:r w:rsidRPr="00F01036">
        <w:rPr>
          <w:rFonts w:ascii="Calibri" w:hAnsi="Calibri"/>
          <w:b/>
        </w:rPr>
        <w:t>Pseudomonas putida:</w:t>
      </w:r>
      <w:r w:rsidRPr="00F01036">
        <w:rPr>
          <w:rFonts w:ascii="Calibri" w:hAnsi="Calibri"/>
        </w:rPr>
        <w:t xml:space="preserve"> Promotes root colonization, siderophore production, and heavy metal chelation under variable soil pH </w:t>
      </w:r>
      <w:r w:rsidR="00061FEF" w:rsidRPr="00F01036">
        <w:rPr>
          <w:rFonts w:ascii="Calibri" w:hAnsi="Calibri"/>
        </w:rPr>
        <w:t>[</w:t>
      </w:r>
      <w:r w:rsidR="00901898" w:rsidRPr="00F01036">
        <w:rPr>
          <w:rFonts w:ascii="Calibri" w:hAnsi="Calibri"/>
        </w:rPr>
        <w:t>7,8</w:t>
      </w:r>
      <w:r w:rsidRPr="00F01036">
        <w:rPr>
          <w:rFonts w:ascii="Calibri" w:hAnsi="Calibri"/>
        </w:rPr>
        <w:t>].</w:t>
      </w:r>
    </w:p>
    <w:p w14:paraId="558A37C6" w14:textId="4624D819" w:rsidR="00235775" w:rsidRPr="00F01036" w:rsidRDefault="00000000">
      <w:pPr>
        <w:pStyle w:val="ListBullet"/>
        <w:spacing w:after="80"/>
      </w:pPr>
      <w:r w:rsidRPr="00F01036">
        <w:rPr>
          <w:rFonts w:ascii="Calibri" w:hAnsi="Calibri"/>
          <w:b/>
        </w:rPr>
        <w:t>Halotolerant Halothiobacillus:</w:t>
      </w:r>
      <w:r w:rsidRPr="00F01036">
        <w:rPr>
          <w:rFonts w:ascii="Calibri" w:hAnsi="Calibri"/>
        </w:rPr>
        <w:t xml:space="preserve"> Thrives in extreme saline-alkaline soils, facilitating sulfur oxidation and nutrient mobilization [</w:t>
      </w:r>
      <w:r w:rsidR="00901898" w:rsidRPr="00F01036">
        <w:rPr>
          <w:rFonts w:ascii="Calibri" w:hAnsi="Calibri"/>
        </w:rPr>
        <w:t>5,6</w:t>
      </w:r>
      <w:r w:rsidRPr="00F01036">
        <w:rPr>
          <w:rFonts w:ascii="Calibri" w:hAnsi="Calibri"/>
        </w:rPr>
        <w:t>].</w:t>
      </w:r>
    </w:p>
    <w:p w14:paraId="328A8CD5" w14:textId="0D49835D" w:rsidR="00235775" w:rsidRPr="00F01036" w:rsidRDefault="00F01036">
      <w:pPr>
        <w:keepNext/>
        <w:spacing w:before="240" w:after="80"/>
      </w:pPr>
      <w:r w:rsidRPr="00F01036">
        <w:rPr>
          <w:rFonts w:ascii="Calibri" w:hAnsi="Calibri"/>
          <w:b/>
          <w:sz w:val="25"/>
        </w:rPr>
        <w:t xml:space="preserve">3. </w:t>
      </w:r>
      <w:r w:rsidR="00000000" w:rsidRPr="00F01036">
        <w:rPr>
          <w:rFonts w:ascii="Calibri" w:hAnsi="Calibri"/>
          <w:b/>
          <w:sz w:val="25"/>
        </w:rPr>
        <w:t>Genetic &amp; Metabolic Engineering via CRISPR-Cas9</w:t>
      </w:r>
    </w:p>
    <w:p w14:paraId="0849A26C" w14:textId="25034351" w:rsidR="00235775" w:rsidRPr="00F01036" w:rsidRDefault="00000000">
      <w:pPr>
        <w:pStyle w:val="ListBullet"/>
        <w:spacing w:after="80"/>
      </w:pPr>
      <w:r w:rsidRPr="00F01036">
        <w:rPr>
          <w:rFonts w:ascii="Calibri" w:hAnsi="Calibri"/>
          <w:b/>
        </w:rPr>
        <w:t>Aerobic Nitrogen Fixation in Non-Legumes:</w:t>
      </w:r>
      <w:r w:rsidRPr="00F01036">
        <w:rPr>
          <w:rFonts w:ascii="Calibri" w:hAnsi="Calibri"/>
        </w:rPr>
        <w:t xml:space="preserve"> Precision genomic editing (including CRISPR-based modifications) has been utilized to enhance nitrogenase enzyme activity under aerobic conditions. This overcomes oxygen-sensitivity limitations, opening up possibilities for expanding biological nitrogen fixation directly to non-leguminous staple crops like maize, rice, and wheat [</w:t>
      </w:r>
      <w:r w:rsidR="00901898" w:rsidRPr="00F01036">
        <w:rPr>
          <w:rFonts w:ascii="Calibri" w:hAnsi="Calibri"/>
        </w:rPr>
        <w:t>5,8,12</w:t>
      </w:r>
      <w:r w:rsidRPr="00F01036">
        <w:rPr>
          <w:rFonts w:ascii="Calibri" w:hAnsi="Calibri"/>
        </w:rPr>
        <w:t>].</w:t>
      </w:r>
    </w:p>
    <w:p w14:paraId="0BE8B0F3" w14:textId="1C2BEE73" w:rsidR="00235775" w:rsidRPr="00F01036" w:rsidRDefault="00000000">
      <w:pPr>
        <w:pStyle w:val="ListBullet"/>
        <w:spacing w:after="80"/>
      </w:pPr>
      <w:r w:rsidRPr="00F01036">
        <w:rPr>
          <w:rFonts w:ascii="Calibri" w:hAnsi="Calibri"/>
          <w:b/>
        </w:rPr>
        <w:t>Microbial Stress Resilience:</w:t>
      </w:r>
      <w:r w:rsidRPr="00F01036">
        <w:rPr>
          <w:rFonts w:ascii="Calibri" w:hAnsi="Calibri"/>
        </w:rPr>
        <w:t xml:space="preserve"> CRISPR-Cas9 is actively applied to engineer microbial strains to remain functionally active and resilient under variable atmospheric oxygen concentrations and elevated temperature conditions, preventing </w:t>
      </w:r>
      <w:r w:rsidR="008B125A" w:rsidRPr="00F01036">
        <w:rPr>
          <w:rFonts w:ascii="Calibri" w:hAnsi="Calibri"/>
        </w:rPr>
        <w:t xml:space="preserve">decrease in </w:t>
      </w:r>
      <w:r w:rsidRPr="00F01036">
        <w:rPr>
          <w:rFonts w:ascii="Calibri" w:hAnsi="Calibri"/>
        </w:rPr>
        <w:t>field</w:t>
      </w:r>
      <w:r w:rsidR="008B125A" w:rsidRPr="00F01036">
        <w:rPr>
          <w:rFonts w:ascii="Calibri" w:hAnsi="Calibri"/>
        </w:rPr>
        <w:t xml:space="preserve"> efficiency </w:t>
      </w:r>
      <w:r w:rsidRPr="00F01036">
        <w:rPr>
          <w:rFonts w:ascii="Calibri" w:hAnsi="Calibri"/>
        </w:rPr>
        <w:t>[</w:t>
      </w:r>
      <w:r w:rsidR="00901898" w:rsidRPr="00F01036">
        <w:rPr>
          <w:rFonts w:ascii="Calibri" w:hAnsi="Calibri"/>
        </w:rPr>
        <w:t>5,8</w:t>
      </w:r>
      <w:r w:rsidRPr="00F01036">
        <w:rPr>
          <w:rFonts w:ascii="Calibri" w:hAnsi="Calibri"/>
        </w:rPr>
        <w:t>].</w:t>
      </w:r>
    </w:p>
    <w:p w14:paraId="78D91817" w14:textId="75FBED78" w:rsidR="00235775" w:rsidRPr="00F01036" w:rsidRDefault="00F01036">
      <w:pPr>
        <w:keepNext/>
        <w:spacing w:before="240" w:after="80"/>
      </w:pPr>
      <w:r w:rsidRPr="00F01036">
        <w:rPr>
          <w:rFonts w:ascii="Calibri" w:hAnsi="Calibri"/>
          <w:b/>
          <w:sz w:val="25"/>
        </w:rPr>
        <w:t xml:space="preserve">4. </w:t>
      </w:r>
      <w:r w:rsidR="00000000" w:rsidRPr="00F01036">
        <w:rPr>
          <w:rFonts w:ascii="Calibri" w:hAnsi="Calibri"/>
          <w:b/>
          <w:sz w:val="25"/>
        </w:rPr>
        <w:t>Multi-Omics, Genome Mining, and Targeted Gene Profiling</w:t>
      </w:r>
    </w:p>
    <w:p w14:paraId="3B7E24F0" w14:textId="114A9996" w:rsidR="00235775" w:rsidRPr="00F01036" w:rsidRDefault="00000000">
      <w:pPr>
        <w:spacing w:after="120"/>
      </w:pPr>
      <w:r w:rsidRPr="00F01036">
        <w:rPr>
          <w:rFonts w:ascii="Calibri" w:hAnsi="Calibri"/>
        </w:rPr>
        <w:t>Integration of multi-omics platforms (genomics, transcriptomics, and proteomics) with genome mining has unraveled complex functional pathways within plant-growth-promoting microbes [</w:t>
      </w:r>
      <w:r w:rsidR="00901898" w:rsidRPr="00F01036">
        <w:rPr>
          <w:rFonts w:ascii="Calibri" w:hAnsi="Calibri"/>
        </w:rPr>
        <w:t>5,8</w:t>
      </w:r>
      <w:r w:rsidRPr="00F01036">
        <w:rPr>
          <w:rFonts w:ascii="Calibri" w:hAnsi="Calibri"/>
        </w:rPr>
        <w:t>]:</w:t>
      </w:r>
    </w:p>
    <w:p w14:paraId="715BEB51" w14:textId="554D555B" w:rsidR="00235775" w:rsidRPr="00F01036" w:rsidRDefault="00000000">
      <w:pPr>
        <w:pStyle w:val="ListBullet"/>
        <w:spacing w:after="80"/>
      </w:pPr>
      <w:r w:rsidRPr="00F01036">
        <w:rPr>
          <w:rFonts w:ascii="Calibri" w:hAnsi="Calibri"/>
          <w:b/>
        </w:rPr>
        <w:t>Targeted Gene Clusters (gcd and pqq):</w:t>
      </w:r>
      <w:r w:rsidRPr="00F01036">
        <w:rPr>
          <w:rFonts w:ascii="Calibri" w:hAnsi="Calibri"/>
        </w:rPr>
        <w:t xml:space="preserve"> Identified specific gene clusters responsible for gluconic acid-driven inorganic phosphate solubilization, converting bound soil phosphorus into plant-available orthophosphate [</w:t>
      </w:r>
      <w:r w:rsidR="00901898" w:rsidRPr="00F01036">
        <w:rPr>
          <w:rFonts w:ascii="Calibri" w:hAnsi="Calibri"/>
        </w:rPr>
        <w:t>5,7</w:t>
      </w:r>
      <w:r w:rsidRPr="00F01036">
        <w:rPr>
          <w:rFonts w:ascii="Calibri" w:hAnsi="Calibri"/>
        </w:rPr>
        <w:t>].</w:t>
      </w:r>
    </w:p>
    <w:p w14:paraId="6E5F8459" w14:textId="7330A4CC" w:rsidR="00235775" w:rsidRPr="00F01036" w:rsidRDefault="00000000">
      <w:pPr>
        <w:pStyle w:val="ListBullet"/>
        <w:spacing w:after="80"/>
      </w:pPr>
      <w:r w:rsidRPr="00F01036">
        <w:rPr>
          <w:rFonts w:ascii="Calibri" w:hAnsi="Calibri"/>
          <w:b/>
        </w:rPr>
        <w:lastRenderedPageBreak/>
        <w:t>Osmoprotectant Biosynthesis:</w:t>
      </w:r>
      <w:r w:rsidRPr="00F01036">
        <w:rPr>
          <w:rFonts w:ascii="Calibri" w:hAnsi="Calibri"/>
        </w:rPr>
        <w:t xml:space="preserve"> Mapped metabolic pathways synthesizing stress-responsive osmoprotectants (such as trehalose and glycine betaine), which protect bacterial cell integrity and root-zone water balance under severe drought [</w:t>
      </w:r>
      <w:r w:rsidR="00901898" w:rsidRPr="00F01036">
        <w:rPr>
          <w:rFonts w:ascii="Calibri" w:hAnsi="Calibri"/>
        </w:rPr>
        <w:t>5,7</w:t>
      </w:r>
      <w:r w:rsidRPr="00F01036">
        <w:rPr>
          <w:rFonts w:ascii="Calibri" w:hAnsi="Calibri"/>
        </w:rPr>
        <w:t>].</w:t>
      </w:r>
    </w:p>
    <w:p w14:paraId="61654955" w14:textId="6FBF86CA" w:rsidR="00235775" w:rsidRPr="00F01036" w:rsidRDefault="00F01036">
      <w:pPr>
        <w:keepNext/>
        <w:spacing w:before="240" w:after="80"/>
      </w:pPr>
      <w:r w:rsidRPr="00F01036">
        <w:rPr>
          <w:rFonts w:ascii="Calibri" w:hAnsi="Calibri"/>
          <w:b/>
          <w:sz w:val="25"/>
        </w:rPr>
        <w:t xml:space="preserve">5. </w:t>
      </w:r>
      <w:r w:rsidR="00000000" w:rsidRPr="00F01036">
        <w:rPr>
          <w:rFonts w:ascii="Calibri" w:hAnsi="Calibri"/>
          <w:b/>
          <w:sz w:val="25"/>
        </w:rPr>
        <w:t>Next-Generation Nano-Formulation Technologies</w:t>
      </w:r>
      <w:r w:rsidR="008B125A" w:rsidRPr="00F01036">
        <w:rPr>
          <w:rFonts w:ascii="Calibri" w:hAnsi="Calibri"/>
          <w:b/>
          <w:sz w:val="25"/>
        </w:rPr>
        <w:t>:</w:t>
      </w:r>
    </w:p>
    <w:p w14:paraId="05BB3D97" w14:textId="171CE6B0" w:rsidR="00235775" w:rsidRPr="00F01036" w:rsidRDefault="00000000">
      <w:pPr>
        <w:spacing w:after="120"/>
      </w:pPr>
      <w:r w:rsidRPr="00F01036">
        <w:rPr>
          <w:rFonts w:ascii="Calibri" w:hAnsi="Calibri"/>
        </w:rPr>
        <w:t>To overcome poor microbial survival during transportation, storage, and field application, advanced delivery systems shield inoculants from environmental degradation [</w:t>
      </w:r>
      <w:r w:rsidR="00901898" w:rsidRPr="00F01036">
        <w:rPr>
          <w:rFonts w:ascii="Calibri" w:hAnsi="Calibri"/>
        </w:rPr>
        <w:t>11</w:t>
      </w:r>
      <w:r w:rsidRPr="00F01036">
        <w:rPr>
          <w:rFonts w:ascii="Calibri" w:hAnsi="Calibri"/>
        </w:rPr>
        <w:t>]:</w:t>
      </w:r>
    </w:p>
    <w:p w14:paraId="7B36790F" w14:textId="1C15FBFC" w:rsidR="00235775" w:rsidRPr="00F01036" w:rsidRDefault="00000000">
      <w:pPr>
        <w:pStyle w:val="ListBullet"/>
        <w:spacing w:after="80"/>
      </w:pPr>
      <w:r w:rsidRPr="00F01036">
        <w:rPr>
          <w:rFonts w:ascii="Calibri" w:hAnsi="Calibri"/>
          <w:b/>
        </w:rPr>
        <w:t>Nano-Encapsulation &amp; Nanoclay Carriers:</w:t>
      </w:r>
      <w:r w:rsidRPr="00F01036">
        <w:rPr>
          <w:rFonts w:ascii="Calibri" w:hAnsi="Calibri"/>
        </w:rPr>
        <w:t xml:space="preserve"> Polymeric nano-encapsulation, nanoclay carriers, and alginate bead encapsulation physically protect bacterial cells from UV degradation, desiccation, and soil microbial competition, extending shelf life and providing controlled, rhizosphere-targeted release [</w:t>
      </w:r>
      <w:r w:rsidR="00901898" w:rsidRPr="00F01036">
        <w:rPr>
          <w:rFonts w:ascii="Calibri" w:hAnsi="Calibri"/>
        </w:rPr>
        <w:t>10,11</w:t>
      </w:r>
      <w:r w:rsidRPr="00F01036">
        <w:rPr>
          <w:rFonts w:ascii="Calibri" w:hAnsi="Calibri"/>
        </w:rPr>
        <w:t>].</w:t>
      </w:r>
    </w:p>
    <w:p w14:paraId="73CF1EEB" w14:textId="6238F84A" w:rsidR="00235775" w:rsidRPr="00F01036" w:rsidRDefault="00F01036">
      <w:pPr>
        <w:keepNext/>
        <w:spacing w:before="240" w:after="80"/>
      </w:pPr>
      <w:r w:rsidRPr="00F01036">
        <w:rPr>
          <w:rFonts w:ascii="Calibri" w:hAnsi="Calibri"/>
          <w:b/>
          <w:sz w:val="25"/>
        </w:rPr>
        <w:t xml:space="preserve">6. </w:t>
      </w:r>
      <w:r w:rsidR="00000000" w:rsidRPr="00F01036">
        <w:rPr>
          <w:rFonts w:ascii="Calibri" w:hAnsi="Calibri"/>
          <w:b/>
          <w:sz w:val="25"/>
        </w:rPr>
        <w:t>Synergistic Microbial Consortia and Co-Inoculation</w:t>
      </w:r>
      <w:r w:rsidR="008B125A" w:rsidRPr="00F01036">
        <w:rPr>
          <w:rFonts w:ascii="Calibri" w:hAnsi="Calibri"/>
          <w:b/>
          <w:sz w:val="25"/>
        </w:rPr>
        <w:t>:</w:t>
      </w:r>
    </w:p>
    <w:p w14:paraId="6BE221EB" w14:textId="310E49A7" w:rsidR="00235775" w:rsidRPr="00F01036" w:rsidRDefault="00000000">
      <w:pPr>
        <w:spacing w:after="120"/>
      </w:pPr>
      <w:r w:rsidRPr="00F01036">
        <w:rPr>
          <w:rFonts w:ascii="Calibri" w:hAnsi="Calibri"/>
        </w:rPr>
        <w:t>Shifting away from single-strain inoculants, multi-strain microbial consortia provide multi-functional agronomic benefits [</w:t>
      </w:r>
      <w:r w:rsidR="00901898" w:rsidRPr="00F01036">
        <w:rPr>
          <w:rFonts w:ascii="Calibri" w:hAnsi="Calibri"/>
        </w:rPr>
        <w:t>7,8</w:t>
      </w:r>
      <w:r w:rsidRPr="00F01036">
        <w:rPr>
          <w:rFonts w:ascii="Calibri" w:hAnsi="Calibri"/>
        </w:rPr>
        <w:t>]:</w:t>
      </w:r>
    </w:p>
    <w:p w14:paraId="60E5EDF4" w14:textId="04AA90F5" w:rsidR="00161811" w:rsidRPr="00F01036" w:rsidRDefault="00000000" w:rsidP="00901898">
      <w:pPr>
        <w:pStyle w:val="ListBullet"/>
        <w:spacing w:after="80"/>
      </w:pPr>
      <w:r w:rsidRPr="00F01036">
        <w:rPr>
          <w:rFonts w:ascii="Calibri" w:hAnsi="Calibri"/>
          <w:b/>
        </w:rPr>
        <w:t>Co-Inoculation Dynamics:</w:t>
      </w:r>
      <w:r w:rsidRPr="00F01036">
        <w:rPr>
          <w:rFonts w:ascii="Calibri" w:hAnsi="Calibri"/>
        </w:rPr>
        <w:t xml:space="preserve"> Co-inoculation of complementary microbial pairs (e.g., Rhizobium + Azospirillum or PGPR + Arbuscular Mycorrhizal Fungi [AMF]) yields synergistic advantages. These combinations significantly boost reactive oxygen species (ROS) scavenging enzymes, root biomass expansion, and overall nutrient-use efficiency under stress [</w:t>
      </w:r>
      <w:r w:rsidR="00901898" w:rsidRPr="00F01036">
        <w:rPr>
          <w:rFonts w:ascii="Calibri" w:hAnsi="Calibri"/>
        </w:rPr>
        <w:t>7,8</w:t>
      </w:r>
      <w:r w:rsidRPr="00F01036">
        <w:rPr>
          <w:rFonts w:ascii="Calibri" w:hAnsi="Calibri"/>
        </w:rPr>
        <w:t>].</w:t>
      </w:r>
    </w:p>
    <w:p w14:paraId="6B894717" w14:textId="10E6309C" w:rsidR="00161811" w:rsidRPr="00F01036" w:rsidRDefault="00F01036" w:rsidP="00161811">
      <w:pPr>
        <w:keepNext/>
        <w:spacing w:before="240" w:after="80"/>
      </w:pPr>
      <w:r w:rsidRPr="00F01036">
        <w:rPr>
          <w:rFonts w:ascii="Calibri" w:hAnsi="Calibri"/>
          <w:b/>
          <w:sz w:val="25"/>
        </w:rPr>
        <w:t xml:space="preserve">7. </w:t>
      </w:r>
      <w:r w:rsidR="00161811" w:rsidRPr="00F01036">
        <w:rPr>
          <w:rFonts w:ascii="Calibri" w:hAnsi="Calibri"/>
          <w:b/>
          <w:sz w:val="25"/>
        </w:rPr>
        <w:t>Plant Growth-Promoting Bacteria (PGPB) and Microbe-Mediated Stress Tolerance</w:t>
      </w:r>
    </w:p>
    <w:p w14:paraId="0C793578" w14:textId="24819910" w:rsidR="00161811" w:rsidRPr="00F01036" w:rsidRDefault="00161811" w:rsidP="00161811">
      <w:pPr>
        <w:spacing w:after="120"/>
      </w:pPr>
      <w:r w:rsidRPr="00F01036">
        <w:rPr>
          <w:rFonts w:ascii="Calibri" w:hAnsi="Calibri"/>
        </w:rPr>
        <w:t>Biofertilizers and bio</w:t>
      </w:r>
      <w:r w:rsidR="00901898" w:rsidRPr="00F01036">
        <w:rPr>
          <w:rFonts w:ascii="Calibri" w:hAnsi="Calibri"/>
        </w:rPr>
        <w:t>-</w:t>
      </w:r>
      <w:r w:rsidRPr="00F01036">
        <w:rPr>
          <w:rFonts w:ascii="Calibri" w:hAnsi="Calibri"/>
        </w:rPr>
        <w:t>stimulants utilizing Plant Growth-Promoting Bacteria (PGPB) have emerged as sustainable substitutes for synthetic agrochemicals. Recent studies demonstrate that early inoculation of crops—such as in micropropagated potato cultures during the greenhouse acclimatization phase—dramatically improves physiological resilience, root architecture establishment, and subsequent tuberization. Native PGPB consortia function through synergistic biological pathways [</w:t>
      </w:r>
      <w:r w:rsidR="00901898" w:rsidRPr="00F01036">
        <w:rPr>
          <w:rFonts w:ascii="Calibri" w:hAnsi="Calibri"/>
        </w:rPr>
        <w:t>7</w:t>
      </w:r>
      <w:r w:rsidRPr="00F01036">
        <w:rPr>
          <w:rFonts w:ascii="Calibri" w:hAnsi="Calibri"/>
        </w:rPr>
        <w:t>]:</w:t>
      </w:r>
    </w:p>
    <w:p w14:paraId="2104F6AA" w14:textId="471F6C9A" w:rsidR="00161811" w:rsidRPr="00F01036" w:rsidRDefault="00161811" w:rsidP="00161811">
      <w:pPr>
        <w:pStyle w:val="ListBullet"/>
        <w:spacing w:after="80"/>
      </w:pPr>
      <w:r w:rsidRPr="00F01036">
        <w:rPr>
          <w:rFonts w:ascii="Calibri" w:hAnsi="Calibri"/>
          <w:b/>
        </w:rPr>
        <w:t>Nutrient Solubilization and Mobilization:</w:t>
      </w:r>
      <w:r w:rsidRPr="00F01036">
        <w:rPr>
          <w:rFonts w:ascii="Calibri" w:hAnsi="Calibri"/>
        </w:rPr>
        <w:t xml:space="preserve"> Secretion of organic acids and siderophores to solubilize bound phosphorus and iron, making them bioavailable for plant uptake [</w:t>
      </w:r>
      <w:r w:rsidR="00901898" w:rsidRPr="00F01036">
        <w:rPr>
          <w:rFonts w:ascii="Calibri" w:hAnsi="Calibri"/>
        </w:rPr>
        <w:t>7</w:t>
      </w:r>
      <w:r w:rsidRPr="00F01036">
        <w:rPr>
          <w:rFonts w:ascii="Calibri" w:hAnsi="Calibri"/>
        </w:rPr>
        <w:t>].</w:t>
      </w:r>
    </w:p>
    <w:p w14:paraId="5677A8D4" w14:textId="5C268D2A" w:rsidR="00161811" w:rsidRPr="00F01036" w:rsidRDefault="00161811" w:rsidP="00161811">
      <w:pPr>
        <w:pStyle w:val="ListBullet"/>
        <w:spacing w:after="80"/>
      </w:pPr>
      <w:r w:rsidRPr="00F01036">
        <w:rPr>
          <w:rFonts w:ascii="Calibri" w:hAnsi="Calibri"/>
          <w:b/>
        </w:rPr>
        <w:t>Phytohormone Modulation:</w:t>
      </w:r>
      <w:r w:rsidRPr="00F01036">
        <w:rPr>
          <w:rFonts w:ascii="Calibri" w:hAnsi="Calibri"/>
        </w:rPr>
        <w:t xml:space="preserve"> Regulation of endogenous indole-3-acetic acid (IAA) and 1-aminocyclopropane-1-carboxylate (ACC) deaminase activity to suppress ethylene-mediated stress signaling under drought and salinity conditions [</w:t>
      </w:r>
      <w:r w:rsidR="00901898" w:rsidRPr="00F01036">
        <w:rPr>
          <w:rFonts w:ascii="Calibri" w:hAnsi="Calibri"/>
        </w:rPr>
        <w:t>7</w:t>
      </w:r>
      <w:r w:rsidRPr="00F01036">
        <w:rPr>
          <w:rFonts w:ascii="Calibri" w:hAnsi="Calibri"/>
        </w:rPr>
        <w:t>].</w:t>
      </w:r>
    </w:p>
    <w:p w14:paraId="677F45BF" w14:textId="47DABC75" w:rsidR="008B125A" w:rsidRPr="00F01036" w:rsidRDefault="00161811" w:rsidP="00161811">
      <w:pPr>
        <w:pStyle w:val="ListBullet"/>
        <w:spacing w:after="80"/>
      </w:pPr>
      <w:r w:rsidRPr="00F01036">
        <w:rPr>
          <w:rFonts w:ascii="Calibri" w:hAnsi="Calibri"/>
          <w:b/>
        </w:rPr>
        <w:t>Biocontrol Mechanisms:</w:t>
      </w:r>
      <w:r w:rsidRPr="00F01036">
        <w:rPr>
          <w:rFonts w:ascii="Calibri" w:hAnsi="Calibri"/>
        </w:rPr>
        <w:t xml:space="preserve"> Production of lipopeptides, chitinases, and volatile organic compounds (VOCs) that suppress soil-borne fungal pathogens and enhance plant immunity [</w:t>
      </w:r>
      <w:r w:rsidR="00901898" w:rsidRPr="00F01036">
        <w:rPr>
          <w:rFonts w:ascii="Calibri" w:hAnsi="Calibri"/>
        </w:rPr>
        <w:t>7</w:t>
      </w:r>
      <w:r w:rsidRPr="00F01036">
        <w:rPr>
          <w:rFonts w:ascii="Calibri" w:hAnsi="Calibri"/>
        </w:rPr>
        <w:t>].</w:t>
      </w:r>
    </w:p>
    <w:p w14:paraId="57000D76" w14:textId="77777777" w:rsidR="008B125A" w:rsidRPr="00F01036" w:rsidRDefault="008B125A" w:rsidP="008B125A">
      <w:pPr>
        <w:pStyle w:val="ListBullet"/>
        <w:numPr>
          <w:ilvl w:val="0"/>
          <w:numId w:val="0"/>
        </w:numPr>
        <w:spacing w:after="80"/>
      </w:pPr>
    </w:p>
    <w:p w14:paraId="0CD2A33C" w14:textId="77777777" w:rsidR="008B125A" w:rsidRPr="00F01036" w:rsidRDefault="008B125A" w:rsidP="008B125A">
      <w:pPr>
        <w:pStyle w:val="ListBullet"/>
        <w:numPr>
          <w:ilvl w:val="0"/>
          <w:numId w:val="0"/>
        </w:numPr>
        <w:spacing w:after="80"/>
      </w:pPr>
    </w:p>
    <w:p w14:paraId="696121BD" w14:textId="77777777" w:rsidR="00F01036" w:rsidRPr="00F01036" w:rsidRDefault="00F01036" w:rsidP="00161811">
      <w:pPr>
        <w:pStyle w:val="ListBullet"/>
        <w:numPr>
          <w:ilvl w:val="0"/>
          <w:numId w:val="0"/>
        </w:numPr>
        <w:spacing w:after="80"/>
        <w:rPr>
          <w:rFonts w:ascii="Calibri" w:hAnsi="Calibri"/>
          <w:b/>
          <w:sz w:val="30"/>
          <w:u w:val="single"/>
        </w:rPr>
      </w:pPr>
    </w:p>
    <w:p w14:paraId="2B19B8AF" w14:textId="77777777" w:rsidR="00F01036" w:rsidRPr="00F01036" w:rsidRDefault="00F01036" w:rsidP="00161811">
      <w:pPr>
        <w:pStyle w:val="ListBullet"/>
        <w:numPr>
          <w:ilvl w:val="0"/>
          <w:numId w:val="0"/>
        </w:numPr>
        <w:spacing w:after="80"/>
        <w:rPr>
          <w:rFonts w:ascii="Calibri" w:hAnsi="Calibri"/>
          <w:b/>
          <w:sz w:val="30"/>
          <w:u w:val="single"/>
        </w:rPr>
      </w:pPr>
    </w:p>
    <w:p w14:paraId="615DD0DA" w14:textId="77777777" w:rsidR="00F01036" w:rsidRPr="00F01036" w:rsidRDefault="00F01036" w:rsidP="00161811">
      <w:pPr>
        <w:pStyle w:val="ListBullet"/>
        <w:numPr>
          <w:ilvl w:val="0"/>
          <w:numId w:val="0"/>
        </w:numPr>
        <w:spacing w:after="80"/>
        <w:rPr>
          <w:rFonts w:ascii="Calibri" w:hAnsi="Calibri"/>
          <w:b/>
          <w:sz w:val="30"/>
          <w:u w:val="single"/>
        </w:rPr>
      </w:pPr>
    </w:p>
    <w:p w14:paraId="0096D1EA" w14:textId="67221721" w:rsidR="00235775" w:rsidRPr="00F01036" w:rsidRDefault="00000000" w:rsidP="00161811">
      <w:pPr>
        <w:pStyle w:val="ListBullet"/>
        <w:numPr>
          <w:ilvl w:val="0"/>
          <w:numId w:val="0"/>
        </w:numPr>
        <w:spacing w:after="80"/>
        <w:rPr>
          <w:u w:val="single"/>
        </w:rPr>
      </w:pPr>
      <w:r w:rsidRPr="00F01036">
        <w:rPr>
          <w:rFonts w:ascii="Calibri" w:hAnsi="Calibri"/>
          <w:b/>
          <w:sz w:val="30"/>
          <w:u w:val="single"/>
        </w:rPr>
        <w:lastRenderedPageBreak/>
        <w:t>Advanced Bio-Based Crop Protection and Soil Health</w:t>
      </w:r>
    </w:p>
    <w:p w14:paraId="34FFA439" w14:textId="1EAF739C" w:rsidR="00235775" w:rsidRPr="00F01036" w:rsidRDefault="00000000" w:rsidP="00F01036">
      <w:pPr>
        <w:keepNext/>
        <w:spacing w:before="240" w:after="80"/>
      </w:pPr>
      <w:r w:rsidRPr="00F01036">
        <w:rPr>
          <w:rFonts w:ascii="Calibri" w:hAnsi="Calibri"/>
          <w:b/>
          <w:sz w:val="25"/>
        </w:rPr>
        <w:t>Valorization of Bio-Waste into Precision Biopolymers</w:t>
      </w:r>
    </w:p>
    <w:p w14:paraId="4E4BEA9C" w14:textId="5908351E" w:rsidR="00235775" w:rsidRPr="00F01036" w:rsidRDefault="00000000">
      <w:pPr>
        <w:spacing w:after="120"/>
      </w:pPr>
      <w:r w:rsidRPr="00F01036">
        <w:rPr>
          <w:rFonts w:ascii="Calibri" w:hAnsi="Calibri"/>
        </w:rPr>
        <w:t>The transformation of organic waste streams into functional biopolymers represents a crucial advance in circular bioeconomy principles</w:t>
      </w:r>
      <w:r w:rsidR="00901898" w:rsidRPr="00F01036">
        <w:rPr>
          <w:rFonts w:ascii="Calibri" w:hAnsi="Calibri"/>
        </w:rPr>
        <w:t>:</w:t>
      </w:r>
    </w:p>
    <w:p w14:paraId="51744816" w14:textId="20BE911E" w:rsidR="00235775" w:rsidRPr="00F01036" w:rsidRDefault="00000000">
      <w:pPr>
        <w:pStyle w:val="ListBullet"/>
        <w:spacing w:after="80"/>
      </w:pPr>
      <w:r w:rsidRPr="00F01036">
        <w:rPr>
          <w:rFonts w:ascii="Calibri" w:hAnsi="Calibri"/>
          <w:b/>
        </w:rPr>
        <w:t>Chitin and Chitosan Micro/Nano-Carriers:</w:t>
      </w:r>
      <w:r w:rsidRPr="00F01036">
        <w:rPr>
          <w:rFonts w:ascii="Calibri" w:hAnsi="Calibri"/>
        </w:rPr>
        <w:t xml:space="preserve"> Derived from crustacean shell waste, chitin and chitosan nanostructures serve as multifunctional biostimulants and targeted pesticide delivery vehicles [</w:t>
      </w:r>
      <w:r w:rsidR="00901898" w:rsidRPr="00F01036">
        <w:rPr>
          <w:rFonts w:ascii="Calibri" w:hAnsi="Calibri"/>
        </w:rPr>
        <w:t>10]</w:t>
      </w:r>
      <w:r w:rsidRPr="00F01036">
        <w:rPr>
          <w:rFonts w:ascii="Calibri" w:hAnsi="Calibri"/>
        </w:rPr>
        <w:t>. Chitosan nanoparticles enhance foliar uptake, act as elicitors triggering defense-related enzymes (e.g., chitinase, peroxidase), and shorten seed germination times [</w:t>
      </w:r>
      <w:r w:rsidR="00901898" w:rsidRPr="00F01036">
        <w:rPr>
          <w:rFonts w:ascii="Calibri" w:hAnsi="Calibri"/>
        </w:rPr>
        <w:t>10,11</w:t>
      </w:r>
      <w:r w:rsidRPr="00F01036">
        <w:rPr>
          <w:rFonts w:ascii="Calibri" w:hAnsi="Calibri"/>
        </w:rPr>
        <w:t>].</w:t>
      </w:r>
    </w:p>
    <w:p w14:paraId="74FE5B3E" w14:textId="76A79FAE" w:rsidR="00235775" w:rsidRPr="00F01036" w:rsidRDefault="00000000">
      <w:pPr>
        <w:pStyle w:val="ListBullet"/>
        <w:spacing w:after="80"/>
      </w:pPr>
      <w:r w:rsidRPr="00F01036">
        <w:rPr>
          <w:rFonts w:ascii="Calibri" w:hAnsi="Calibri"/>
          <w:b/>
        </w:rPr>
        <w:t>Soil Remediation and Heavy Metal Chelation:</w:t>
      </w:r>
      <w:r w:rsidRPr="00F01036">
        <w:rPr>
          <w:rFonts w:ascii="Calibri" w:hAnsi="Calibri"/>
        </w:rPr>
        <w:t xml:space="preserve"> The functional amine (-NH2) and hydroxyl (-OH) functional groups on chitosan polymers enable effective chelation and immobilization of heavy metals like Cu2+ and Zn2+, protecting root architectures from heavy metal toxicity while restoring degraded soils [</w:t>
      </w:r>
      <w:r w:rsidR="00901898" w:rsidRPr="00F01036">
        <w:rPr>
          <w:rFonts w:ascii="Calibri" w:hAnsi="Calibri"/>
        </w:rPr>
        <w:t>6,10</w:t>
      </w:r>
      <w:r w:rsidRPr="00F01036">
        <w:rPr>
          <w:rFonts w:ascii="Calibri" w:hAnsi="Calibri"/>
        </w:rPr>
        <w:t>].</w:t>
      </w:r>
    </w:p>
    <w:p w14:paraId="5CFF3EE6" w14:textId="3499A23E" w:rsidR="00235775" w:rsidRPr="00F01036" w:rsidRDefault="00000000">
      <w:pPr>
        <w:pStyle w:val="ListBullet"/>
        <w:spacing w:after="80"/>
      </w:pPr>
      <w:r w:rsidRPr="00F01036">
        <w:rPr>
          <w:rFonts w:ascii="Calibri" w:hAnsi="Calibri"/>
          <w:b/>
        </w:rPr>
        <w:t>Bio-Composite Degradability:</w:t>
      </w:r>
      <w:r w:rsidRPr="00F01036">
        <w:rPr>
          <w:rFonts w:ascii="Calibri" w:hAnsi="Calibri"/>
        </w:rPr>
        <w:t xml:space="preserve"> Integrating natural fibers (such as jute and agricultural residues) into biodegradable polymer matrices creates protective seed coatings, controlled-release fertilizer pods, and eco-friendly mulching films [1</w:t>
      </w:r>
      <w:r w:rsidR="00901898" w:rsidRPr="00F01036">
        <w:rPr>
          <w:rFonts w:ascii="Calibri" w:hAnsi="Calibri"/>
        </w:rPr>
        <w:t>0,11</w:t>
      </w:r>
      <w:r w:rsidRPr="00F01036">
        <w:rPr>
          <w:rFonts w:ascii="Calibri" w:hAnsi="Calibri"/>
        </w:rPr>
        <w:t>].</w:t>
      </w:r>
    </w:p>
    <w:p w14:paraId="471CF49E" w14:textId="3FCD559D" w:rsidR="00235775" w:rsidRPr="00F01036" w:rsidRDefault="00000000">
      <w:pPr>
        <w:keepNext/>
        <w:spacing w:before="320" w:after="120"/>
        <w:rPr>
          <w:u w:val="single"/>
        </w:rPr>
      </w:pPr>
      <w:r w:rsidRPr="00F01036">
        <w:rPr>
          <w:rFonts w:ascii="Calibri" w:hAnsi="Calibri"/>
          <w:b/>
          <w:sz w:val="30"/>
          <w:u w:val="single"/>
        </w:rPr>
        <w:t>Next-Generation Genetic Engineering and Molecular Diagnostics</w:t>
      </w:r>
    </w:p>
    <w:p w14:paraId="3CE11CED" w14:textId="799814CB" w:rsidR="00235775" w:rsidRPr="00F01036" w:rsidRDefault="00F01036">
      <w:pPr>
        <w:keepNext/>
        <w:spacing w:before="240" w:after="80"/>
      </w:pPr>
      <w:r w:rsidRPr="00F01036">
        <w:rPr>
          <w:rFonts w:ascii="Calibri" w:hAnsi="Calibri"/>
          <w:b/>
          <w:sz w:val="25"/>
        </w:rPr>
        <w:t>1.</w:t>
      </w:r>
      <w:r w:rsidR="00000000" w:rsidRPr="00F01036">
        <w:rPr>
          <w:rFonts w:ascii="Calibri" w:hAnsi="Calibri"/>
          <w:b/>
          <w:sz w:val="25"/>
        </w:rPr>
        <w:t>Precision Gene Editing, RNAi, and Marker-Assisted Selection</w:t>
      </w:r>
    </w:p>
    <w:p w14:paraId="231F8D89" w14:textId="713B3ED7" w:rsidR="00235775" w:rsidRPr="00F01036" w:rsidRDefault="00000000">
      <w:pPr>
        <w:spacing w:after="120"/>
      </w:pPr>
      <w:r w:rsidRPr="00F01036">
        <w:rPr>
          <w:rFonts w:ascii="Calibri" w:hAnsi="Calibri"/>
        </w:rPr>
        <w:t>Precision genome editing has evolved beyond simple double-strand breaks toward site-specific, footprint-free base editing, prime editing, and RNA-mediated crop protection:</w:t>
      </w:r>
    </w:p>
    <w:p w14:paraId="0C8587A8" w14:textId="393A36C6" w:rsidR="00235775" w:rsidRPr="00F01036" w:rsidRDefault="00000000">
      <w:pPr>
        <w:pStyle w:val="ListBullet"/>
        <w:spacing w:after="80"/>
      </w:pPr>
      <w:r w:rsidRPr="00F01036">
        <w:rPr>
          <w:rFonts w:ascii="Calibri" w:hAnsi="Calibri"/>
          <w:b/>
        </w:rPr>
        <w:t>CRISPR-Cas Base &amp; Prime Editing:</w:t>
      </w:r>
      <w:r w:rsidRPr="00F01036">
        <w:rPr>
          <w:rFonts w:ascii="Calibri" w:hAnsi="Calibri"/>
        </w:rPr>
        <w:t xml:space="preserve"> Multiplexed gRNA delivery enables concurrent knockouts of susceptibility genes (S-genes) while upregulating drought-responsive transcription factors (DREB/NAC families), yielding climate-resilient crop lines [</w:t>
      </w:r>
      <w:r w:rsidR="00901898" w:rsidRPr="00F01036">
        <w:rPr>
          <w:rFonts w:ascii="Calibri" w:hAnsi="Calibri"/>
        </w:rPr>
        <w:t>5,12</w:t>
      </w:r>
      <w:r w:rsidRPr="00F01036">
        <w:rPr>
          <w:rFonts w:ascii="Calibri" w:hAnsi="Calibri"/>
        </w:rPr>
        <w:t>].</w:t>
      </w:r>
    </w:p>
    <w:p w14:paraId="79B1E50F" w14:textId="47F0490B" w:rsidR="00235775" w:rsidRPr="00F01036" w:rsidRDefault="00000000">
      <w:pPr>
        <w:pStyle w:val="ListBullet"/>
        <w:spacing w:after="80"/>
      </w:pPr>
      <w:r w:rsidRPr="00F01036">
        <w:rPr>
          <w:rFonts w:ascii="Calibri" w:hAnsi="Calibri"/>
          <w:b/>
        </w:rPr>
        <w:t>RNA Interference (RNAi) Biopesticides:</w:t>
      </w:r>
      <w:r w:rsidRPr="00F01036">
        <w:rPr>
          <w:rFonts w:ascii="Calibri" w:hAnsi="Calibri"/>
        </w:rPr>
        <w:t xml:space="preserve"> Exogenously applied double-stranded RNA (dsRNA) molecules target specific pest and pathogen genes without altering host plant DNA, offering species-specific biocontrol with zero toxic residual buildup [</w:t>
      </w:r>
      <w:r w:rsidR="00901898" w:rsidRPr="00F01036">
        <w:rPr>
          <w:rFonts w:ascii="Calibri" w:hAnsi="Calibri"/>
        </w:rPr>
        <w:t>3,4</w:t>
      </w:r>
      <w:r w:rsidRPr="00F01036">
        <w:rPr>
          <w:rFonts w:ascii="Calibri" w:hAnsi="Calibri"/>
        </w:rPr>
        <w:t>].</w:t>
      </w:r>
    </w:p>
    <w:p w14:paraId="38AD7705" w14:textId="07FC9076" w:rsidR="00235775" w:rsidRPr="00F01036" w:rsidRDefault="00000000">
      <w:pPr>
        <w:pStyle w:val="ListBullet"/>
        <w:spacing w:after="80"/>
      </w:pPr>
      <w:r w:rsidRPr="00F01036">
        <w:rPr>
          <w:rFonts w:ascii="Calibri" w:hAnsi="Calibri"/>
          <w:b/>
        </w:rPr>
        <w:t>Marker-Assisted Selection (MAS):</w:t>
      </w:r>
      <w:r w:rsidRPr="00F01036">
        <w:rPr>
          <w:rFonts w:ascii="Calibri" w:hAnsi="Calibri"/>
        </w:rPr>
        <w:t xml:space="preserve"> Integrating high-throughput genomic markers accelerates classical breeding cycles, allowing breeders to stack multiple disease-resistance and yield traits into commercial cultivars in half the traditional timeframe [</w:t>
      </w:r>
      <w:r w:rsidR="00901898" w:rsidRPr="00F01036">
        <w:rPr>
          <w:rFonts w:ascii="Calibri" w:hAnsi="Calibri"/>
        </w:rPr>
        <w:t>3,12</w:t>
      </w:r>
      <w:r w:rsidRPr="00F01036">
        <w:rPr>
          <w:rFonts w:ascii="Calibri" w:hAnsi="Calibri"/>
        </w:rPr>
        <w:t>].</w:t>
      </w:r>
    </w:p>
    <w:p w14:paraId="71BBDD58" w14:textId="3FD54AB6" w:rsidR="00235775" w:rsidRPr="00F01036" w:rsidRDefault="00F01036">
      <w:pPr>
        <w:keepNext/>
        <w:spacing w:before="240" w:after="80"/>
      </w:pPr>
      <w:r w:rsidRPr="00F01036">
        <w:rPr>
          <w:rFonts w:ascii="Calibri" w:hAnsi="Calibri"/>
          <w:b/>
          <w:sz w:val="25"/>
        </w:rPr>
        <w:t xml:space="preserve">2. </w:t>
      </w:r>
      <w:r w:rsidR="00000000" w:rsidRPr="00F01036">
        <w:rPr>
          <w:rFonts w:ascii="Calibri" w:hAnsi="Calibri"/>
          <w:b/>
          <w:sz w:val="25"/>
        </w:rPr>
        <w:t>Field-Deployable Isothermal GMO and Pathogen Diagnostics</w:t>
      </w:r>
    </w:p>
    <w:p w14:paraId="4F2773B3" w14:textId="43B9C90F" w:rsidR="00235775" w:rsidRPr="00F01036" w:rsidRDefault="00000000">
      <w:pPr>
        <w:spacing w:after="120"/>
      </w:pPr>
      <w:r w:rsidRPr="00F01036">
        <w:rPr>
          <w:rFonts w:ascii="Calibri" w:hAnsi="Calibri"/>
        </w:rPr>
        <w:t>To ensure regulatory compliance and biosecurity, field-deployable molecular detection technologies have bridged the gap between laboratory testing and on-farm diagnostics [</w:t>
      </w:r>
      <w:r w:rsidR="00F55CDA" w:rsidRPr="00F01036">
        <w:rPr>
          <w:rFonts w:ascii="Calibri" w:hAnsi="Calibri"/>
        </w:rPr>
        <w:t>2</w:t>
      </w:r>
      <w:r w:rsidRPr="00F01036">
        <w:rPr>
          <w:rFonts w:ascii="Calibri" w:hAnsi="Calibri"/>
        </w:rPr>
        <w:t>]:</w:t>
      </w:r>
    </w:p>
    <w:p w14:paraId="378E883F" w14:textId="76958F5F" w:rsidR="00235775" w:rsidRPr="00F01036" w:rsidRDefault="00000000">
      <w:pPr>
        <w:pStyle w:val="ListBullet"/>
        <w:spacing w:after="80"/>
      </w:pPr>
      <w:r w:rsidRPr="00F01036">
        <w:rPr>
          <w:rFonts w:ascii="Calibri" w:hAnsi="Calibri"/>
          <w:b/>
        </w:rPr>
        <w:t>LAMP-CRISPR Diagnostic Integration:</w:t>
      </w:r>
      <w:r w:rsidRPr="00F01036">
        <w:rPr>
          <w:rFonts w:ascii="Calibri" w:hAnsi="Calibri"/>
        </w:rPr>
        <w:t xml:space="preserve"> Integrating Loop-Mediated Isothermal Amplification (LAMP) with CRISPR-Cas enzymes enables rapid, highly sensitive detection of genetically modified sequences and viral/bacterial pathogens without specialized thermocycling equipment [</w:t>
      </w:r>
      <w:r w:rsidR="00F55CDA" w:rsidRPr="00F01036">
        <w:rPr>
          <w:rFonts w:ascii="Calibri" w:hAnsi="Calibri"/>
        </w:rPr>
        <w:t>2</w:t>
      </w:r>
      <w:r w:rsidRPr="00F01036">
        <w:rPr>
          <w:rFonts w:ascii="Calibri" w:hAnsi="Calibri"/>
        </w:rPr>
        <w:t>].</w:t>
      </w:r>
    </w:p>
    <w:p w14:paraId="720DBA24" w14:textId="35A34246" w:rsidR="00235775" w:rsidRPr="00F01036" w:rsidRDefault="00000000">
      <w:pPr>
        <w:pStyle w:val="ListBullet"/>
        <w:spacing w:after="80"/>
      </w:pPr>
      <w:r w:rsidRPr="00F01036">
        <w:rPr>
          <w:rFonts w:ascii="Calibri" w:hAnsi="Calibri"/>
          <w:b/>
        </w:rPr>
        <w:lastRenderedPageBreak/>
        <w:t>PAM-Independent Cleavage:</w:t>
      </w:r>
      <w:r w:rsidRPr="00F01036">
        <w:rPr>
          <w:rFonts w:ascii="Calibri" w:hAnsi="Calibri"/>
        </w:rPr>
        <w:t xml:space="preserve"> Modern Cas-pfLAMP protocols eliminate</w:t>
      </w:r>
      <w:r w:rsidR="00303B96" w:rsidRPr="00F01036">
        <w:rPr>
          <w:rFonts w:ascii="Calibri" w:hAnsi="Calibri"/>
        </w:rPr>
        <w:t xml:space="preserve"> </w:t>
      </w:r>
      <w:r w:rsidRPr="00F01036">
        <w:rPr>
          <w:rFonts w:ascii="Calibri" w:hAnsi="Calibri"/>
        </w:rPr>
        <w:t>PAM sequence restrictions, allowing flexible target selection in field environments with visual fluorescent or lateral flow readout within 30 minutes [</w:t>
      </w:r>
      <w:r w:rsidR="00F55CDA" w:rsidRPr="00F01036">
        <w:rPr>
          <w:rFonts w:ascii="Calibri" w:hAnsi="Calibri"/>
        </w:rPr>
        <w:t>2</w:t>
      </w:r>
      <w:r w:rsidRPr="00F01036">
        <w:rPr>
          <w:rFonts w:ascii="Calibri" w:hAnsi="Calibri"/>
        </w:rPr>
        <w:t>].</w:t>
      </w:r>
    </w:p>
    <w:p w14:paraId="13AAEE71" w14:textId="65F916AA" w:rsidR="00235775" w:rsidRPr="00F01036" w:rsidRDefault="00000000">
      <w:pPr>
        <w:keepNext/>
        <w:spacing w:before="320" w:after="120"/>
        <w:rPr>
          <w:u w:val="single"/>
        </w:rPr>
      </w:pPr>
      <w:r w:rsidRPr="00F01036">
        <w:rPr>
          <w:rFonts w:ascii="Calibri" w:hAnsi="Calibri"/>
          <w:b/>
          <w:sz w:val="30"/>
          <w:u w:val="single"/>
        </w:rPr>
        <w:t>Bio-AI Frameworks, Remote Sensing, and Smart Precision Agriculture</w:t>
      </w:r>
    </w:p>
    <w:p w14:paraId="11E6ED2E" w14:textId="38A32F3F" w:rsidR="00235775" w:rsidRPr="00F01036" w:rsidRDefault="00F01036">
      <w:pPr>
        <w:keepNext/>
        <w:spacing w:before="240" w:after="80"/>
      </w:pPr>
      <w:r w:rsidRPr="00F01036">
        <w:rPr>
          <w:rFonts w:ascii="Calibri" w:hAnsi="Calibri"/>
          <w:b/>
          <w:sz w:val="25"/>
        </w:rPr>
        <w:t>1.</w:t>
      </w:r>
      <w:r w:rsidR="00000000" w:rsidRPr="00F01036">
        <w:rPr>
          <w:rFonts w:ascii="Calibri" w:hAnsi="Calibri"/>
          <w:b/>
          <w:sz w:val="25"/>
        </w:rPr>
        <w:t>Satellite Agronomy and Digital Platform Integration (Farmonaut)</w:t>
      </w:r>
    </w:p>
    <w:p w14:paraId="6325C1F8" w14:textId="718E9677" w:rsidR="00235775" w:rsidRPr="00F01036" w:rsidRDefault="00000000">
      <w:pPr>
        <w:pStyle w:val="ListBullet"/>
        <w:spacing w:after="80"/>
      </w:pPr>
      <w:r w:rsidRPr="00F01036">
        <w:rPr>
          <w:rFonts w:ascii="Calibri" w:hAnsi="Calibri"/>
          <w:b/>
        </w:rPr>
        <w:t>Satellite Crop Health Monitoring:</w:t>
      </w:r>
      <w:r w:rsidRPr="00F01036">
        <w:rPr>
          <w:rFonts w:ascii="Calibri" w:hAnsi="Calibri"/>
        </w:rPr>
        <w:t xml:space="preserve"> Platforms like Farmonaut leverage multispectral satellite imagery (e.g., NDVI, NDWI, EVI) to deliver real-time field health monitoring, soil moisture tracking, and crop stress alerts directly to farmers' mobile devices [</w:t>
      </w:r>
      <w:r w:rsidR="00F55CDA" w:rsidRPr="00F01036">
        <w:rPr>
          <w:rFonts w:ascii="Calibri" w:hAnsi="Calibri"/>
        </w:rPr>
        <w:t>4</w:t>
      </w:r>
      <w:r w:rsidRPr="00F01036">
        <w:rPr>
          <w:rFonts w:ascii="Calibri" w:hAnsi="Calibri"/>
        </w:rPr>
        <w:t>].</w:t>
      </w:r>
    </w:p>
    <w:p w14:paraId="3A8F3324" w14:textId="2AC51074" w:rsidR="00235775" w:rsidRPr="00F01036" w:rsidRDefault="00000000">
      <w:pPr>
        <w:pStyle w:val="ListBullet"/>
        <w:spacing w:after="80"/>
      </w:pPr>
      <w:r w:rsidRPr="00F01036">
        <w:rPr>
          <w:rFonts w:ascii="Calibri" w:hAnsi="Calibri"/>
          <w:b/>
        </w:rPr>
        <w:t>Predictive Analytics &amp; Resource Optimization:</w:t>
      </w:r>
      <w:r w:rsidRPr="00F01036">
        <w:rPr>
          <w:rFonts w:ascii="Calibri" w:hAnsi="Calibri"/>
        </w:rPr>
        <w:t xml:space="preserve"> AI algorithms integrate historical weather data, satellite vegetation indices, and soil chemistry metrics to provide automated variable-rate fertilizer recommendations and pest risk alerts [</w:t>
      </w:r>
      <w:r w:rsidR="00F55CDA" w:rsidRPr="00F01036">
        <w:rPr>
          <w:rFonts w:ascii="Calibri" w:hAnsi="Calibri"/>
        </w:rPr>
        <w:t>4</w:t>
      </w:r>
      <w:r w:rsidRPr="00F01036">
        <w:rPr>
          <w:rFonts w:ascii="Calibri" w:hAnsi="Calibri"/>
        </w:rPr>
        <w:t>].</w:t>
      </w:r>
    </w:p>
    <w:p w14:paraId="22A9C312" w14:textId="7E613968" w:rsidR="00235775" w:rsidRPr="00F01036" w:rsidRDefault="00F01036">
      <w:pPr>
        <w:keepNext/>
        <w:spacing w:before="240" w:after="80"/>
      </w:pPr>
      <w:r w:rsidRPr="00F01036">
        <w:rPr>
          <w:rFonts w:ascii="Calibri" w:hAnsi="Calibri"/>
          <w:b/>
          <w:sz w:val="25"/>
        </w:rPr>
        <w:t xml:space="preserve">2. </w:t>
      </w:r>
      <w:r w:rsidR="00000000" w:rsidRPr="00F01036">
        <w:rPr>
          <w:rFonts w:ascii="Calibri" w:hAnsi="Calibri"/>
          <w:b/>
          <w:sz w:val="25"/>
        </w:rPr>
        <w:t>Urban Bio-Automation and Hydroponic Engineering (AgriSage)</w:t>
      </w:r>
    </w:p>
    <w:p w14:paraId="65AD5EF5" w14:textId="262A1231" w:rsidR="00235775" w:rsidRPr="00F01036" w:rsidRDefault="00000000">
      <w:pPr>
        <w:pStyle w:val="ListBullet"/>
        <w:spacing w:after="80"/>
      </w:pPr>
      <w:r w:rsidRPr="00F01036">
        <w:rPr>
          <w:rFonts w:ascii="Calibri" w:hAnsi="Calibri"/>
          <w:b/>
        </w:rPr>
        <w:t>Smart Hydroponics Automation:</w:t>
      </w:r>
      <w:r w:rsidRPr="00F01036">
        <w:rPr>
          <w:rFonts w:ascii="Calibri" w:hAnsi="Calibri"/>
        </w:rPr>
        <w:t xml:space="preserve"> Automated systems utilize IoT sensors, full-spectrum LED automation, and precise nutrient dosing algorithms (e.g., SagePod) to maintain optimal EC/pH balances, delivering predictable crop yields with up to 95% less water usage compared to traditional farming [</w:t>
      </w:r>
      <w:r w:rsidR="00F55CDA" w:rsidRPr="00F01036">
        <w:rPr>
          <w:rFonts w:ascii="Calibri" w:hAnsi="Calibri"/>
        </w:rPr>
        <w:t>1</w:t>
      </w:r>
      <w:r w:rsidRPr="00F01036">
        <w:rPr>
          <w:rFonts w:ascii="Calibri" w:hAnsi="Calibri"/>
        </w:rPr>
        <w:t>].</w:t>
      </w:r>
    </w:p>
    <w:p w14:paraId="4720B98A" w14:textId="50A2F545" w:rsidR="00235775" w:rsidRPr="00F01036" w:rsidRDefault="00F01036">
      <w:pPr>
        <w:keepNext/>
        <w:spacing w:before="320" w:after="120"/>
        <w:rPr>
          <w:rFonts w:ascii="Calibri" w:hAnsi="Calibri"/>
          <w:b/>
          <w:sz w:val="25"/>
        </w:rPr>
      </w:pPr>
      <w:r w:rsidRPr="00F01036">
        <w:rPr>
          <w:rFonts w:ascii="Calibri" w:hAnsi="Calibri"/>
          <w:b/>
          <w:sz w:val="25"/>
        </w:rPr>
        <w:t xml:space="preserve">3. </w:t>
      </w:r>
      <w:r w:rsidR="00000000" w:rsidRPr="00F01036">
        <w:rPr>
          <w:rFonts w:ascii="Calibri" w:hAnsi="Calibri"/>
          <w:b/>
          <w:sz w:val="25"/>
        </w:rPr>
        <w:t>Indian Bio-AI Initiatives: The GRAMA Program (IISc)</w:t>
      </w:r>
    </w:p>
    <w:p w14:paraId="4D7AC97C" w14:textId="10D676E9" w:rsidR="00235775" w:rsidRPr="00F01036" w:rsidRDefault="00000000">
      <w:pPr>
        <w:spacing w:after="120"/>
        <w:rPr>
          <w:rFonts w:ascii="Calibri" w:hAnsi="Calibri"/>
        </w:rPr>
      </w:pPr>
      <w:r w:rsidRPr="00F01036">
        <w:rPr>
          <w:rFonts w:ascii="Calibri" w:hAnsi="Calibri"/>
        </w:rPr>
        <w:t xml:space="preserve">India's agricultural sector is characterized by smallholder landholdings vulnerable to climatic shocks and market price </w:t>
      </w:r>
      <w:r w:rsidR="00F55CDA" w:rsidRPr="00F01036">
        <w:rPr>
          <w:rFonts w:ascii="Calibri" w:hAnsi="Calibri"/>
        </w:rPr>
        <w:t>fluctuations</w:t>
      </w:r>
      <w:r w:rsidRPr="00F01036">
        <w:rPr>
          <w:rFonts w:ascii="Calibri" w:hAnsi="Calibri"/>
        </w:rPr>
        <w:t>. To solve these challenges, the GRAMA Project (Game Theory, Random Processes, Artificial Intelligence, and Machine Learning for Agriculture) was developed by the Game Theory Lab at the Indian Institute of Science (IISc), Bangalore [</w:t>
      </w:r>
      <w:r w:rsidR="00F55CDA" w:rsidRPr="00F01036">
        <w:rPr>
          <w:rFonts w:ascii="Calibri" w:hAnsi="Calibri"/>
        </w:rPr>
        <w:t>9</w:t>
      </w:r>
      <w:r w:rsidRPr="00F01036">
        <w:rPr>
          <w:rFonts w:ascii="Calibri" w:hAnsi="Calibri"/>
        </w:rPr>
        <w:t>].</w:t>
      </w:r>
    </w:p>
    <w:p w14:paraId="3FF52228" w14:textId="121E7783" w:rsidR="00F55CDA" w:rsidRPr="00F01036" w:rsidRDefault="00F55CDA" w:rsidP="00F01036">
      <w:pPr>
        <w:pStyle w:val="ListParagraph"/>
        <w:numPr>
          <w:ilvl w:val="0"/>
          <w:numId w:val="17"/>
        </w:numPr>
        <w:spacing w:after="120"/>
        <w:rPr>
          <w:rFonts w:ascii="Calibri" w:hAnsi="Calibri"/>
          <w:sz w:val="20"/>
        </w:rPr>
      </w:pPr>
      <w:r w:rsidRPr="00F01036">
        <w:rPr>
          <w:rFonts w:ascii="Calibri" w:hAnsi="Calibri"/>
          <w:b/>
          <w:sz w:val="21"/>
        </w:rPr>
        <w:t>CROP-S</w:t>
      </w:r>
      <w:r w:rsidRPr="00F01036">
        <w:rPr>
          <w:rFonts w:ascii="Calibri" w:hAnsi="Calibri"/>
          <w:b/>
          <w:sz w:val="21"/>
        </w:rPr>
        <w:t xml:space="preserve"> </w:t>
      </w:r>
      <w:r w:rsidRPr="00F01036">
        <w:rPr>
          <w:rFonts w:ascii="Calibri" w:hAnsi="Calibri"/>
          <w:b/>
          <w:sz w:val="21"/>
        </w:rPr>
        <w:t>(Crop Planning System)</w:t>
      </w:r>
      <w:r w:rsidRPr="00F01036">
        <w:rPr>
          <w:rFonts w:ascii="Calibri" w:hAnsi="Calibri"/>
          <w:b/>
          <w:sz w:val="21"/>
        </w:rPr>
        <w:t xml:space="preserve">: </w:t>
      </w:r>
      <w:r w:rsidRPr="00F01036">
        <w:rPr>
          <w:rFonts w:ascii="Calibri" w:hAnsi="Calibri"/>
          <w:sz w:val="20"/>
        </w:rPr>
        <w:t>Solves macro-level crop allocation problems at district/taluka levels using game theory. Processes demand metrics, soil profiles, and transportation logistics to prevent crop oversupply and market price crashes [9].</w:t>
      </w:r>
    </w:p>
    <w:p w14:paraId="2CCBE6D9" w14:textId="641A8BDE" w:rsidR="00F55CDA" w:rsidRPr="00F01036" w:rsidRDefault="00F55CDA" w:rsidP="00F01036">
      <w:pPr>
        <w:pStyle w:val="ListParagraph"/>
        <w:numPr>
          <w:ilvl w:val="0"/>
          <w:numId w:val="17"/>
        </w:numPr>
        <w:spacing w:after="120"/>
        <w:rPr>
          <w:rFonts w:ascii="Calibri" w:hAnsi="Calibri"/>
          <w:sz w:val="20"/>
        </w:rPr>
      </w:pPr>
      <w:r w:rsidRPr="00F01036">
        <w:rPr>
          <w:rFonts w:ascii="Calibri" w:hAnsi="Calibri"/>
          <w:b/>
          <w:sz w:val="21"/>
        </w:rPr>
        <w:t>BharatPaddy</w:t>
      </w:r>
      <w:r w:rsidRPr="00F01036">
        <w:rPr>
          <w:rFonts w:ascii="Calibri" w:hAnsi="Calibri"/>
          <w:b/>
          <w:sz w:val="21"/>
        </w:rPr>
        <w:t xml:space="preserve"> (</w:t>
      </w:r>
      <w:r w:rsidRPr="00F01036">
        <w:rPr>
          <w:rFonts w:ascii="Calibri" w:hAnsi="Calibri"/>
          <w:b/>
          <w:sz w:val="21"/>
        </w:rPr>
        <w:t>Companion Platform</w:t>
      </w:r>
      <w:r w:rsidRPr="00F01036">
        <w:rPr>
          <w:rFonts w:ascii="Calibri" w:hAnsi="Calibri"/>
          <w:b/>
          <w:sz w:val="21"/>
        </w:rPr>
        <w:t xml:space="preserve">): </w:t>
      </w:r>
      <w:r w:rsidRPr="00F01036">
        <w:rPr>
          <w:rFonts w:ascii="Calibri" w:hAnsi="Calibri"/>
          <w:sz w:val="20"/>
        </w:rPr>
        <w:t>End-to-end digital decision-support companion for rice cultivators. Provides real-time mobile guidance across seed selection, nursery management, pest diagnostics, and market linkages [9].</w:t>
      </w:r>
    </w:p>
    <w:p w14:paraId="2AA9472E" w14:textId="38640013" w:rsidR="00F01036" w:rsidRPr="00F01036" w:rsidRDefault="00F55CDA" w:rsidP="00F01036">
      <w:pPr>
        <w:pStyle w:val="ListParagraph"/>
        <w:numPr>
          <w:ilvl w:val="0"/>
          <w:numId w:val="17"/>
        </w:numPr>
        <w:spacing w:after="120"/>
        <w:rPr>
          <w:rFonts w:ascii="Calibri" w:hAnsi="Calibri"/>
          <w:sz w:val="20"/>
        </w:rPr>
      </w:pPr>
      <w:r w:rsidRPr="00F01036">
        <w:rPr>
          <w:rFonts w:ascii="Calibri" w:hAnsi="Calibri"/>
          <w:b/>
          <w:sz w:val="21"/>
        </w:rPr>
        <w:t>BEL &amp; NABARD</w:t>
      </w:r>
      <w:r w:rsidRPr="00F01036">
        <w:rPr>
          <w:rFonts w:ascii="Calibri" w:hAnsi="Calibri"/>
          <w:b/>
          <w:sz w:val="21"/>
        </w:rPr>
        <w:t xml:space="preserve"> (</w:t>
      </w:r>
      <w:r w:rsidRPr="00F01036">
        <w:rPr>
          <w:rFonts w:ascii="Calibri" w:hAnsi="Calibri"/>
          <w:b/>
          <w:sz w:val="21"/>
        </w:rPr>
        <w:t>FPO Procurement</w:t>
      </w:r>
      <w:r w:rsidRPr="00F01036">
        <w:rPr>
          <w:rFonts w:ascii="Calibri" w:hAnsi="Calibri"/>
          <w:b/>
          <w:sz w:val="21"/>
        </w:rPr>
        <w:t xml:space="preserve">): </w:t>
      </w:r>
      <w:r w:rsidRPr="00F01036">
        <w:rPr>
          <w:rFonts w:ascii="Calibri" w:hAnsi="Calibri"/>
          <w:sz w:val="20"/>
        </w:rPr>
        <w:t>Partnership with Bharat Electronics Limited and NABARD utilizing algorithmic demand aggregation for Farmer Producer Organizations. Reduces procurement costs for high-quality seeds, biofertilizers, and bio-pesticides [9].</w:t>
      </w:r>
    </w:p>
    <w:p w14:paraId="5EB485D5" w14:textId="77777777" w:rsidR="00F01036" w:rsidRPr="00F01036" w:rsidRDefault="00F01036" w:rsidP="00F01036">
      <w:pPr>
        <w:pStyle w:val="ListParagraph"/>
        <w:spacing w:after="120"/>
        <w:rPr>
          <w:rFonts w:ascii="Calibri" w:hAnsi="Calibri"/>
          <w:b/>
          <w:sz w:val="21"/>
        </w:rPr>
      </w:pPr>
    </w:p>
    <w:p w14:paraId="7C78B488" w14:textId="77777777" w:rsidR="00F01036" w:rsidRPr="00F01036" w:rsidRDefault="00F01036" w:rsidP="00F01036">
      <w:pPr>
        <w:pStyle w:val="ListParagraph"/>
        <w:spacing w:after="120"/>
        <w:rPr>
          <w:rFonts w:ascii="Calibri" w:hAnsi="Calibri"/>
          <w:b/>
          <w:sz w:val="21"/>
        </w:rPr>
      </w:pPr>
    </w:p>
    <w:p w14:paraId="0AFB29F6" w14:textId="77777777" w:rsidR="00F01036" w:rsidRPr="00F01036" w:rsidRDefault="00F01036" w:rsidP="00F01036">
      <w:pPr>
        <w:pStyle w:val="ListParagraph"/>
        <w:spacing w:after="120"/>
        <w:rPr>
          <w:rFonts w:ascii="Calibri" w:hAnsi="Calibri"/>
          <w:sz w:val="20"/>
        </w:rPr>
      </w:pPr>
    </w:p>
    <w:p w14:paraId="72852424" w14:textId="67650CCF" w:rsidR="00235775" w:rsidRPr="00F01036" w:rsidRDefault="00000000">
      <w:pPr>
        <w:keepNext/>
        <w:spacing w:before="320" w:after="120"/>
        <w:rPr>
          <w:u w:val="single"/>
        </w:rPr>
      </w:pPr>
      <w:r w:rsidRPr="00F01036">
        <w:rPr>
          <w:rFonts w:ascii="Calibri" w:hAnsi="Calibri"/>
          <w:b/>
          <w:sz w:val="30"/>
          <w:u w:val="single"/>
        </w:rPr>
        <w:lastRenderedPageBreak/>
        <w:t>Conclusion</w:t>
      </w:r>
      <w:r w:rsidR="00F01036" w:rsidRPr="00F01036">
        <w:rPr>
          <w:rFonts w:ascii="Calibri" w:hAnsi="Calibri"/>
          <w:b/>
          <w:sz w:val="30"/>
          <w:u w:val="single"/>
        </w:rPr>
        <w:t>:</w:t>
      </w:r>
    </w:p>
    <w:p w14:paraId="78C87A7A" w14:textId="628A9430" w:rsidR="00235775" w:rsidRPr="00F01036" w:rsidRDefault="00000000">
      <w:pPr>
        <w:spacing w:after="120"/>
      </w:pPr>
      <w:r w:rsidRPr="00F01036">
        <w:rPr>
          <w:rFonts w:ascii="Calibri" w:hAnsi="Calibri"/>
        </w:rPr>
        <w:t>The integration of biotechnology with metagenomic strain discovery, CRISPR microbial editing, AI remote sensing, and</w:t>
      </w:r>
      <w:r w:rsidR="00303B96" w:rsidRPr="00F01036">
        <w:rPr>
          <w:rFonts w:ascii="Calibri" w:hAnsi="Calibri"/>
        </w:rPr>
        <w:t xml:space="preserve"> </w:t>
      </w:r>
      <w:r w:rsidRPr="00F01036">
        <w:rPr>
          <w:rFonts w:ascii="Calibri" w:hAnsi="Calibri"/>
        </w:rPr>
        <w:t xml:space="preserve">climate strategies represents the </w:t>
      </w:r>
      <w:r w:rsidR="00303B96" w:rsidRPr="00F01036">
        <w:rPr>
          <w:rFonts w:ascii="Calibri" w:hAnsi="Calibri"/>
        </w:rPr>
        <w:t xml:space="preserve">strategies of the </w:t>
      </w:r>
      <w:r w:rsidRPr="00F01036">
        <w:rPr>
          <w:rFonts w:ascii="Calibri" w:hAnsi="Calibri"/>
        </w:rPr>
        <w:t xml:space="preserve">modern agriculture. From extremophile-derived bio-inputs to CRISPR gene editing, satellite agronomy, and game-theoretic bio-AI frameworks, these combined breakthroughs establish a resilient, sustainable foundation for global food security </w:t>
      </w:r>
      <w:r w:rsidR="008314CE" w:rsidRPr="00F01036">
        <w:rPr>
          <w:rFonts w:ascii="Calibri" w:hAnsi="Calibri"/>
        </w:rPr>
        <w:t>[1, 3, 5, 9, 13]</w:t>
      </w:r>
      <w:r w:rsidRPr="00F01036">
        <w:rPr>
          <w:rFonts w:ascii="Calibri" w:hAnsi="Calibri"/>
        </w:rPr>
        <w:t>.</w:t>
      </w:r>
    </w:p>
    <w:p w14:paraId="3E0F8ED6" w14:textId="709A6BD3" w:rsidR="00235775" w:rsidRPr="00F01036" w:rsidRDefault="00000000">
      <w:pPr>
        <w:keepNext/>
        <w:spacing w:before="320" w:after="120"/>
        <w:rPr>
          <w:u w:val="single"/>
        </w:rPr>
      </w:pPr>
      <w:r w:rsidRPr="00F01036">
        <w:rPr>
          <w:rFonts w:ascii="Calibri" w:hAnsi="Calibri"/>
          <w:b/>
          <w:sz w:val="30"/>
          <w:u w:val="single"/>
        </w:rPr>
        <w:t>References</w:t>
      </w:r>
      <w:r w:rsidR="00F01036" w:rsidRPr="00F01036">
        <w:rPr>
          <w:rFonts w:ascii="Calibri" w:hAnsi="Calibri"/>
          <w:b/>
          <w:sz w:val="30"/>
          <w:u w:val="single"/>
        </w:rPr>
        <w:t>:</w:t>
      </w:r>
    </w:p>
    <w:p w14:paraId="6DCA2225" w14:textId="030E776F" w:rsidR="00303B96" w:rsidRPr="00F01036" w:rsidRDefault="00303B96" w:rsidP="00303B96">
      <w:pPr>
        <w:pStyle w:val="ListParagraph"/>
        <w:numPr>
          <w:ilvl w:val="0"/>
          <w:numId w:val="11"/>
        </w:numPr>
        <w:spacing w:after="120"/>
        <w:rPr>
          <w:rFonts w:ascii="Calibri" w:hAnsi="Calibri"/>
          <w:sz w:val="19"/>
          <w:lang w:val="en-IN"/>
        </w:rPr>
      </w:pPr>
      <w:r w:rsidRPr="00F01036">
        <w:rPr>
          <w:rFonts w:ascii="Calibri" w:hAnsi="Calibri"/>
          <w:sz w:val="19"/>
          <w:lang w:val="en-IN"/>
        </w:rPr>
        <w:t xml:space="preserve">AgriSage. (2026). </w:t>
      </w:r>
      <w:r w:rsidRPr="00F01036">
        <w:rPr>
          <w:rFonts w:ascii="Calibri" w:hAnsi="Calibri"/>
          <w:i/>
          <w:iCs/>
          <w:sz w:val="19"/>
          <w:lang w:val="en-IN"/>
        </w:rPr>
        <w:t>Smart farming built for urban India: Automated hydroponic grow systems</w:t>
      </w:r>
      <w:r w:rsidRPr="00F01036">
        <w:rPr>
          <w:rFonts w:ascii="Calibri" w:hAnsi="Calibri"/>
          <w:sz w:val="19"/>
          <w:lang w:val="en-IN"/>
        </w:rPr>
        <w:t xml:space="preserve">. AgriSage Tech. </w:t>
      </w:r>
      <w:hyperlink r:id="rId6" w:history="1">
        <w:r w:rsidRPr="00F01036">
          <w:rPr>
            <w:rStyle w:val="Hyperlink"/>
            <w:rFonts w:ascii="Calibri" w:hAnsi="Calibri"/>
            <w:color w:val="auto"/>
            <w:sz w:val="19"/>
            <w:lang w:val="en-IN"/>
          </w:rPr>
          <w:t>https://www.agrisage.io/</w:t>
        </w:r>
      </w:hyperlink>
    </w:p>
    <w:p w14:paraId="498A9258" w14:textId="3453893F" w:rsidR="00303B96" w:rsidRPr="00F01036" w:rsidRDefault="00303B96" w:rsidP="00303B96">
      <w:pPr>
        <w:pStyle w:val="ListParagraph"/>
        <w:numPr>
          <w:ilvl w:val="0"/>
          <w:numId w:val="11"/>
        </w:numPr>
        <w:spacing w:after="120"/>
        <w:rPr>
          <w:rFonts w:ascii="Calibri" w:hAnsi="Calibri"/>
          <w:sz w:val="19"/>
          <w:lang w:val="en-IN"/>
        </w:rPr>
      </w:pPr>
      <w:r w:rsidRPr="00F01036">
        <w:rPr>
          <w:rFonts w:ascii="Calibri" w:hAnsi="Calibri"/>
          <w:sz w:val="19"/>
          <w:lang w:val="en-IN"/>
        </w:rPr>
        <w:t xml:space="preserve">Chen, L., Wang, C., Zhu, Z., &amp; Yang, L. (2025). Field-deployable detection of genetically modified organisms with an integrated method of loop-mediated isothermal amplification and CRISPR/FnCas12a. </w:t>
      </w:r>
      <w:r w:rsidRPr="00F01036">
        <w:rPr>
          <w:rFonts w:ascii="Calibri" w:hAnsi="Calibri"/>
          <w:i/>
          <w:iCs/>
          <w:sz w:val="19"/>
          <w:lang w:val="en-IN"/>
        </w:rPr>
        <w:t>Journal of Agricultural and Food Chemistry</w:t>
      </w:r>
      <w:r w:rsidRPr="00F01036">
        <w:rPr>
          <w:rFonts w:ascii="Calibri" w:hAnsi="Calibri"/>
          <w:sz w:val="19"/>
          <w:lang w:val="en-IN"/>
        </w:rPr>
        <w:t xml:space="preserve">, 73(9), 5625–5634. </w:t>
      </w:r>
      <w:hyperlink r:id="rId7" w:history="1">
        <w:r w:rsidRPr="00F01036">
          <w:rPr>
            <w:rStyle w:val="Hyperlink"/>
            <w:rFonts w:ascii="Calibri" w:hAnsi="Calibri"/>
            <w:color w:val="auto"/>
            <w:sz w:val="19"/>
            <w:lang w:val="en-IN"/>
          </w:rPr>
          <w:t>https://doi.org/10.1021/acs.jafc.3c00913</w:t>
        </w:r>
      </w:hyperlink>
    </w:p>
    <w:p w14:paraId="7FDA797C" w14:textId="77777777" w:rsidR="00303B96" w:rsidRPr="00F01036" w:rsidRDefault="00303B96" w:rsidP="00303B96">
      <w:pPr>
        <w:pStyle w:val="ListParagraph"/>
        <w:numPr>
          <w:ilvl w:val="0"/>
          <w:numId w:val="11"/>
        </w:numPr>
        <w:spacing w:after="120"/>
        <w:rPr>
          <w:rFonts w:ascii="Calibri" w:hAnsi="Calibri"/>
          <w:sz w:val="19"/>
          <w:lang w:val="en-IN"/>
        </w:rPr>
      </w:pPr>
      <w:r w:rsidRPr="00F01036">
        <w:rPr>
          <w:rFonts w:ascii="Calibri" w:hAnsi="Calibri"/>
          <w:sz w:val="19"/>
          <w:lang w:val="en-IN"/>
        </w:rPr>
        <w:t xml:space="preserve">Cleantech Group. (2025). </w:t>
      </w:r>
      <w:r w:rsidRPr="00F01036">
        <w:rPr>
          <w:rFonts w:ascii="Calibri" w:hAnsi="Calibri"/>
          <w:i/>
          <w:iCs/>
          <w:sz w:val="19"/>
          <w:lang w:val="en-IN"/>
        </w:rPr>
        <w:t>Crop science innovation in 2025: The frontline of climate resilience</w:t>
      </w:r>
      <w:r w:rsidRPr="00F01036">
        <w:rPr>
          <w:rFonts w:ascii="Calibri" w:hAnsi="Calibri"/>
          <w:sz w:val="19"/>
          <w:lang w:val="en-IN"/>
        </w:rPr>
        <w:t xml:space="preserve">. Cleantech Insights. </w:t>
      </w:r>
      <w:hyperlink r:id="rId8" w:history="1">
        <w:r w:rsidRPr="00F01036">
          <w:rPr>
            <w:rStyle w:val="Hyperlink"/>
            <w:rFonts w:ascii="Calibri" w:hAnsi="Calibri"/>
            <w:color w:val="auto"/>
            <w:sz w:val="19"/>
            <w:lang w:val="en-IN"/>
          </w:rPr>
          <w:t>https://cleantech.com/crop-science-innovation-in-2025-the-frontline-of-climate-resilience/</w:t>
        </w:r>
      </w:hyperlink>
    </w:p>
    <w:p w14:paraId="24B5A450" w14:textId="7DEE3DE0" w:rsidR="000D5FFE"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Farmonaut. (2026). </w:t>
      </w:r>
      <w:r w:rsidRPr="00F01036">
        <w:rPr>
          <w:rFonts w:ascii="Calibri" w:hAnsi="Calibri"/>
          <w:i/>
          <w:iCs/>
          <w:sz w:val="19"/>
          <w:lang w:val="en-IN"/>
        </w:rPr>
        <w:t>Agricultural biotechnology transforming farming futures: Satellite imagery and precision agriculture</w:t>
      </w:r>
      <w:r w:rsidRPr="00F01036">
        <w:rPr>
          <w:rFonts w:ascii="Calibri" w:hAnsi="Calibri"/>
          <w:sz w:val="19"/>
          <w:lang w:val="en-IN"/>
        </w:rPr>
        <w:t xml:space="preserve">. Farmonaut Blogs. </w:t>
      </w:r>
      <w:hyperlink r:id="rId9" w:history="1">
        <w:r w:rsidR="000D5FFE" w:rsidRPr="00F01036">
          <w:rPr>
            <w:rStyle w:val="Hyperlink"/>
            <w:rFonts w:ascii="Calibri" w:hAnsi="Calibri"/>
            <w:color w:val="auto"/>
            <w:sz w:val="19"/>
            <w:lang w:val="en-IN"/>
          </w:rPr>
          <w:t>https://farmonaut.com/blogs/agricultural-biotechnology-transforming-farming-futures</w:t>
        </w:r>
      </w:hyperlink>
    </w:p>
    <w:p w14:paraId="13F2EF25" w14:textId="609279D9" w:rsidR="000D5FFE"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Frontiers in Agronomy. (2026). Recent advancements in agricultural biotechnology and crop management. </w:t>
      </w:r>
      <w:r w:rsidRPr="00F01036">
        <w:rPr>
          <w:rFonts w:ascii="Calibri" w:hAnsi="Calibri"/>
          <w:i/>
          <w:iCs/>
          <w:sz w:val="19"/>
          <w:lang w:val="en-IN"/>
        </w:rPr>
        <w:t>Frontiers in Agronomy</w:t>
      </w:r>
      <w:r w:rsidRPr="00F01036">
        <w:rPr>
          <w:rFonts w:ascii="Calibri" w:hAnsi="Calibri"/>
          <w:sz w:val="19"/>
          <w:lang w:val="en-IN"/>
        </w:rPr>
        <w:t xml:space="preserve">, 8, 1824199. </w:t>
      </w:r>
      <w:hyperlink r:id="rId10" w:history="1">
        <w:r w:rsidR="000D5FFE" w:rsidRPr="00F01036">
          <w:rPr>
            <w:rStyle w:val="Hyperlink"/>
            <w:rFonts w:ascii="Calibri" w:hAnsi="Calibri"/>
            <w:color w:val="auto"/>
            <w:sz w:val="19"/>
            <w:lang w:val="en-IN"/>
          </w:rPr>
          <w:t>https://doi.org/10.3389/fagro.2026.1824199</w:t>
        </w:r>
      </w:hyperlink>
    </w:p>
    <w:p w14:paraId="5009916F" w14:textId="77777777" w:rsidR="000D5FFE"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Jamieson, H. E., Parsons, M. B., Des Roches, S., Taylor, A. E., Purdy, C. J. K., Borčinová Radková, A., Kazamel, B., Turcotte, M. A. H., &amp; Leybourne, M. I. (2025). The environmental mobility of critical elements in mine waste: Rare earth elements, antimony, tungsten, and cobalt. </w:t>
      </w:r>
      <w:r w:rsidRPr="00F01036">
        <w:rPr>
          <w:rFonts w:ascii="Calibri" w:hAnsi="Calibri"/>
          <w:i/>
          <w:iCs/>
          <w:sz w:val="19"/>
          <w:lang w:val="en-IN"/>
        </w:rPr>
        <w:t>FACETS / Genome</w:t>
      </w:r>
      <w:r w:rsidRPr="00F01036">
        <w:rPr>
          <w:rFonts w:ascii="Calibri" w:hAnsi="Calibri"/>
          <w:sz w:val="19"/>
          <w:lang w:val="en-IN"/>
        </w:rPr>
        <w:t>, 10, 1–11.</w:t>
      </w:r>
    </w:p>
    <w:p w14:paraId="4F8FDFC4" w14:textId="2B3D794C" w:rsidR="000D5FFE" w:rsidRPr="00F01036" w:rsidRDefault="000D5FFE" w:rsidP="000D5FFE">
      <w:pPr>
        <w:pStyle w:val="ListParagraph"/>
        <w:spacing w:after="120"/>
        <w:rPr>
          <w:rFonts w:ascii="Calibri" w:hAnsi="Calibri"/>
          <w:sz w:val="19"/>
          <w:lang w:val="en-IN"/>
        </w:rPr>
      </w:pPr>
      <w:hyperlink r:id="rId11" w:history="1">
        <w:r w:rsidRPr="00F01036">
          <w:rPr>
            <w:rStyle w:val="Hyperlink"/>
            <w:rFonts w:ascii="Calibri" w:hAnsi="Calibri"/>
            <w:color w:val="auto"/>
            <w:sz w:val="19"/>
            <w:lang w:val="en-IN"/>
          </w:rPr>
          <w:t>https://doi.org/10.1139/gen-2025-0063</w:t>
        </w:r>
      </w:hyperlink>
    </w:p>
    <w:p w14:paraId="73EE6C86" w14:textId="117A8C56" w:rsidR="000D5FFE"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Maciel-Rodríguez, M., Moreno-Valencia, F. D., &amp; Plascencia-Espinosa, M. (2025). Plant growth-promoting bacteria as biofertilizers to enhance acclimatization and productivity in crops. </w:t>
      </w:r>
      <w:r w:rsidRPr="00F01036">
        <w:rPr>
          <w:rFonts w:ascii="Calibri" w:hAnsi="Calibri"/>
          <w:i/>
          <w:iCs/>
          <w:sz w:val="19"/>
          <w:lang w:val="en-IN"/>
        </w:rPr>
        <w:t>Phytopathology and Plant Protection</w:t>
      </w:r>
      <w:r w:rsidRPr="00F01036">
        <w:rPr>
          <w:rFonts w:ascii="Calibri" w:hAnsi="Calibri"/>
          <w:sz w:val="19"/>
          <w:lang w:val="en-IN"/>
        </w:rPr>
        <w:t xml:space="preserve">, 140, 102866. </w:t>
      </w:r>
      <w:hyperlink r:id="rId12" w:history="1">
        <w:r w:rsidR="000D5FFE" w:rsidRPr="00F01036">
          <w:rPr>
            <w:rStyle w:val="Hyperlink"/>
            <w:rFonts w:ascii="Calibri" w:hAnsi="Calibri"/>
            <w:color w:val="auto"/>
            <w:sz w:val="19"/>
            <w:lang w:val="en-IN"/>
          </w:rPr>
          <w:t>https://doi.org/10.1016/j.pmpp.2025.102866</w:t>
        </w:r>
      </w:hyperlink>
    </w:p>
    <w:p w14:paraId="394CFA42" w14:textId="2FDF67BE" w:rsidR="000D5FFE"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Melkani, S., Manirakiza, N., Magana, G., Dold, B., Rabbany, A., &amp; VanWeelden, M. (2025). Transdisciplinary collaborations for advancing sustainable agricultural technology. </w:t>
      </w:r>
      <w:r w:rsidRPr="00F01036">
        <w:rPr>
          <w:rFonts w:ascii="Calibri" w:hAnsi="Calibri"/>
          <w:i/>
          <w:iCs/>
          <w:sz w:val="19"/>
          <w:lang w:val="en-IN"/>
        </w:rPr>
        <w:t>Current Opinion in Biotechnology</w:t>
      </w:r>
      <w:r w:rsidRPr="00F01036">
        <w:rPr>
          <w:rFonts w:ascii="Calibri" w:hAnsi="Calibri"/>
          <w:sz w:val="19"/>
          <w:lang w:val="en-IN"/>
        </w:rPr>
        <w:t xml:space="preserve">, 91, 103250. </w:t>
      </w:r>
      <w:hyperlink r:id="rId13" w:history="1">
        <w:r w:rsidR="000D5FFE" w:rsidRPr="00F01036">
          <w:rPr>
            <w:rStyle w:val="Hyperlink"/>
            <w:rFonts w:ascii="Calibri" w:hAnsi="Calibri"/>
            <w:color w:val="auto"/>
            <w:sz w:val="19"/>
            <w:lang w:val="en-IN"/>
          </w:rPr>
          <w:t>https://doi.org/10.1016/j.copbio.2024.103250</w:t>
        </w:r>
      </w:hyperlink>
    </w:p>
    <w:p w14:paraId="1519A901" w14:textId="696CDF22" w:rsidR="000D5FFE"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Narahari, Y. (2024). </w:t>
      </w:r>
      <w:r w:rsidRPr="00F01036">
        <w:rPr>
          <w:rFonts w:ascii="Calibri" w:hAnsi="Calibri"/>
          <w:i/>
          <w:iCs/>
          <w:sz w:val="19"/>
          <w:lang w:val="en-IN"/>
        </w:rPr>
        <w:t>The GRAMA project: Game theory, random processes, artificial intelligence, and machine learning for agriculture</w:t>
      </w:r>
      <w:r w:rsidRPr="00F01036">
        <w:rPr>
          <w:rFonts w:ascii="Calibri" w:hAnsi="Calibri"/>
          <w:sz w:val="19"/>
          <w:lang w:val="en-IN"/>
        </w:rPr>
        <w:t xml:space="preserve">. Game Theory Lab, Department of Computer Science and Automation, Indian Institute of Science (IISc), Bangalore. </w:t>
      </w:r>
      <w:hyperlink r:id="rId14" w:history="1">
        <w:r w:rsidR="000D5FFE" w:rsidRPr="00F01036">
          <w:rPr>
            <w:rStyle w:val="Hyperlink"/>
            <w:rFonts w:ascii="Calibri" w:hAnsi="Calibri"/>
            <w:color w:val="auto"/>
            <w:sz w:val="19"/>
            <w:lang w:val="en-IN"/>
          </w:rPr>
          <w:t>https://gtl.csa.iisc.ac.in/hari/publications/research-snippets/enabling-and-empowering-farmers-through-ai-and-game-theory/</w:t>
        </w:r>
      </w:hyperlink>
    </w:p>
    <w:p w14:paraId="6541C737" w14:textId="6A1A209C" w:rsidR="000D5FFE"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Rai, S., &amp; Pokhrel, P. (2025). Chitin and chitosan from shellfish waste and their applications in agriculture and biotechnology industries. </w:t>
      </w:r>
      <w:r w:rsidRPr="00F01036">
        <w:rPr>
          <w:rFonts w:ascii="Calibri" w:hAnsi="Calibri"/>
          <w:i/>
          <w:iCs/>
          <w:sz w:val="19"/>
          <w:lang w:val="en-IN"/>
        </w:rPr>
        <w:t>Bioresource Technology Reports / Composites Part A</w:t>
      </w:r>
      <w:r w:rsidRPr="00F01036">
        <w:rPr>
          <w:rFonts w:ascii="Calibri" w:hAnsi="Calibri"/>
          <w:sz w:val="19"/>
          <w:lang w:val="en-IN"/>
        </w:rPr>
        <w:t xml:space="preserve">, 45(3), 110124. </w:t>
      </w:r>
      <w:hyperlink r:id="rId15" w:history="1">
        <w:r w:rsidR="000D5FFE" w:rsidRPr="00F01036">
          <w:rPr>
            <w:rStyle w:val="Hyperlink"/>
            <w:rFonts w:ascii="Calibri" w:hAnsi="Calibri"/>
            <w:color w:val="auto"/>
            <w:sz w:val="19"/>
            <w:lang w:val="en-IN"/>
          </w:rPr>
          <w:t>https://doi.org/10.1016/j.compositesa.2026.110124</w:t>
        </w:r>
      </w:hyperlink>
    </w:p>
    <w:p w14:paraId="50E960F5" w14:textId="77777777" w:rsidR="000D5FFE"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Rai, S., &amp; Pokhrel, P. (2026). Bio-derived polymeric composites and nano-carriers for agrochemical delivery. </w:t>
      </w:r>
      <w:r w:rsidRPr="00F01036">
        <w:rPr>
          <w:rFonts w:ascii="Calibri" w:hAnsi="Calibri"/>
          <w:i/>
          <w:iCs/>
          <w:sz w:val="19"/>
          <w:lang w:val="en-IN"/>
        </w:rPr>
        <w:t>Bioresource Technology Reports</w:t>
      </w:r>
      <w:r w:rsidRPr="00F01036">
        <w:rPr>
          <w:rFonts w:ascii="Calibri" w:hAnsi="Calibri"/>
          <w:sz w:val="19"/>
          <w:lang w:val="en-IN"/>
        </w:rPr>
        <w:t xml:space="preserve">, 32, 102892. </w:t>
      </w:r>
      <w:hyperlink r:id="rId16" w:history="1">
        <w:r w:rsidR="000D5FFE" w:rsidRPr="00F01036">
          <w:rPr>
            <w:rStyle w:val="Hyperlink"/>
            <w:rFonts w:ascii="Calibri" w:hAnsi="Calibri"/>
            <w:color w:val="auto"/>
            <w:sz w:val="19"/>
            <w:lang w:val="en-IN"/>
          </w:rPr>
          <w:t>https://doi.org/10.1016/j.biteb.2026.102892</w:t>
        </w:r>
      </w:hyperlink>
    </w:p>
    <w:p w14:paraId="75EEC84A" w14:textId="242357E3" w:rsidR="000D5FFE" w:rsidRPr="00F01036" w:rsidRDefault="000D5FFE" w:rsidP="000D5FFE">
      <w:pPr>
        <w:pStyle w:val="ListParagraph"/>
        <w:numPr>
          <w:ilvl w:val="0"/>
          <w:numId w:val="11"/>
        </w:numPr>
        <w:spacing w:after="120"/>
        <w:rPr>
          <w:rFonts w:ascii="Calibri" w:hAnsi="Calibri"/>
          <w:sz w:val="19"/>
          <w:lang w:val="en-IN"/>
        </w:rPr>
      </w:pPr>
      <w:r w:rsidRPr="00F01036">
        <w:rPr>
          <w:rFonts w:ascii="Calibri" w:hAnsi="Calibri"/>
          <w:sz w:val="19"/>
        </w:rPr>
        <w:t>Bindyalaxmi, K., Kamalolbhavan, B.N., Manju Elizabeth, P., Ashwath, M.N. (2026)</w:t>
      </w:r>
      <w:r w:rsidR="00303B96" w:rsidRPr="00F01036">
        <w:rPr>
          <w:rFonts w:ascii="Calibri" w:hAnsi="Calibri"/>
          <w:sz w:val="19"/>
          <w:lang w:val="en-IN"/>
        </w:rPr>
        <w:t xml:space="preserve">. </w:t>
      </w:r>
      <w:r w:rsidRPr="00F01036">
        <w:rPr>
          <w:rFonts w:ascii="Calibri" w:hAnsi="Calibri"/>
          <w:sz w:val="19"/>
        </w:rPr>
        <w:t>Gene Editing Advancing Climate-Resilient Crop Development.</w:t>
      </w:r>
      <w:r w:rsidRPr="00F01036">
        <w:rPr>
          <w:rFonts w:ascii="Calibri" w:hAnsi="Calibri"/>
          <w:i/>
          <w:iCs/>
          <w:sz w:val="19"/>
          <w:lang w:val="en-IN"/>
        </w:rPr>
        <w:t xml:space="preserve"> </w:t>
      </w:r>
      <w:r w:rsidRPr="00F01036">
        <w:rPr>
          <w:rFonts w:ascii="Calibri" w:hAnsi="Calibri"/>
          <w:i/>
          <w:iCs/>
          <w:sz w:val="19"/>
        </w:rPr>
        <w:t>Modern Technology for Climate Change Agriculture</w:t>
      </w:r>
      <w:r w:rsidRPr="00F01036">
        <w:rPr>
          <w:rFonts w:ascii="Calibri" w:hAnsi="Calibri"/>
          <w:i/>
          <w:iCs/>
          <w:sz w:val="19"/>
        </w:rPr>
        <w:t xml:space="preserve">, </w:t>
      </w:r>
      <w:r w:rsidR="00303B96" w:rsidRPr="00F01036">
        <w:rPr>
          <w:rFonts w:ascii="Calibri" w:hAnsi="Calibri"/>
          <w:i/>
          <w:iCs/>
          <w:sz w:val="19"/>
          <w:lang w:val="en-IN"/>
        </w:rPr>
        <w:t>Springer, Cham</w:t>
      </w:r>
      <w:r w:rsidR="00303B96" w:rsidRPr="00F01036">
        <w:rPr>
          <w:rFonts w:ascii="Calibri" w:hAnsi="Calibri"/>
          <w:sz w:val="19"/>
          <w:lang w:val="en-IN"/>
        </w:rPr>
        <w:t xml:space="preserve">. </w:t>
      </w:r>
      <w:hyperlink r:id="rId17" w:history="1">
        <w:r w:rsidRPr="00F01036">
          <w:rPr>
            <w:rStyle w:val="Hyperlink"/>
            <w:rFonts w:ascii="Calibri" w:hAnsi="Calibri"/>
            <w:color w:val="auto"/>
            <w:sz w:val="19"/>
          </w:rPr>
          <w:t>https://doi.org/10.1007/978-3-032-21053-1_10</w:t>
        </w:r>
      </w:hyperlink>
    </w:p>
    <w:p w14:paraId="3DFB831C" w14:textId="2096B017" w:rsidR="00303B96" w:rsidRPr="00F01036" w:rsidRDefault="00303B96" w:rsidP="000D5FFE">
      <w:pPr>
        <w:pStyle w:val="ListParagraph"/>
        <w:numPr>
          <w:ilvl w:val="0"/>
          <w:numId w:val="11"/>
        </w:numPr>
        <w:spacing w:after="120"/>
        <w:rPr>
          <w:rFonts w:ascii="Calibri" w:hAnsi="Calibri"/>
          <w:sz w:val="19"/>
          <w:lang w:val="en-IN"/>
        </w:rPr>
      </w:pPr>
      <w:r w:rsidRPr="00F01036">
        <w:rPr>
          <w:rFonts w:ascii="Calibri" w:hAnsi="Calibri"/>
          <w:sz w:val="19"/>
          <w:lang w:val="en-IN"/>
        </w:rPr>
        <w:t xml:space="preserve">Towards Healthcare. (2025). </w:t>
      </w:r>
      <w:r w:rsidRPr="00F01036">
        <w:rPr>
          <w:rFonts w:ascii="Calibri" w:hAnsi="Calibri"/>
          <w:i/>
          <w:iCs/>
          <w:sz w:val="19"/>
          <w:lang w:val="en-IN"/>
        </w:rPr>
        <w:t>Agricultural biotechnology market sizing, share, industry insights, and global forecast</w:t>
      </w:r>
      <w:r w:rsidRPr="00F01036">
        <w:rPr>
          <w:rFonts w:ascii="Calibri" w:hAnsi="Calibri"/>
          <w:sz w:val="19"/>
          <w:lang w:val="en-IN"/>
        </w:rPr>
        <w:t>. Towards Healthcare Research. https://www.towardshealthcare.com/insights/agricultural-biotechnology-market-sizing</w:t>
      </w:r>
      <w:r w:rsidR="00D376B9" w:rsidRPr="00F01036">
        <w:rPr>
          <w:rFonts w:ascii="Calibri" w:hAnsi="Calibri"/>
          <w:sz w:val="19"/>
          <w:lang w:val="en-IN"/>
        </w:rPr>
        <w:t>.</w:t>
      </w:r>
    </w:p>
    <w:sectPr w:rsidR="00303B96" w:rsidRPr="00F010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65209"/>
    <w:multiLevelType w:val="hybridMultilevel"/>
    <w:tmpl w:val="AD66C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CE20BD"/>
    <w:multiLevelType w:val="hybridMultilevel"/>
    <w:tmpl w:val="09B6F7E6"/>
    <w:lvl w:ilvl="0" w:tplc="DB6A28F0">
      <w:start w:val="1"/>
      <w:numFmt w:val="decimal"/>
      <w:lvlText w:val="%1."/>
      <w:lvlJc w:val="left"/>
      <w:pPr>
        <w:ind w:left="720" w:hanging="360"/>
      </w:pPr>
      <w:rPr>
        <w:rFonts w:ascii="Calibri" w:hAnsi="Calibri" w:hint="default"/>
        <w:b/>
        <w:color w:val="1B365D"/>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C27873"/>
    <w:multiLevelType w:val="hybridMultilevel"/>
    <w:tmpl w:val="6EE601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5220D6"/>
    <w:multiLevelType w:val="hybridMultilevel"/>
    <w:tmpl w:val="E6BA166C"/>
    <w:lvl w:ilvl="0" w:tplc="2FA4F97E">
      <w:start w:val="1"/>
      <w:numFmt w:val="decimal"/>
      <w:lvlText w:val="%1."/>
      <w:lvlJc w:val="left"/>
      <w:pPr>
        <w:ind w:left="720" w:hanging="360"/>
      </w:pPr>
      <w:rPr>
        <w:rFonts w:ascii="Calibri" w:hAnsi="Calibri" w:hint="default"/>
        <w:b/>
        <w:color w:val="2C628F"/>
        <w:sz w:val="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C3371B"/>
    <w:multiLevelType w:val="hybridMultilevel"/>
    <w:tmpl w:val="736ED2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B818F6"/>
    <w:multiLevelType w:val="hybridMultilevel"/>
    <w:tmpl w:val="7D1C34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DB7937"/>
    <w:multiLevelType w:val="hybridMultilevel"/>
    <w:tmpl w:val="6EE601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B8B5C5B"/>
    <w:multiLevelType w:val="hybridMultilevel"/>
    <w:tmpl w:val="9B5205C0"/>
    <w:lvl w:ilvl="0" w:tplc="4009000F">
      <w:start w:val="1"/>
      <w:numFmt w:val="decimal"/>
      <w:lvlText w:val="%1."/>
      <w:lvlJc w:val="left"/>
      <w:pPr>
        <w:ind w:left="764" w:hanging="360"/>
      </w:p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num w:numId="1" w16cid:durableId="1898128576">
    <w:abstractNumId w:val="8"/>
  </w:num>
  <w:num w:numId="2" w16cid:durableId="560405317">
    <w:abstractNumId w:val="6"/>
  </w:num>
  <w:num w:numId="3" w16cid:durableId="541987717">
    <w:abstractNumId w:val="5"/>
  </w:num>
  <w:num w:numId="4" w16cid:durableId="1287271752">
    <w:abstractNumId w:val="4"/>
  </w:num>
  <w:num w:numId="5" w16cid:durableId="1214654021">
    <w:abstractNumId w:val="7"/>
  </w:num>
  <w:num w:numId="6" w16cid:durableId="945650576">
    <w:abstractNumId w:val="3"/>
  </w:num>
  <w:num w:numId="7" w16cid:durableId="917439647">
    <w:abstractNumId w:val="2"/>
  </w:num>
  <w:num w:numId="8" w16cid:durableId="704598390">
    <w:abstractNumId w:val="1"/>
  </w:num>
  <w:num w:numId="9" w16cid:durableId="1460950748">
    <w:abstractNumId w:val="0"/>
  </w:num>
  <w:num w:numId="10" w16cid:durableId="464390504">
    <w:abstractNumId w:val="16"/>
  </w:num>
  <w:num w:numId="11" w16cid:durableId="33581076">
    <w:abstractNumId w:val="11"/>
  </w:num>
  <w:num w:numId="12" w16cid:durableId="1969311707">
    <w:abstractNumId w:val="15"/>
  </w:num>
  <w:num w:numId="13" w16cid:durableId="2059471177">
    <w:abstractNumId w:val="14"/>
  </w:num>
  <w:num w:numId="14" w16cid:durableId="314914922">
    <w:abstractNumId w:val="10"/>
  </w:num>
  <w:num w:numId="15" w16cid:durableId="1261329475">
    <w:abstractNumId w:val="13"/>
  </w:num>
  <w:num w:numId="16" w16cid:durableId="815293056">
    <w:abstractNumId w:val="12"/>
  </w:num>
  <w:num w:numId="17" w16cid:durableId="1191338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60"/>
    <w:rsid w:val="00034616"/>
    <w:rsid w:val="0006063C"/>
    <w:rsid w:val="00061FEF"/>
    <w:rsid w:val="000D5FFE"/>
    <w:rsid w:val="0015074B"/>
    <w:rsid w:val="00161811"/>
    <w:rsid w:val="00235775"/>
    <w:rsid w:val="0029639D"/>
    <w:rsid w:val="00303B96"/>
    <w:rsid w:val="00326F90"/>
    <w:rsid w:val="008314CE"/>
    <w:rsid w:val="00856E77"/>
    <w:rsid w:val="008B125A"/>
    <w:rsid w:val="00901898"/>
    <w:rsid w:val="00AA1D8D"/>
    <w:rsid w:val="00B47730"/>
    <w:rsid w:val="00CB0664"/>
    <w:rsid w:val="00CE3A9E"/>
    <w:rsid w:val="00D376B9"/>
    <w:rsid w:val="00E1318E"/>
    <w:rsid w:val="00F01036"/>
    <w:rsid w:val="00F55CDA"/>
    <w:rsid w:val="00FA7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3CA83"/>
  <w14:defaultImageDpi w14:val="300"/>
  <w15:docId w15:val="{A8131651-6285-4BB8-9A7D-ECA0CBF9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3B96"/>
    <w:rPr>
      <w:color w:val="0000FF" w:themeColor="hyperlink"/>
      <w:u w:val="single"/>
    </w:rPr>
  </w:style>
  <w:style w:type="character" w:styleId="UnresolvedMention">
    <w:name w:val="Unresolved Mention"/>
    <w:basedOn w:val="DefaultParagraphFont"/>
    <w:uiPriority w:val="99"/>
    <w:semiHidden/>
    <w:unhideWhenUsed/>
    <w:rsid w:val="00303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eantech.com/crop-science-innovation-in-2025-the-frontline-of-climate-resilience/" TargetMode="External"/><Relationship Id="rId13" Type="http://schemas.openxmlformats.org/officeDocument/2006/relationships/hyperlink" Target="https://doi.org/10.1016/j.copbio.2024.10325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21/acs.jafc.3c00913" TargetMode="External"/><Relationship Id="rId12" Type="http://schemas.openxmlformats.org/officeDocument/2006/relationships/hyperlink" Target="https://doi.org/10.1016/j.pmpp.2025.102866" TargetMode="External"/><Relationship Id="rId17" Type="http://schemas.openxmlformats.org/officeDocument/2006/relationships/hyperlink" Target="https://doi.org/10.1007/978-3-032-21053-1_10" TargetMode="External"/><Relationship Id="rId2" Type="http://schemas.openxmlformats.org/officeDocument/2006/relationships/numbering" Target="numbering.xml"/><Relationship Id="rId16" Type="http://schemas.openxmlformats.org/officeDocument/2006/relationships/hyperlink" Target="https://doi.org/10.1016/j.biteb.2026.102892" TargetMode="External"/><Relationship Id="rId1" Type="http://schemas.openxmlformats.org/officeDocument/2006/relationships/customXml" Target="../customXml/item1.xml"/><Relationship Id="rId6" Type="http://schemas.openxmlformats.org/officeDocument/2006/relationships/hyperlink" Target="https://www.agrisage.io/" TargetMode="External"/><Relationship Id="rId11" Type="http://schemas.openxmlformats.org/officeDocument/2006/relationships/hyperlink" Target="https://doi.org/10.1139/gen-2025-0063" TargetMode="External"/><Relationship Id="rId5" Type="http://schemas.openxmlformats.org/officeDocument/2006/relationships/webSettings" Target="webSettings.xml"/><Relationship Id="rId15" Type="http://schemas.openxmlformats.org/officeDocument/2006/relationships/hyperlink" Target="https://doi.org/10.1016/j.compositesa.2026.110124" TargetMode="External"/><Relationship Id="rId10" Type="http://schemas.openxmlformats.org/officeDocument/2006/relationships/hyperlink" Target="https://doi.org/10.3389/fagro.2026.182419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armonaut.com/blogs/agricultural-biotechnology-transforming-farming-futures" TargetMode="External"/><Relationship Id="rId14" Type="http://schemas.openxmlformats.org/officeDocument/2006/relationships/hyperlink" Target="https://gtl.csa.iisc.ac.in/hari/publications/research-snippets/enabling-and-empowering-farmers-through-ai-and-game-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2021</Words>
  <Characters>15401</Characters>
  <Application>Microsoft Office Word</Application>
  <DocSecurity>0</DocSecurity>
  <Lines>216</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titusebastian@gmail.com</cp:lastModifiedBy>
  <cp:revision>3</cp:revision>
  <dcterms:created xsi:type="dcterms:W3CDTF">2026-09-29T17:43:00Z</dcterms:created>
  <dcterms:modified xsi:type="dcterms:W3CDTF">2026-09-29T17:47:00Z</dcterms:modified>
  <cp:category/>
</cp:coreProperties>
</file>