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2.png" ContentType="image/png"/>
  <Override PartName="/word/media/rId46.png" ContentType="image/png"/>
  <Override PartName="/word/media/rId52.png" ContentType="image/png"/>
  <Override PartName="/word/media/rId34.png" ContentType="image/png"/>
  <Override PartName="/word/media/rId30.png" ContentType="image/png"/>
  <Override PartName="/word/media/rId26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Модель гармонических колебаний</w:t>
      </w:r>
    </w:p>
    <w:p>
      <w:pPr>
        <w:pStyle w:val="Author"/>
      </w:pPr>
      <w:r>
        <w:t xml:space="preserve">Анна Светцова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гармонический осциллятор в трёх режимах: без затухания и внешней силы, с затуханием без внешнего воздействия и с затуханием при наличии периодической внешней силы. Построить решения и фазовые портреты, а также выполнить параметрическое исследование влияния коэффициента затухания.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Для варианта 58 необходимо исследовать следующие уравнения.</w:t>
      </w:r>
    </w:p>
    <w:p>
      <w:pPr>
        <w:pStyle w:val="BodyText"/>
      </w:pPr>
      <w:r>
        <w:t xml:space="preserve">Без затухания и внешней силы: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3.7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 затуханием и без внешней силы: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10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 затуханием и внешней периодической силой: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11</m:t>
          </m:r>
          <m:r>
            <m:t>x</m:t>
          </m:r>
          <m:r>
            <m:rPr>
              <m:sty m:val="p"/>
            </m:rPr>
            <m:t>=</m:t>
          </m:r>
          <m:r>
            <m:t>0.9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0.9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Расчёт выполняется на интервале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;</m:t>
              </m:r>
              <m:r>
                <m:t>63</m:t>
              </m:r>
            </m:e>
          </m:d>
        </m:oMath>
      </m:oMathPara>
    </w:p>
    <w:p>
      <w:pPr>
        <w:pStyle w:val="FirstParagraph"/>
      </w:pPr>
      <w:r>
        <w:t xml:space="preserve">с шагом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и начальными условиями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.</m:t>
          </m:r>
        </m:oMath>
      </m:oMathPara>
    </w:p>
    <w:bookmarkEnd w:id="21"/>
    <w:bookmarkStart w:id="25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Гармонический осциллятор описывается дифференциальным уравнением второго порядка. В общем виде модель можно записать как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γ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координата,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затухания,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 системы, 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внешняя сила.</w:t>
      </w:r>
    </w:p>
    <w:p>
      <w:pPr>
        <w:pStyle w:val="BodyText"/>
      </w:pPr>
      <w:r>
        <w:t xml:space="preserve">Для численного решения уравнение второго порядка преобразуется в систему двух уравнений первого порядка. Если обозначить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получаем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γ</m:t>
          </m:r>
          <m:r>
            <m:t>v</m:t>
          </m:r>
          <m:r>
            <m:rPr>
              <m:sty m:val="p"/>
            </m:rPr>
            <m:t>−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Именно эта форма использована в программе.</w:t>
      </w:r>
    </w:p>
    <w:bookmarkStart w:id="22" w:name="осциллятор-без-затухания"/>
    <w:p>
      <w:pPr>
        <w:pStyle w:val="Heading2"/>
      </w:pPr>
      <w:r>
        <w:t xml:space="preserve">3.1 Осциллятор без затухания</w:t>
      </w:r>
    </w:p>
    <w:p>
      <w:pPr>
        <w:pStyle w:val="FirstParagraph"/>
      </w:pPr>
      <w:r>
        <w:t xml:space="preserve">Для первого случая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3.7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отсутствуют и диссипативный член, и внешнее воздействие. Поэтому энергия идеальной системы сохраняется, а решение представляет собой незатухающие периодические колебания.</w:t>
      </w:r>
    </w:p>
    <w:bookmarkEnd w:id="22"/>
    <w:bookmarkStart w:id="23" w:name="осциллятор-с-затуханием"/>
    <w:p>
      <w:pPr>
        <w:pStyle w:val="Heading2"/>
      </w:pPr>
      <w:r>
        <w:t xml:space="preserve">3.2 Осциллятор с затуханием</w:t>
      </w:r>
    </w:p>
    <w:p>
      <w:pPr>
        <w:pStyle w:val="FirstParagraph"/>
      </w:pPr>
      <w:r>
        <w:t xml:space="preserve">Во втором случае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10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Член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приводит к рассеянию энергии. Амплитуда колебаний со временем уменьшается, а фазовая траектория стягивается к положению равновесия.</w:t>
      </w:r>
    </w:p>
    <w:bookmarkEnd w:id="23"/>
    <w:bookmarkStart w:id="24" w:name="осциллятор-с-внешней-силой"/>
    <w:p>
      <w:pPr>
        <w:pStyle w:val="Heading2"/>
      </w:pPr>
      <w:r>
        <w:t xml:space="preserve">3.3 Осциллятор с внешней силой</w:t>
      </w:r>
    </w:p>
    <w:p>
      <w:pPr>
        <w:pStyle w:val="FirstParagraph"/>
      </w:pPr>
      <w:r>
        <w:t xml:space="preserve">В третьем случае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11</m:t>
          </m:r>
          <m:r>
            <m:t>x</m:t>
          </m:r>
          <m:r>
            <m:rPr>
              <m:sty m:val="p"/>
            </m:rPr>
            <m:t>=</m:t>
          </m:r>
          <m:r>
            <m:t>0.9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0.9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Периодическая внешняя сила непрерывно передаёт системе энергию. После затухания переходного процесса движение определяется совместным действием диссипации и внешнего возбуждения.</w:t>
      </w:r>
    </w:p>
    <w:bookmarkEnd w:id="24"/>
    <w:bookmarkEnd w:id="25"/>
    <w:bookmarkStart w:id="29" w:name="реализация-вычислительного-эксперимента"/>
    <w:p>
      <w:pPr>
        <w:pStyle w:val="Heading1"/>
      </w:pPr>
      <w:r>
        <w:t xml:space="preserve">4. Реализация вычислительного эксперимента</w:t>
      </w:r>
    </w:p>
    <w:p>
      <w:pPr>
        <w:pStyle w:val="FirstParagraph"/>
      </w:pPr>
      <w:r>
        <w:t xml:space="preserve">Для решения систем использован пакет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и метод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. Для всех трёх вариантов применены одинаковые начальные условия и один временной интервал. Результаты сохраняются в CSV, а графики — в PNG.</w:t>
      </w:r>
    </w:p>
    <w:p>
      <w:pPr>
        <w:pStyle w:val="BodyText"/>
      </w:pPr>
      <w:r>
        <w:t xml:space="preserve">На скриншоте показан успешный запуск основного вычислительного эксперимента.</w:t>
      </w:r>
    </w:p>
    <w:p>
      <w:pPr>
        <w:pStyle w:val="BodyText"/>
      </w:pPr>
      <w:r>
        <w:drawing>
          <wp:inline>
            <wp:extent cx="4907280" cy="276034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execution-bas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Программа завершилась сообщением</w:t>
      </w:r>
      <w:r>
        <w:t xml:space="preserve"> </w:t>
      </w:r>
      <w:r>
        <w:rPr>
          <w:rStyle w:val="VerbatimChar"/>
        </w:rPr>
        <w:t xml:space="preserve">LAB03 BASE OK</w:t>
      </w:r>
      <w:r>
        <w:t xml:space="preserve">. Получены следующие максимальные абсолютные отклонения: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Случай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Без затухания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0.5804968400554555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 затуханием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0.255055812230166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 внешней силой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0.25201060779719703</w:t>
            </w:r>
          </w:p>
        </w:tc>
      </w:tr>
    </w:tbl>
    <w:bookmarkEnd w:id="29"/>
    <w:bookmarkStart w:id="51" w:name="результаты-основного-эксперимента"/>
    <w:p>
      <w:pPr>
        <w:pStyle w:val="Heading1"/>
      </w:pPr>
      <w:r>
        <w:t xml:space="preserve">5. Результаты основного эксперимента</w:t>
      </w:r>
    </w:p>
    <w:bookmarkStart w:id="33" w:name="временные-зависимости"/>
    <w:p>
      <w:pPr>
        <w:pStyle w:val="Heading2"/>
      </w:pPr>
      <w:r>
        <w:t xml:space="preserve">5.1 Временные зависимости</w:t>
      </w:r>
    </w:p>
    <w:p>
      <w:pPr>
        <w:pStyle w:val="FirstParagraph"/>
      </w:pPr>
      <w:r>
        <w:t xml:space="preserve">На одном графике сравниваются решения всех трёх уравнений.</w:t>
      </w:r>
    </w:p>
    <w:p>
      <w:pPr>
        <w:pStyle w:val="BodyText"/>
      </w:pPr>
      <w:r>
        <w:drawing>
          <wp:inline>
            <wp:extent cx="4693920" cy="312928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./project/plots/oscillator_solution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первом случае колебания сохраняют амплитуду. Во втором случае колебания быстро затухают. В третьем случае после переходного процесса сохраняется вынужденная составляющая движения, связанная с периодической внешней силой.</w:t>
      </w:r>
    </w:p>
    <w:bookmarkEnd w:id="33"/>
    <w:bookmarkStart w:id="37" w:name="фазовые-портреты"/>
    <w:p>
      <w:pPr>
        <w:pStyle w:val="Heading2"/>
      </w:pPr>
      <w:r>
        <w:t xml:space="preserve">5.2 Фазовые портреты</w:t>
      </w:r>
    </w:p>
    <w:p>
      <w:pPr>
        <w:pStyle w:val="FirstParagraph"/>
      </w:pPr>
      <w:r>
        <w:drawing>
          <wp:inline>
            <wp:extent cx="4693920" cy="312928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project/plots/oscillator_phas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Для незатухающего осциллятора фазовая траектория замкнута. При наличии затухания траектория приближается к положению равновесия. При внешнем периодическом воздействии после переходного процесса устанавливается вынужденное движение.</w:t>
      </w:r>
    </w:p>
    <w:bookmarkEnd w:id="37"/>
    <w:bookmarkStart w:id="50" w:name="отдельные-режимы"/>
    <w:p>
      <w:pPr>
        <w:pStyle w:val="Heading2"/>
      </w:pPr>
      <w:r>
        <w:t xml:space="preserve">5.3 Отдельные режимы</w:t>
      </w:r>
    </w:p>
    <w:bookmarkStart w:id="41" w:name="без-затухания"/>
    <w:p>
      <w:pPr>
        <w:pStyle w:val="Heading3"/>
      </w:pPr>
      <w:r>
        <w:t xml:space="preserve">5.3.1 Без затухания</w:t>
      </w:r>
    </w:p>
    <w:p>
      <w:pPr>
        <w:pStyle w:val="FirstParagraph"/>
      </w:pPr>
      <w:r>
        <w:drawing>
          <wp:inline>
            <wp:extent cx="4480560" cy="298704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./project/plots/oscillator_case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Колебания имеют постоянную амплитуду, что соответствует отсутствию потерь энергии.</w:t>
      </w:r>
    </w:p>
    <w:bookmarkEnd w:id="41"/>
    <w:bookmarkStart w:id="45" w:name="с-затуханием"/>
    <w:p>
      <w:pPr>
        <w:pStyle w:val="Heading3"/>
      </w:pPr>
      <w:r>
        <w:t xml:space="preserve">5.3.2 С затуханием</w:t>
      </w:r>
    </w:p>
    <w:p>
      <w:pPr>
        <w:pStyle w:val="FirstParagraph"/>
      </w:pPr>
      <w:r>
        <w:drawing>
          <wp:inline>
            <wp:extent cx="4480560" cy="298704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../project/plots/oscillator_case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Амплитуда быстро уменьшается, и система приближается к состоянию равновесия.</w:t>
      </w:r>
    </w:p>
    <w:bookmarkEnd w:id="45"/>
    <w:bookmarkStart w:id="49" w:name="с-затуханием-и-внешней-силой"/>
    <w:p>
      <w:pPr>
        <w:pStyle w:val="Heading3"/>
      </w:pPr>
      <w:r>
        <w:t xml:space="preserve">5.3.3 С затуханием и внешней силой</w:t>
      </w:r>
    </w:p>
    <w:p>
      <w:pPr>
        <w:pStyle w:val="FirstParagraph"/>
      </w:pPr>
      <w:r>
        <w:drawing>
          <wp:inline>
            <wp:extent cx="4480560" cy="298704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../project/plots/oscillator_case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После затухания переходной составляющей остаётся движение, поддерживаемое внешним периодическим воздействием.</w:t>
      </w:r>
    </w:p>
    <w:bookmarkEnd w:id="49"/>
    <w:bookmarkEnd w:id="50"/>
    <w:bookmarkEnd w:id="51"/>
    <w:bookmarkStart w:id="55" w:name="параметрическое-исследование"/>
    <w:p>
      <w:pPr>
        <w:pStyle w:val="Heading1"/>
      </w:pPr>
      <w:r>
        <w:t xml:space="preserve">6. Параметрическое исследование</w:t>
      </w:r>
    </w:p>
    <w:p>
      <w:pPr>
        <w:pStyle w:val="FirstParagraph"/>
      </w:pPr>
      <w:r>
        <w:t xml:space="preserve">Дополнительно исследовано влияние коэффициента затухания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в модели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γ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10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Использованы значения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каждого значения задача решается заново с одинаковыми начальными условиями.</w:t>
      </w:r>
    </w:p>
    <w:p>
      <w:pPr>
        <w:pStyle w:val="BodyText"/>
      </w:pPr>
      <w:r>
        <w:drawing>
          <wp:inline>
            <wp:extent cx="4693920" cy="312928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../project/plots/oscillator_damping_sca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Чем больше коэффициент затухания, тем быстрее уменьшается амплитуда и тем быстрее система теряет энергию.</w:t>
      </w:r>
    </w:p>
    <w:p>
      <w:pPr>
        <w:pStyle w:val="BodyText"/>
      </w:pPr>
      <w:r>
        <w:t xml:space="preserve">Полученные численные характеристики: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Максимальная амплитуда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Финальная амплитуда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0.313136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2.01805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0.255056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8.41421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0.221051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4.71306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</w:tbl>
    <w:bookmarkEnd w:id="55"/>
    <w:bookmarkStart w:id="59" w:name="литературное-программирование"/>
    <w:p>
      <w:pPr>
        <w:pStyle w:val="Heading1"/>
      </w:pPr>
      <w:r>
        <w:t xml:space="preserve">7. Литературное программирование</w:t>
      </w:r>
    </w:p>
    <w:p>
      <w:pPr>
        <w:pStyle w:val="FirstParagraph"/>
      </w:pPr>
      <w:r>
        <w:t xml:space="preserve">Исходный код оформлен в литературном стиле и содержит одновременно программную реализацию и описание математической модели.</w:t>
      </w:r>
    </w:p>
    <w:p>
      <w:pPr>
        <w:pStyle w:val="BodyText"/>
      </w:pPr>
      <w:r>
        <w:t xml:space="preserve">Из каждого литературного исходника автоматически сформированы:</w:t>
      </w:r>
    </w:p>
    <w:p>
      <w:pPr>
        <w:pStyle w:val="Compact"/>
        <w:numPr>
          <w:ilvl w:val="0"/>
          <w:numId w:val="1001"/>
        </w:numPr>
      </w:pPr>
      <w:r>
        <w:t xml:space="preserve">чистый Julia-код;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Quarto-документация.</w:t>
      </w:r>
    </w:p>
    <w:p>
      <w:pPr>
        <w:pStyle w:val="FirstParagraph"/>
      </w:pPr>
      <w:r>
        <w:t xml:space="preserve">На скриншоте показана успешная генерация производных форматов.</w:t>
      </w:r>
    </w:p>
    <w:p>
      <w:pPr>
        <w:pStyle w:val="BodyText"/>
      </w:pPr>
      <w:r>
        <w:drawing>
          <wp:inline>
            <wp:extent cx="4907280" cy="276034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generati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6" w:name="выполнение-jupyter-notebook"/>
    <w:p>
      <w:pPr>
        <w:pStyle w:val="Heading1"/>
      </w:pPr>
      <w:r>
        <w:t xml:space="preserve">8. Выполнение Jupyter Notebook</w:t>
      </w:r>
    </w:p>
    <w:p>
      <w:pPr>
        <w:pStyle w:val="FirstParagraph"/>
      </w:pPr>
      <w:r>
        <w:t xml:space="preserve">Основной notebook был выполнен в отдельном Julia-окружении лабораторной работы.</w:t>
      </w:r>
    </w:p>
    <w:p>
      <w:pPr>
        <w:pStyle w:val="BodyText"/>
      </w:pPr>
      <w:r>
        <w:drawing>
          <wp:inline>
            <wp:extent cx="4907280" cy="276034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notebook-bas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Также выполнен notebook параметрического исследования.</w:t>
      </w:r>
    </w:p>
    <w:p>
      <w:pPr>
        <w:pStyle w:val="BodyText"/>
      </w:pPr>
      <w:r>
        <w:drawing>
          <wp:inline>
            <wp:extent cx="4907280" cy="276034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notebook-parameter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Таким образом, основной и параметрический вычислительные эксперименты воспроизводятся не только из исходных Julia-скриптов, но и из сгенерированных Jupyter Notebook.</w:t>
      </w:r>
    </w:p>
    <w:bookmarkEnd w:id="66"/>
    <w:bookmarkStart w:id="67" w:name="документация-quarto"/>
    <w:p>
      <w:pPr>
        <w:pStyle w:val="Heading1"/>
      </w:pPr>
      <w:r>
        <w:t xml:space="preserve">9. Документация Quarto</w:t>
      </w:r>
    </w:p>
    <w:p>
      <w:pPr>
        <w:pStyle w:val="FirstParagraph"/>
      </w:pPr>
      <w:r>
        <w:t xml:space="preserve">Ниже подключена автоматически сгенерированная документация основного эксперимента.</w:t>
      </w:r>
    </w:p>
    <w:bookmarkEnd w:id="67"/>
    <w:bookmarkStart w:id="77" w:name="лабораторная-работа-3"/>
    <w:p>
      <w:pPr>
        <w:pStyle w:val="Heading1"/>
      </w:pPr>
      <w:r>
        <w:t xml:space="preserve">10. Лабораторная работа № 3</w:t>
      </w:r>
    </w:p>
    <w:bookmarkStart w:id="68" w:name="гармонический-осциллятор"/>
    <w:p>
      <w:pPr>
        <w:pStyle w:val="Heading2"/>
      </w:pPr>
      <w:r>
        <w:t xml:space="preserve">10.1 Гармонический осциллятор</w:t>
      </w:r>
    </w:p>
    <w:p>
      <w:pPr>
        <w:pStyle w:val="FirstParagraph"/>
      </w:pPr>
      <w:r>
        <w:t xml:space="preserve">Вариант 58.</w:t>
      </w:r>
    </w:p>
    <w:p>
      <w:pPr>
        <w:pStyle w:val="BodyText"/>
      </w:pPr>
      <w:r>
        <w:t xml:space="preserve">Исследуются три режима:</w:t>
      </w:r>
    </w:p>
    <w:p>
      <w:pPr>
        <w:pStyle w:val="Compact"/>
        <w:numPr>
          <w:ilvl w:val="0"/>
          <w:numId w:val="1002"/>
        </w:numPr>
      </w:pPr>
      <w:r>
        <w:t xml:space="preserve">без затухания и внешней силы;</w:t>
      </w:r>
    </w:p>
    <w:p>
      <w:pPr>
        <w:pStyle w:val="Compact"/>
        <w:numPr>
          <w:ilvl w:val="0"/>
          <w:numId w:val="1002"/>
        </w:numPr>
      </w:pPr>
      <w:r>
        <w:t xml:space="preserve">с затуханием;</w:t>
      </w:r>
    </w:p>
    <w:p>
      <w:pPr>
        <w:pStyle w:val="Compact"/>
        <w:numPr>
          <w:ilvl w:val="0"/>
          <w:numId w:val="1002"/>
        </w:numPr>
      </w:pPr>
      <w:r>
        <w:t xml:space="preserve">с затуханием и внешней периодической силой.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68"/>
    <w:bookmarkStart w:id="69" w:name="начальные-условия"/>
    <w:p>
      <w:pPr>
        <w:pStyle w:val="Heading2"/>
      </w:pPr>
      <w:r>
        <w:t xml:space="preserve">10.2 Начальные условия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v0]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63.0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</w:p>
    <w:bookmarkEnd w:id="69"/>
    <w:bookmarkStart w:id="70" w:name="случай-1"/>
    <w:p>
      <w:pPr>
        <w:pStyle w:val="Heading2"/>
      </w:pPr>
      <w:r>
        <w:t xml:space="preserve">10.3 Случай 1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3.7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oscillator1!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x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(oscillator1!, u0, tspan)</w:t>
      </w:r>
      <w:r>
        <w:br/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save_step,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sol1.t</w:t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.(sol1.u,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.(sol1.u,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bookmarkEnd w:id="70"/>
    <w:bookmarkStart w:id="71" w:name="случай-2"/>
    <w:p>
      <w:pPr>
        <w:pStyle w:val="Heading2"/>
      </w:pPr>
      <w:r>
        <w:t xml:space="preserve">10.4 Случай 2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10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oscillator2!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x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(oscillator2!, u0, tspan)</w:t>
      </w:r>
      <w:r>
        <w:br/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save_step,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sol2.t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.(sol2.u,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.(sol2.u,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bookmarkEnd w:id="71"/>
    <w:bookmarkStart w:id="72" w:name="случай-3"/>
    <w:p>
      <w:pPr>
        <w:pStyle w:val="Heading2"/>
      </w:pPr>
      <w:r>
        <w:t xml:space="preserve">10.5 Случай 3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11</m:t>
          </m:r>
          <m:r>
            <m:t>x</m:t>
          </m:r>
          <m:r>
            <m:rPr>
              <m:sty m:val="p"/>
            </m:rPr>
            <m:t>=</m:t>
          </m:r>
          <m:r>
            <m:t>0.9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0.9</m:t>
              </m:r>
              <m:r>
                <m:t>t</m:t>
              </m:r>
            </m:e>
          </m:d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oscillator3!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x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(oscillator3!, u0, tspan)</w:t>
      </w:r>
      <w:r>
        <w:br/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prob3,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save_step,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sol3.t</w:t>
      </w:r>
      <w:r>
        <w:br/>
      </w:r>
      <w:r>
        <w:rPr>
          <w:rStyle w:val="NormalTok"/>
        </w:rPr>
        <w:t xml:space="preserve">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.(sol3.u,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.(sol3.u,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bookmarkEnd w:id="72"/>
    <w:bookmarkStart w:id="73" w:name="сохранение-результатов"/>
    <w:p>
      <w:pPr>
        <w:pStyle w:val="Heading2"/>
      </w:pPr>
      <w:r>
        <w:t xml:space="preserve">10.6 Сохранение результатов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"data/oscillator_case1.csv"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t1,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x1, velocity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v1),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"data/oscillator_case2.csv"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t2,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x2, velocity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v2),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"data/oscillator_case3.csv"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t3,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x3, velocity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v3),</w:t>
      </w:r>
      <w:r>
        <w:br/>
      </w:r>
      <w:r>
        <w:rPr>
          <w:rStyle w:val="NormalTok"/>
        </w:rPr>
        <w:t xml:space="preserve">)</w:t>
      </w:r>
    </w:p>
    <w:bookmarkEnd w:id="73"/>
    <w:bookmarkStart w:id="74" w:name="временные-зависимости-1"/>
    <w:p>
      <w:pPr>
        <w:pStyle w:val="Heading2"/>
      </w:pPr>
      <w:r>
        <w:t xml:space="preserve">10.7 Временные зависимости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t1,</w:t>
      </w:r>
      <w:r>
        <w:br/>
      </w:r>
      <w:r>
        <w:rPr>
          <w:rStyle w:val="NormalTok"/>
        </w:rPr>
        <w:t xml:space="preserve">    x1;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 затухания"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"Гармонический осциллятор"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t2, x2;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 затуханием"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t3, x3;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 внешней силой"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"plots/oscillator_solutions.png"</w:t>
      </w:r>
      <w:r>
        <w:rPr>
          <w:rStyle w:val="NormalTok"/>
        </w:rPr>
        <w:t xml:space="preserve">)</w:t>
      </w:r>
    </w:p>
    <w:bookmarkEnd w:id="74"/>
    <w:bookmarkStart w:id="75" w:name="фазовые-портреты-1"/>
    <w:p>
      <w:pPr>
        <w:pStyle w:val="Heading2"/>
      </w:pPr>
      <w:r>
        <w:t xml:space="preserve">10.8 Фазовые портреты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x1,</w:t>
      </w:r>
      <w:r>
        <w:br/>
      </w:r>
      <w:r>
        <w:rPr>
          <w:rStyle w:val="NormalTok"/>
        </w:rPr>
        <w:t xml:space="preserve">    v1;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 затухания"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"Фазовые портреты"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x2, v2;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 затуханием"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x3, v3;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 внешней силой"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"plots/oscillator_phase.png"</w:t>
      </w:r>
      <w:r>
        <w:rPr>
          <w:rStyle w:val="NormalTok"/>
        </w:rPr>
        <w:t xml:space="preserve">)</w:t>
      </w:r>
    </w:p>
    <w:bookmarkEnd w:id="75"/>
    <w:bookmarkStart w:id="76" w:name="отдельные-графики"/>
    <w:p>
      <w:pPr>
        <w:pStyle w:val="Heading2"/>
      </w:pPr>
      <w:r>
        <w:t xml:space="preserve">10.9 Отдельные графики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t1,</w:t>
      </w:r>
      <w:r>
        <w:br/>
      </w:r>
      <w:r>
        <w:rPr>
          <w:rStyle w:val="NormalTok"/>
        </w:rPr>
        <w:t xml:space="preserve">    x1;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 затухания"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"plots/oscillator_case1.png"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t2,</w:t>
      </w:r>
      <w:r>
        <w:br/>
      </w:r>
      <w:r>
        <w:rPr>
          <w:rStyle w:val="NormalTok"/>
        </w:rPr>
        <w:t xml:space="preserve">    x2;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 затуханием"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StringTok"/>
        </w:rPr>
        <w:t xml:space="preserve">"plots/oscillator_case2.png"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t3,</w:t>
      </w:r>
      <w:r>
        <w:br/>
      </w:r>
      <w:r>
        <w:rPr>
          <w:rStyle w:val="NormalTok"/>
        </w:rPr>
        <w:t xml:space="preserve">    x3;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 затуханием и внешней силой"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"plots/oscillator_case3.png"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1: max |x|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.(x1)))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2: max |x|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.(x2)))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3: max |x|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.(x3)))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"LAB03 BASE 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Ниже подключена документация параметрического исследования.</w:t>
      </w:r>
    </w:p>
    <w:bookmarkEnd w:id="76"/>
    <w:bookmarkEnd w:id="77"/>
    <w:bookmarkStart w:id="79" w:name="X128bbcc172117ae0c363cd1390640e531f1a51e"/>
    <w:p>
      <w:pPr>
        <w:pStyle w:val="Heading1"/>
      </w:pPr>
      <w:r>
        <w:t xml:space="preserve">11. Параметрическое исследование гармонического осциллятора</w:t>
      </w:r>
    </w:p>
    <w:p>
      <w:pPr>
        <w:pStyle w:val="FirstParagraph"/>
      </w:pPr>
      <w:r>
        <w:t xml:space="preserve">Исследуем влияние коэффициента затухания gamma</w:t>
      </w:r>
      <w:r>
        <w:t xml:space="preserve"> </w:t>
      </w:r>
      <w:r>
        <w:t xml:space="preserve">на решение уравнения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″</m:t>
          </m:r>
          <m:r>
            <m:rPr>
              <m:sty m:val="p"/>
            </m:rPr>
            <m:t>+</m:t>
          </m:r>
          <m:r>
            <m:t>γ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10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Start w:id="78" w:name="исходные-данные"/>
    <w:p>
      <w:pPr>
        <w:pStyle w:val="Heading2"/>
      </w:pPr>
      <w:r>
        <w:t xml:space="preserve">11.1 Исходные данные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v0]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gamma_values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max_amplitude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коэффициента затухания"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gamma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gamma_values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oscillator!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    x,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oscillator!,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tspan,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problem,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save_step,</w:t>
      </w:r>
      <w:r>
        <w:br/>
      </w:r>
      <w:r>
        <w:rPr>
          <w:rStyle w:val="NormalTok"/>
        </w:rPr>
        <w:t xml:space="preserve">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solution.t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gamma,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p,</w:t>
      </w:r>
      <w:r>
        <w:br/>
      </w:r>
      <w:r>
        <w:rPr>
          <w:rStyle w:val="NormalTok"/>
        </w:rPr>
        <w:t xml:space="preserve">        time,</w:t>
      </w:r>
      <w:r>
        <w:br/>
      </w:r>
      <w:r>
        <w:rPr>
          <w:rStyle w:val="NormalTok"/>
        </w:rPr>
        <w:t xml:space="preserve">        x;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"gamma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(gamma)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"data/oscillator_parameter_scan.csv"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"plots/oscillator_damping_scan.png"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"LAB03 PARAMETERS OK"</w:t>
      </w:r>
      <w:r>
        <w:rPr>
          <w:rStyle w:val="NormalTok"/>
        </w:rPr>
        <w:t xml:space="preserve">)</w:t>
      </w:r>
    </w:p>
    <w:bookmarkEnd w:id="78"/>
    <w:bookmarkEnd w:id="79"/>
    <w:bookmarkStart w:id="80" w:name="результаты"/>
    <w:p>
      <w:pPr>
        <w:pStyle w:val="Heading1"/>
      </w:pPr>
      <w:r>
        <w:t xml:space="preserve">12. Результаты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Compact"/>
        <w:numPr>
          <w:ilvl w:val="0"/>
          <w:numId w:val="1003"/>
        </w:numPr>
      </w:pPr>
      <w:r>
        <w:t xml:space="preserve">реализованы три режима гармонического осциллятора;</w:t>
      </w:r>
    </w:p>
    <w:p>
      <w:pPr>
        <w:pStyle w:val="Compact"/>
        <w:numPr>
          <w:ilvl w:val="0"/>
          <w:numId w:val="1003"/>
        </w:numPr>
      </w:pPr>
      <w:r>
        <w:t xml:space="preserve">построены временные зависимости координаты;</w:t>
      </w:r>
    </w:p>
    <w:p>
      <w:pPr>
        <w:pStyle w:val="Compact"/>
        <w:numPr>
          <w:ilvl w:val="0"/>
          <w:numId w:val="1003"/>
        </w:numPr>
      </w:pPr>
      <w:r>
        <w:t xml:space="preserve">построены фазовые портреты;</w:t>
      </w:r>
    </w:p>
    <w:p>
      <w:pPr>
        <w:pStyle w:val="Compact"/>
        <w:numPr>
          <w:ilvl w:val="0"/>
          <w:numId w:val="1003"/>
        </w:numPr>
      </w:pPr>
      <w:r>
        <w:t xml:space="preserve">показано влияние затухания на динамику системы;</w:t>
      </w:r>
    </w:p>
    <w:p>
      <w:pPr>
        <w:pStyle w:val="Compact"/>
        <w:numPr>
          <w:ilvl w:val="0"/>
          <w:numId w:val="1003"/>
        </w:numPr>
      </w:pPr>
      <w:r>
        <w:t xml:space="preserve">исследована модель с внешней периодической силой;</w:t>
      </w:r>
    </w:p>
    <w:p>
      <w:pPr>
        <w:pStyle w:val="Compact"/>
        <w:numPr>
          <w:ilvl w:val="0"/>
          <w:numId w:val="1003"/>
        </w:numPr>
      </w:pPr>
      <w:r>
        <w:t xml:space="preserve">выполнено параметрическое исследование коэффициента затухания;</w:t>
      </w:r>
    </w:p>
    <w:p>
      <w:pPr>
        <w:pStyle w:val="Compact"/>
        <w:numPr>
          <w:ilvl w:val="0"/>
          <w:numId w:val="1003"/>
        </w:numPr>
      </w:pPr>
      <w:r>
        <w:t xml:space="preserve">результаты сохранены в табличном и графическом виде;</w:t>
      </w:r>
    </w:p>
    <w:p>
      <w:pPr>
        <w:pStyle w:val="Compact"/>
        <w:numPr>
          <w:ilvl w:val="0"/>
          <w:numId w:val="1003"/>
        </w:numPr>
      </w:pPr>
      <w:r>
        <w:t xml:space="preserve">из литературного кода созданы Julia, Jupyter и Quarto-представления;</w:t>
      </w:r>
    </w:p>
    <w:p>
      <w:pPr>
        <w:pStyle w:val="Compact"/>
        <w:numPr>
          <w:ilvl w:val="0"/>
          <w:numId w:val="1003"/>
        </w:numPr>
      </w:pPr>
      <w:r>
        <w:t xml:space="preserve">оба Jupyter Notebook успешно выполнены.</w:t>
      </w:r>
    </w:p>
    <w:bookmarkEnd w:id="80"/>
    <w:bookmarkStart w:id="81" w:name="вывод"/>
    <w:p>
      <w:pPr>
        <w:pStyle w:val="Heading1"/>
      </w:pPr>
      <w:r>
        <w:t xml:space="preserve">13. Вывод</w:t>
      </w:r>
    </w:p>
    <w:p>
      <w:pPr>
        <w:pStyle w:val="FirstParagraph"/>
      </w:pPr>
      <w:r>
        <w:t xml:space="preserve">В работе исследованы три режима гармонического осциллятора. При отсутствии затухания система совершает незатухающие периодические колебания. При введении диссипативного члена амплитуда уменьшается, а система стремится к положению равновесия. Периодическая внешняя сила поддерживает вынужденное движение после затухания переходного процесса.</w:t>
      </w:r>
    </w:p>
    <w:p>
      <w:pPr>
        <w:pStyle w:val="BodyText"/>
      </w:pPr>
      <w:r>
        <w:t xml:space="preserve">Параметрическое исследование показало, что коэффициент затухания существенно влияет на скорость снижения амплитуды: увеличение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приводит к более быстрому подавлению колебательного процесса.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Анна Светцова</dc:creator>
  <dc:language>ru-RU</dc:language>
  <cp:keywords/>
  <dcterms:created xsi:type="dcterms:W3CDTF">2026-10-07T23:33:05Z</dcterms:created>
  <dcterms:modified xsi:type="dcterms:W3CDTF">2026-10-07T23:33:05Z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Модель гармонических колебаний</vt:lpwstr>
  </property>
  <property fmtid="{D5CDD505-2E9C-101B-9397-08002B2CF9AE}" pid="17" name="toc-title">
    <vt:lpwstr>Содержание</vt:lpwstr>
  </property>
</Properties>
</file>