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Visakhapatnam District Development Plan</w:t>
      </w:r>
    </w:p>
    <w:p>
      <w:r>
        <w:t>FICTIONAL SAMPLE DOCUMENT. Prepared for a software engineering assessment. The Sunrise Coast Alliance (SCA), its schemes and all figures are invented.</w:t>
      </w:r>
    </w:p>
    <w:p>
      <w:pPr>
        <w:pStyle w:val="Heading1"/>
      </w:pPr>
      <w:r>
        <w:t>1. About This Plan</w:t>
      </w:r>
    </w:p>
    <w:p>
      <w:r>
        <w:t>This plan covers the Sunrise Coast Alliance's commitments for Visakhapatnam (Vizag), a port city with a large industrial base, a growing IT sector and a significant fishing community.</w:t>
      </w:r>
    </w:p>
    <w:p>
      <w:pPr>
        <w:pStyle w:val="Heading1"/>
      </w:pPr>
      <w:r>
        <w:t>2. Jobs and Industry in Visakhapatnam</w:t>
      </w:r>
    </w:p>
    <w:p>
      <w:pPr>
        <w:pStyle w:val="Heading2"/>
      </w:pPr>
      <w:r>
        <w:t>2.1 IT and Electronics Corridor</w:t>
      </w:r>
    </w:p>
    <w:p>
      <w:r>
        <w:t>An IT and electronics corridor along the Madhurawada–Bhogapuram stretch is expected to create 25,000 jobs within five years. Companies setting up in the corridor will receive a 50 percent rebate on electricity charges for five years.</w:t>
      </w:r>
    </w:p>
    <w:p>
      <w:pPr>
        <w:pStyle w:val="Heading2"/>
      </w:pPr>
      <w:r>
        <w:t>2.2 Port-Led Logistics</w:t>
      </w:r>
    </w:p>
    <w:p>
      <w:r>
        <w:t>A port-linked logistics hub will be developed with the Visakhapatnam port, with priority hiring for local youth trained at the city's Yuva Naipunya Skill Hub.</w:t>
      </w:r>
    </w:p>
    <w:p>
      <w:pPr>
        <w:pStyle w:val="Heading1"/>
      </w:pPr>
      <w:r>
        <w:t>3. Fisheries</w:t>
      </w:r>
    </w:p>
    <w:p>
      <w:r>
        <w:t>The fishing harbour will be modernised with new jetties, an ice plant and a hygienic fish market. Registered fishermen's families will receive the statewide lean-season allowance of 10,000 rupees during the fishing ban. Two hundred fishermen will receive subsidised deep-sea fishing boats each year.</w:t>
      </w:r>
    </w:p>
    <w:tbl>
      <w:tblPr>
        <w:tblStyle w:val="TableGrid"/>
        <w:tblW w:type="auto" w:w="0"/>
        <w:tblLook w:firstColumn="1" w:firstRow="1" w:lastColumn="0" w:lastRow="0" w:noHBand="0" w:noVBand="1" w:val="04A0"/>
      </w:tblPr>
      <w:tblGrid>
        <w:gridCol w:w="4320"/>
        <w:gridCol w:w="4320"/>
      </w:tblGrid>
      <w:tr>
        <w:tc>
          <w:tcPr>
            <w:tcW w:type="dxa" w:w="4320"/>
          </w:tcPr>
          <w:p>
            <w:r>
              <w:t>Fisheries commitment</w:t>
            </w:r>
          </w:p>
        </w:tc>
        <w:tc>
          <w:tcPr>
            <w:tcW w:type="dxa" w:w="4320"/>
          </w:tcPr>
          <w:p>
            <w:r>
              <w:t>Target</w:t>
            </w:r>
          </w:p>
        </w:tc>
      </w:tr>
      <w:tr>
        <w:tc>
          <w:tcPr>
            <w:tcW w:type="dxa" w:w="4320"/>
          </w:tcPr>
          <w:p>
            <w:r>
              <w:t>Lean-season allowance</w:t>
            </w:r>
          </w:p>
        </w:tc>
        <w:tc>
          <w:tcPr>
            <w:tcW w:type="dxa" w:w="4320"/>
          </w:tcPr>
          <w:p>
            <w:r>
              <w:t>10,000 rupees per family</w:t>
            </w:r>
          </w:p>
        </w:tc>
      </w:tr>
      <w:tr>
        <w:tc>
          <w:tcPr>
            <w:tcW w:type="dxa" w:w="4320"/>
          </w:tcPr>
          <w:p>
            <w:r>
              <w:t>Subsidised deep-sea boats</w:t>
            </w:r>
          </w:p>
        </w:tc>
        <w:tc>
          <w:tcPr>
            <w:tcW w:type="dxa" w:w="4320"/>
          </w:tcPr>
          <w:p>
            <w:r>
              <w:t>200 per year</w:t>
            </w:r>
          </w:p>
        </w:tc>
      </w:tr>
      <w:tr>
        <w:tc>
          <w:tcPr>
            <w:tcW w:type="dxa" w:w="4320"/>
          </w:tcPr>
          <w:p>
            <w:r>
              <w:t>Harbour modernisation</w:t>
            </w:r>
          </w:p>
        </w:tc>
        <w:tc>
          <w:tcPr>
            <w:tcW w:type="dxa" w:w="4320"/>
          </w:tcPr>
          <w:p>
            <w:r>
              <w:t>Completed by 2028</w:t>
            </w:r>
          </w:p>
        </w:tc>
      </w:tr>
    </w:tbl>
    <w:p>
      <w:pPr>
        <w:pStyle w:val="Heading1"/>
      </w:pPr>
      <w:r>
        <w:t>4. Healthcare in Visakhapatnam</w:t>
      </w:r>
    </w:p>
    <w:p>
      <w:r>
        <w:t>A 100-bed super-speciality cardiac and trauma centre will be built in Visakhapatnam to serve the north coastal districts. Industrial areas will get two occupational health clinics for workers exposed to dust and chemicals.</w:t>
      </w:r>
    </w:p>
    <w:p>
      <w:pPr>
        <w:pStyle w:val="Heading1"/>
      </w:pPr>
      <w:r>
        <w:t>5. Education in Visakhapatnam</w:t>
      </w:r>
    </w:p>
    <w:p>
      <w:r>
        <w:t>A maritime and logistics skills institute will be established with 1,000 seats. Government schools in tribal areas of the district will receive residential facilities and bilingual teachers.</w:t>
      </w:r>
    </w:p>
    <w:p>
      <w:pPr>
        <w:pStyle w:val="Heading1"/>
      </w:pPr>
      <w:r>
        <w:t>6. Environment</w:t>
      </w:r>
    </w:p>
    <w:p>
      <w:r>
        <w:t>Continuous air-quality monitoring stations will be installed around industrial zones, with live data published online. Industries breaching pollution limits for three consecutive months will face suspension of operating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Visakhapatnam District Development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