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C81" w:rsidRDefault="00B37213">
      <w:pPr>
        <w:pStyle w:val="1"/>
        <w:jc w:val="center"/>
      </w:pPr>
      <w:r>
        <w:rPr>
          <w:rFonts w:ascii="微软雅黑" w:eastAsia="微软雅黑" w:hAnsi="微软雅黑" w:cs="微软雅黑" w:hint="eastAsia"/>
          <w:color w:val="404040" w:themeColor="text1" w:themeTint="BF"/>
        </w:rPr>
        <w:t>作业需求——“CSS欢迎页”</w:t>
      </w:r>
    </w:p>
    <w:p w:rsidR="00FD3C81" w:rsidRDefault="00B37213">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t>&lt;布局示例图片&gt;</w:t>
      </w:r>
    </w:p>
    <w:p w:rsidR="00FD3C81" w:rsidRDefault="00B37213">
      <w:pPr>
        <w:rPr>
          <w:rFonts w:ascii="微软雅黑" w:eastAsia="微软雅黑" w:hAnsi="微软雅黑" w:cs="微软雅黑"/>
          <w:color w:val="595959" w:themeColor="text1" w:themeTint="A6"/>
          <w:sz w:val="32"/>
          <w:szCs w:val="32"/>
        </w:rPr>
      </w:pPr>
      <w:r>
        <w:rPr>
          <w:noProof/>
        </w:rPr>
        <w:drawing>
          <wp:inline distT="0" distB="0" distL="114300" distR="114300">
            <wp:extent cx="6186170" cy="2976245"/>
            <wp:effectExtent l="9525" t="9525"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86170" cy="2976245"/>
                    </a:xfrm>
                    <a:prstGeom prst="rect">
                      <a:avLst/>
                    </a:prstGeom>
                    <a:noFill/>
                    <a:ln w="9525">
                      <a:solidFill>
                        <a:schemeClr val="bg1">
                          <a:lumMod val="85000"/>
                        </a:schemeClr>
                      </a:solidFill>
                    </a:ln>
                  </pic:spPr>
                </pic:pic>
              </a:graphicData>
            </a:graphic>
          </wp:inline>
        </w:drawing>
      </w:r>
    </w:p>
    <w:p w:rsidR="00FD3C81" w:rsidRDefault="00FD3C81">
      <w:pPr>
        <w:rPr>
          <w:rFonts w:ascii="微软雅黑" w:eastAsia="微软雅黑" w:hAnsi="微软雅黑" w:cs="微软雅黑"/>
          <w:color w:val="595959" w:themeColor="text1" w:themeTint="A6"/>
          <w:sz w:val="32"/>
          <w:szCs w:val="32"/>
        </w:rPr>
      </w:pPr>
    </w:p>
    <w:p w:rsidR="00FD3C81" w:rsidRDefault="00B37213">
      <w:pPr>
        <w:outlineLvl w:val="1"/>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32"/>
          <w:szCs w:val="32"/>
        </w:rPr>
        <w:t>&lt;基本需求&gt;</w:t>
      </w:r>
    </w:p>
    <w:p w:rsidR="00FD3C81" w:rsidRDefault="00B37213">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根据以上示例图制作出我们“睿峰培训”课件内容中的“CSS欢迎页”界面；</w:t>
      </w:r>
    </w:p>
    <w:p w:rsidR="00FD3C81" w:rsidRDefault="00B37213">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导航条根据上一次课件导航布局练习来实现。</w:t>
      </w:r>
    </w:p>
    <w:p w:rsidR="00FD3C81" w:rsidRDefault="00B37213">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导航条下方包含一个&lt;main&gt;标签，&lt;main&gt;标签内包含两个直接子元素，第一个子元素为示例图中左侧的导航栏，是一个类名叫做“</w:t>
      </w:r>
      <w:proofErr w:type="spellStart"/>
      <w:r>
        <w:rPr>
          <w:rFonts w:ascii="微软雅黑" w:eastAsia="微软雅黑" w:hAnsi="微软雅黑" w:cs="微软雅黑" w:hint="eastAsia"/>
          <w:color w:val="595959" w:themeColor="text1" w:themeTint="A6"/>
          <w:sz w:val="28"/>
          <w:szCs w:val="28"/>
        </w:rPr>
        <w:t>leftNav</w:t>
      </w:r>
      <w:proofErr w:type="spellEnd"/>
      <w:r>
        <w:rPr>
          <w:rFonts w:ascii="微软雅黑" w:eastAsia="微软雅黑" w:hAnsi="微软雅黑" w:cs="微软雅黑" w:hint="eastAsia"/>
          <w:color w:val="595959" w:themeColor="text1" w:themeTint="A6"/>
          <w:sz w:val="28"/>
          <w:szCs w:val="28"/>
        </w:rPr>
        <w:t>”的&lt;</w:t>
      </w:r>
      <w:proofErr w:type="spellStart"/>
      <w:r>
        <w:rPr>
          <w:rFonts w:ascii="微软雅黑" w:eastAsia="微软雅黑" w:hAnsi="微软雅黑" w:cs="微软雅黑" w:hint="eastAsia"/>
          <w:color w:val="595959" w:themeColor="text1" w:themeTint="A6"/>
          <w:sz w:val="28"/>
          <w:szCs w:val="28"/>
        </w:rPr>
        <w:t>nav</w:t>
      </w:r>
      <w:proofErr w:type="spellEnd"/>
      <w:r>
        <w:rPr>
          <w:rFonts w:ascii="微软雅黑" w:eastAsia="微软雅黑" w:hAnsi="微软雅黑" w:cs="微软雅黑" w:hint="eastAsia"/>
          <w:color w:val="595959" w:themeColor="text1" w:themeTint="A6"/>
          <w:sz w:val="28"/>
          <w:szCs w:val="28"/>
        </w:rPr>
        <w:t>&gt;标签，第二个子元素为示例图中右侧的“叶子”，是一个类名叫做“content”的&lt;div&gt;标签；</w:t>
      </w:r>
    </w:p>
    <w:p w:rsidR="00FD3C81" w:rsidRDefault="00B37213">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左侧导航的宽度，内间距，按钮的宽高，圆角半径，鼠标悬浮在按钮上的效果均需要还原课件原版的效果。不同实现导航栏在鼠标悬浮后“向右推动”的效</w:t>
      </w:r>
      <w:r>
        <w:rPr>
          <w:rFonts w:ascii="微软雅黑" w:eastAsia="微软雅黑" w:hAnsi="微软雅黑" w:cs="微软雅黑" w:hint="eastAsia"/>
          <w:color w:val="595959" w:themeColor="text1" w:themeTint="A6"/>
          <w:sz w:val="28"/>
          <w:szCs w:val="28"/>
        </w:rPr>
        <w:lastRenderedPageBreak/>
        <w:t>果；</w:t>
      </w:r>
    </w:p>
    <w:p w:rsidR="00FD3C81" w:rsidRDefault="00B37213">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右侧的“叶子”的分辨率为“560*360”，圆角半径和阴影效果需要还原，整个形状需要在类名为“content”的&lt;div&gt;标签中居中。不需要变色和摆动，固定为背景色为“#e3f9f1”，字体颜色为“#555”；</w:t>
      </w:r>
    </w:p>
    <w:p w:rsidR="00FD3C81" w:rsidRDefault="00B37213">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整个页面主体在默认情况下和被操作的情况下都不能出现滚动条；</w:t>
      </w:r>
    </w:p>
    <w:p w:rsidR="00FD3C81" w:rsidRDefault="00B37213">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CSS样式需要使用“外链样式”；</w:t>
      </w:r>
    </w:p>
    <w:p w:rsidR="00FD3C81" w:rsidRDefault="00B37213">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代码需要工整的缩进（以缩进线为参考）；</w:t>
      </w:r>
    </w:p>
    <w:p w:rsidR="00FD3C81" w:rsidRPr="008A70E9" w:rsidRDefault="00B37213" w:rsidP="008A70E9">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HTML和CSS关键代码节点部分需要加上代码注释</w:t>
      </w:r>
    </w:p>
    <w:p w:rsidR="00FD3C81" w:rsidRDefault="00B37213">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t>&lt;所用关键代码提示&gt;</w:t>
      </w:r>
    </w:p>
    <w:p w:rsidR="00FD3C81" w:rsidRDefault="00B37213">
      <w:pPr>
        <w:numPr>
          <w:ilvl w:val="0"/>
          <w:numId w:val="2"/>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绝对定位和外间距负值配合使用实现可实现元素在页面或元素内的居中;</w:t>
      </w:r>
    </w:p>
    <w:p w:rsidR="00FD3C81" w:rsidRDefault="00B37213">
      <w:pPr>
        <w:numPr>
          <w:ilvl w:val="0"/>
          <w:numId w:val="2"/>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“扩展功能”中善用“同级选择器”</w:t>
      </w:r>
    </w:p>
    <w:p w:rsidR="00FD3C81" w:rsidRDefault="00B37213">
      <w:pPr>
        <w:numPr>
          <w:ilvl w:val="0"/>
          <w:numId w:val="2"/>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“扩展功能”中关于左侧导航可考虑使用绝对定位</w:t>
      </w:r>
    </w:p>
    <w:p w:rsidR="00FD3C81" w:rsidRDefault="00FD3C81">
      <w:bookmarkStart w:id="0" w:name="_GoBack"/>
      <w:bookmarkEnd w:id="0"/>
    </w:p>
    <w:p w:rsidR="00FD3C81" w:rsidRDefault="00B37213">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t>&lt;初级扩展&gt;</w:t>
      </w:r>
    </w:p>
    <w:p w:rsidR="00FD3C81" w:rsidRDefault="00B37213">
      <w:pPr>
        <w:numPr>
          <w:ilvl w:val="0"/>
          <w:numId w:val="3"/>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左侧导航的按钮在鼠标悬浮后样式变化需要一个0.2秒的过渡</w:t>
      </w:r>
    </w:p>
    <w:p w:rsidR="00FD3C81" w:rsidRDefault="00FD3C81">
      <w:pPr>
        <w:rPr>
          <w:rFonts w:ascii="微软雅黑" w:eastAsia="微软雅黑" w:hAnsi="微软雅黑" w:cs="微软雅黑"/>
          <w:color w:val="595959" w:themeColor="text1" w:themeTint="A6"/>
          <w:sz w:val="28"/>
          <w:szCs w:val="28"/>
        </w:rPr>
      </w:pPr>
    </w:p>
    <w:p w:rsidR="00FD3C81" w:rsidRDefault="00B37213">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t>&lt;中级扩展&gt;</w:t>
      </w:r>
    </w:p>
    <w:p w:rsidR="00FD3C81" w:rsidRDefault="00B37213">
      <w:pPr>
        <w:numPr>
          <w:ilvl w:val="0"/>
          <w:numId w:val="4"/>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左侧导航“缩”向浏览器窗口左方，只有当鼠标悬浮的时候，</w:t>
      </w:r>
      <w:proofErr w:type="gramStart"/>
      <w:r>
        <w:rPr>
          <w:rFonts w:ascii="微软雅黑" w:eastAsia="微软雅黑" w:hAnsi="微软雅黑" w:cs="微软雅黑" w:hint="eastAsia"/>
          <w:color w:val="595959" w:themeColor="text1" w:themeTint="A6"/>
          <w:sz w:val="28"/>
          <w:szCs w:val="28"/>
        </w:rPr>
        <w:t>导航栏才“动态”</w:t>
      </w:r>
      <w:proofErr w:type="gramEnd"/>
      <w:r>
        <w:rPr>
          <w:rFonts w:ascii="微软雅黑" w:eastAsia="微软雅黑" w:hAnsi="微软雅黑" w:cs="微软雅黑" w:hint="eastAsia"/>
          <w:color w:val="595959" w:themeColor="text1" w:themeTint="A6"/>
          <w:sz w:val="28"/>
          <w:szCs w:val="28"/>
        </w:rPr>
        <w:t>地滑动出来；</w:t>
      </w:r>
    </w:p>
    <w:p w:rsidR="00FD3C81" w:rsidRDefault="00FD3C81">
      <w:pPr>
        <w:rPr>
          <w:rFonts w:ascii="微软雅黑" w:eastAsia="微软雅黑" w:hAnsi="微软雅黑" w:cs="微软雅黑"/>
          <w:color w:val="595959" w:themeColor="text1" w:themeTint="A6"/>
          <w:sz w:val="28"/>
          <w:szCs w:val="28"/>
        </w:rPr>
      </w:pPr>
    </w:p>
    <w:p w:rsidR="00FD3C81" w:rsidRDefault="00B37213">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t>&lt;高级扩展&gt;</w:t>
      </w:r>
    </w:p>
    <w:p w:rsidR="00FD3C81" w:rsidRDefault="00B37213">
      <w:pPr>
        <w:numPr>
          <w:ilvl w:val="0"/>
          <w:numId w:val="5"/>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左侧导航“缩”向浏览器窗口左方，当鼠标悬浮的时候让整个页面都向右推</w:t>
      </w:r>
      <w:r>
        <w:rPr>
          <w:rFonts w:ascii="微软雅黑" w:eastAsia="微软雅黑" w:hAnsi="微软雅黑" w:cs="微软雅黑" w:hint="eastAsia"/>
          <w:color w:val="595959" w:themeColor="text1" w:themeTint="A6"/>
          <w:sz w:val="28"/>
          <w:szCs w:val="28"/>
        </w:rPr>
        <w:lastRenderedPageBreak/>
        <w:t>动，现有布局不会产生任何错乱变动；</w:t>
      </w:r>
    </w:p>
    <w:p w:rsidR="00FD3C81" w:rsidRDefault="00B37213">
      <w:pPr>
        <w:numPr>
          <w:ilvl w:val="0"/>
          <w:numId w:val="5"/>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右面的“叶子”摆动起来（角度自定）</w:t>
      </w:r>
    </w:p>
    <w:p w:rsidR="00FD3C81" w:rsidRDefault="00B37213">
      <w:pPr>
        <w:numPr>
          <w:ilvl w:val="0"/>
          <w:numId w:val="5"/>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右面的“叶子”颜色会随着时间变化（两种颜色变化即可）</w:t>
      </w:r>
    </w:p>
    <w:p w:rsidR="00FD3C81" w:rsidRDefault="00FD3C81">
      <w:pPr>
        <w:rPr>
          <w:rFonts w:ascii="微软雅黑" w:eastAsia="微软雅黑" w:hAnsi="微软雅黑" w:cs="微软雅黑"/>
          <w:color w:val="595959" w:themeColor="text1" w:themeTint="A6"/>
          <w:sz w:val="28"/>
          <w:szCs w:val="28"/>
        </w:rPr>
      </w:pPr>
    </w:p>
    <w:p w:rsidR="00FD3C81" w:rsidRDefault="00B37213">
      <w:pPr>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AEAAAA" w:themeColor="background2" w:themeShade="BF"/>
          <w:sz w:val="28"/>
          <w:szCs w:val="28"/>
        </w:rPr>
        <w:t>&lt;注&gt;:若扩展功能和基本功能有冲突，优先执行扩展功能。</w:t>
      </w:r>
    </w:p>
    <w:sectPr w:rsidR="00FD3C8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826B5"/>
    <w:multiLevelType w:val="singleLevel"/>
    <w:tmpl w:val="57A826B5"/>
    <w:lvl w:ilvl="0">
      <w:start w:val="1"/>
      <w:numFmt w:val="decimal"/>
      <w:suff w:val="nothing"/>
      <w:lvlText w:val="%1、"/>
      <w:lvlJc w:val="left"/>
    </w:lvl>
  </w:abstractNum>
  <w:abstractNum w:abstractNumId="1" w15:restartNumberingAfterBreak="0">
    <w:nsid w:val="58073851"/>
    <w:multiLevelType w:val="singleLevel"/>
    <w:tmpl w:val="58073851"/>
    <w:lvl w:ilvl="0">
      <w:start w:val="1"/>
      <w:numFmt w:val="decimal"/>
      <w:suff w:val="nothing"/>
      <w:lvlText w:val="%1、"/>
      <w:lvlJc w:val="left"/>
    </w:lvl>
  </w:abstractNum>
  <w:abstractNum w:abstractNumId="2" w15:restartNumberingAfterBreak="0">
    <w:nsid w:val="5809FABE"/>
    <w:multiLevelType w:val="singleLevel"/>
    <w:tmpl w:val="5809FABE"/>
    <w:lvl w:ilvl="0">
      <w:start w:val="1"/>
      <w:numFmt w:val="decimal"/>
      <w:suff w:val="nothing"/>
      <w:lvlText w:val="%1、"/>
      <w:lvlJc w:val="left"/>
    </w:lvl>
  </w:abstractNum>
  <w:abstractNum w:abstractNumId="3" w15:restartNumberingAfterBreak="0">
    <w:nsid w:val="580DBCE2"/>
    <w:multiLevelType w:val="singleLevel"/>
    <w:tmpl w:val="580DBCE2"/>
    <w:lvl w:ilvl="0">
      <w:start w:val="1"/>
      <w:numFmt w:val="decimal"/>
      <w:suff w:val="nothing"/>
      <w:lvlText w:val="%1、"/>
      <w:lvlJc w:val="left"/>
    </w:lvl>
  </w:abstractNum>
  <w:abstractNum w:abstractNumId="4" w15:restartNumberingAfterBreak="0">
    <w:nsid w:val="580DBE2A"/>
    <w:multiLevelType w:val="singleLevel"/>
    <w:tmpl w:val="580DBE2A"/>
    <w:lvl w:ilvl="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C81"/>
    <w:rsid w:val="000D6B9F"/>
    <w:rsid w:val="008A70E9"/>
    <w:rsid w:val="00B37213"/>
    <w:rsid w:val="00CA13D8"/>
    <w:rsid w:val="00FD3C81"/>
    <w:rsid w:val="04011827"/>
    <w:rsid w:val="05614457"/>
    <w:rsid w:val="05E6435E"/>
    <w:rsid w:val="069F7311"/>
    <w:rsid w:val="08A03682"/>
    <w:rsid w:val="08A7617E"/>
    <w:rsid w:val="09FD7E75"/>
    <w:rsid w:val="0B7572DA"/>
    <w:rsid w:val="0C8B2B9A"/>
    <w:rsid w:val="0D4F5D55"/>
    <w:rsid w:val="0D902C6D"/>
    <w:rsid w:val="0E317D9A"/>
    <w:rsid w:val="0E7D3215"/>
    <w:rsid w:val="0FB128DC"/>
    <w:rsid w:val="0FC22548"/>
    <w:rsid w:val="0FC61C41"/>
    <w:rsid w:val="106A51D0"/>
    <w:rsid w:val="10743B88"/>
    <w:rsid w:val="10810222"/>
    <w:rsid w:val="10A46D68"/>
    <w:rsid w:val="10E416C4"/>
    <w:rsid w:val="11674C9B"/>
    <w:rsid w:val="11BB0153"/>
    <w:rsid w:val="13F84C9E"/>
    <w:rsid w:val="14001002"/>
    <w:rsid w:val="14475A6B"/>
    <w:rsid w:val="16145CF8"/>
    <w:rsid w:val="16A177D5"/>
    <w:rsid w:val="16F67C31"/>
    <w:rsid w:val="172F097F"/>
    <w:rsid w:val="1739649B"/>
    <w:rsid w:val="177400BA"/>
    <w:rsid w:val="1780341E"/>
    <w:rsid w:val="17CA0E22"/>
    <w:rsid w:val="18536A47"/>
    <w:rsid w:val="1861397D"/>
    <w:rsid w:val="186B79B6"/>
    <w:rsid w:val="18A14E9F"/>
    <w:rsid w:val="19961869"/>
    <w:rsid w:val="19A63BEF"/>
    <w:rsid w:val="19F86501"/>
    <w:rsid w:val="1A005F0C"/>
    <w:rsid w:val="1AD46EC9"/>
    <w:rsid w:val="1BB148DB"/>
    <w:rsid w:val="1BD36A3E"/>
    <w:rsid w:val="1C6A41A8"/>
    <w:rsid w:val="1CDF312B"/>
    <w:rsid w:val="1D3A5133"/>
    <w:rsid w:val="1D647E72"/>
    <w:rsid w:val="1E371DCE"/>
    <w:rsid w:val="1EC037F9"/>
    <w:rsid w:val="1F8D4682"/>
    <w:rsid w:val="1F9166A9"/>
    <w:rsid w:val="208E09A6"/>
    <w:rsid w:val="217438F1"/>
    <w:rsid w:val="227D17A3"/>
    <w:rsid w:val="22AB46C3"/>
    <w:rsid w:val="22E74293"/>
    <w:rsid w:val="23FF4F04"/>
    <w:rsid w:val="240F2FD1"/>
    <w:rsid w:val="259D4210"/>
    <w:rsid w:val="25E2382E"/>
    <w:rsid w:val="26003F16"/>
    <w:rsid w:val="264A77AC"/>
    <w:rsid w:val="26D077C6"/>
    <w:rsid w:val="27C74434"/>
    <w:rsid w:val="286669FF"/>
    <w:rsid w:val="291041E1"/>
    <w:rsid w:val="29B03B0A"/>
    <w:rsid w:val="29D40A84"/>
    <w:rsid w:val="2A6550FB"/>
    <w:rsid w:val="2A756960"/>
    <w:rsid w:val="2ABD77A1"/>
    <w:rsid w:val="2AFD7277"/>
    <w:rsid w:val="2B7A5924"/>
    <w:rsid w:val="2B9003D3"/>
    <w:rsid w:val="2BCE5563"/>
    <w:rsid w:val="2CE3515E"/>
    <w:rsid w:val="2D2F5F61"/>
    <w:rsid w:val="2D847B67"/>
    <w:rsid w:val="2D8E2B98"/>
    <w:rsid w:val="2DEB1CBC"/>
    <w:rsid w:val="2E3A497F"/>
    <w:rsid w:val="2EE94FD4"/>
    <w:rsid w:val="2EF72D83"/>
    <w:rsid w:val="2F9546C3"/>
    <w:rsid w:val="2F99049A"/>
    <w:rsid w:val="2FE81762"/>
    <w:rsid w:val="3011773C"/>
    <w:rsid w:val="303D6C6D"/>
    <w:rsid w:val="316E3ED2"/>
    <w:rsid w:val="319E7CF0"/>
    <w:rsid w:val="31FF40E5"/>
    <w:rsid w:val="32BB678B"/>
    <w:rsid w:val="32EE462C"/>
    <w:rsid w:val="35064801"/>
    <w:rsid w:val="358D7876"/>
    <w:rsid w:val="35F05917"/>
    <w:rsid w:val="3685462B"/>
    <w:rsid w:val="380370FE"/>
    <w:rsid w:val="386B20DA"/>
    <w:rsid w:val="38763791"/>
    <w:rsid w:val="38806576"/>
    <w:rsid w:val="38B77954"/>
    <w:rsid w:val="396A010B"/>
    <w:rsid w:val="39C322A0"/>
    <w:rsid w:val="3A2959F0"/>
    <w:rsid w:val="3A304F9F"/>
    <w:rsid w:val="3A8D0607"/>
    <w:rsid w:val="3D2252BF"/>
    <w:rsid w:val="3D9A307C"/>
    <w:rsid w:val="3E0521D9"/>
    <w:rsid w:val="3E623E91"/>
    <w:rsid w:val="3E7411DB"/>
    <w:rsid w:val="3EA72F0D"/>
    <w:rsid w:val="3EE03069"/>
    <w:rsid w:val="3EFA5C26"/>
    <w:rsid w:val="3FA03413"/>
    <w:rsid w:val="40611F05"/>
    <w:rsid w:val="40B22979"/>
    <w:rsid w:val="40DA1998"/>
    <w:rsid w:val="417A3ED9"/>
    <w:rsid w:val="417C3AAE"/>
    <w:rsid w:val="42C33A0D"/>
    <w:rsid w:val="42EC23AE"/>
    <w:rsid w:val="42F47242"/>
    <w:rsid w:val="4404547C"/>
    <w:rsid w:val="446C3DB1"/>
    <w:rsid w:val="44D528B5"/>
    <w:rsid w:val="44E35D8F"/>
    <w:rsid w:val="454A0C2F"/>
    <w:rsid w:val="45FD04CD"/>
    <w:rsid w:val="47581C6C"/>
    <w:rsid w:val="47771A85"/>
    <w:rsid w:val="4A250CE9"/>
    <w:rsid w:val="4B3809B3"/>
    <w:rsid w:val="4B9D78B1"/>
    <w:rsid w:val="4BFD7DC8"/>
    <w:rsid w:val="4CE919D6"/>
    <w:rsid w:val="4D8F58EB"/>
    <w:rsid w:val="4DB94A62"/>
    <w:rsid w:val="4DCA707A"/>
    <w:rsid w:val="4E0B71F2"/>
    <w:rsid w:val="4F777BB7"/>
    <w:rsid w:val="4FD17E2A"/>
    <w:rsid w:val="50EB6F17"/>
    <w:rsid w:val="50F562AD"/>
    <w:rsid w:val="51BE0BE1"/>
    <w:rsid w:val="51FB31E9"/>
    <w:rsid w:val="52315BD0"/>
    <w:rsid w:val="5297407A"/>
    <w:rsid w:val="549777EC"/>
    <w:rsid w:val="56BF0440"/>
    <w:rsid w:val="571E16FF"/>
    <w:rsid w:val="57764017"/>
    <w:rsid w:val="57F703BE"/>
    <w:rsid w:val="58290106"/>
    <w:rsid w:val="587E0931"/>
    <w:rsid w:val="59A2413F"/>
    <w:rsid w:val="59F049CA"/>
    <w:rsid w:val="5A443D43"/>
    <w:rsid w:val="5A68621C"/>
    <w:rsid w:val="5B0B769C"/>
    <w:rsid w:val="5BE44B9E"/>
    <w:rsid w:val="5BF569C8"/>
    <w:rsid w:val="5BF647C6"/>
    <w:rsid w:val="5C247B9A"/>
    <w:rsid w:val="5C3F160E"/>
    <w:rsid w:val="5C741517"/>
    <w:rsid w:val="5CDC3ED1"/>
    <w:rsid w:val="5D4D0B85"/>
    <w:rsid w:val="5D5B1AF0"/>
    <w:rsid w:val="5EEF36D3"/>
    <w:rsid w:val="5F581A8C"/>
    <w:rsid w:val="5F892274"/>
    <w:rsid w:val="60511749"/>
    <w:rsid w:val="611316C0"/>
    <w:rsid w:val="623E4A77"/>
    <w:rsid w:val="62525E5C"/>
    <w:rsid w:val="63690577"/>
    <w:rsid w:val="648937E0"/>
    <w:rsid w:val="649F66F5"/>
    <w:rsid w:val="66477B05"/>
    <w:rsid w:val="6655038C"/>
    <w:rsid w:val="66D44A16"/>
    <w:rsid w:val="66F71AC0"/>
    <w:rsid w:val="67A23D57"/>
    <w:rsid w:val="68323A8B"/>
    <w:rsid w:val="6A5E3AA8"/>
    <w:rsid w:val="6A6C237C"/>
    <w:rsid w:val="6A775A3F"/>
    <w:rsid w:val="6B020978"/>
    <w:rsid w:val="6B450FD5"/>
    <w:rsid w:val="6B4E20AC"/>
    <w:rsid w:val="6B853D50"/>
    <w:rsid w:val="6C6F0F97"/>
    <w:rsid w:val="6CFC4942"/>
    <w:rsid w:val="6E5F4D17"/>
    <w:rsid w:val="6E845914"/>
    <w:rsid w:val="6EB72295"/>
    <w:rsid w:val="6F5138F5"/>
    <w:rsid w:val="70116E97"/>
    <w:rsid w:val="70D9335B"/>
    <w:rsid w:val="71A83548"/>
    <w:rsid w:val="71E01827"/>
    <w:rsid w:val="72BD77AB"/>
    <w:rsid w:val="75425995"/>
    <w:rsid w:val="75A37908"/>
    <w:rsid w:val="75B26BAC"/>
    <w:rsid w:val="75CC75CF"/>
    <w:rsid w:val="76657048"/>
    <w:rsid w:val="76E622B2"/>
    <w:rsid w:val="76F41320"/>
    <w:rsid w:val="76F90F98"/>
    <w:rsid w:val="76FE642A"/>
    <w:rsid w:val="77536AA8"/>
    <w:rsid w:val="778761C2"/>
    <w:rsid w:val="784E19E5"/>
    <w:rsid w:val="787952E9"/>
    <w:rsid w:val="78FB2DBA"/>
    <w:rsid w:val="7A470D2B"/>
    <w:rsid w:val="7AEC10B5"/>
    <w:rsid w:val="7B30214E"/>
    <w:rsid w:val="7BAF02CD"/>
    <w:rsid w:val="7BE30F5F"/>
    <w:rsid w:val="7C0718FA"/>
    <w:rsid w:val="7D8A2DB1"/>
    <w:rsid w:val="7DD1664D"/>
    <w:rsid w:val="7E2A0A74"/>
    <w:rsid w:val="7E7E7A08"/>
    <w:rsid w:val="7F581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3F5BBF9C-7517-4E38-839B-766AB4CF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aulen</dc:creator>
  <cp:lastModifiedBy>周杭</cp:lastModifiedBy>
  <cp:revision>4</cp:revision>
  <dcterms:created xsi:type="dcterms:W3CDTF">2014-10-29T12:08:00Z</dcterms:created>
  <dcterms:modified xsi:type="dcterms:W3CDTF">2018-03-01T07:18:00Z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