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  <w:bCs/>
          <w:color w:val="1AA184"/>
          <w:sz w:val="20"/>
          <w:szCs w:val="20"/>
        </w:rPr>
        <w:t>极致教育 · JIZHI EDUCATION</w:t>
      </w:r>
    </w:p>
    <w:p>
      <w:pPr>
        <w:spacing w:after="200"/>
      </w:pPr>
      <w:r>
        <w:rPr>
          <w:b/>
          <w:bCs/>
          <w:color w:val="0B2545"/>
          <w:sz w:val="40"/>
          <w:szCs w:val="40"/>
        </w:rPr>
        <w:t>留学课业陪跑服务方案与报价单</w:t>
      </w:r>
    </w:p>
    <w:p>
      <w:pPr>
        <w:spacing w:after="300"/>
      </w:pPr>
      <w:r>
        <w:rPr>
          <w:i/>
          <w:iCs/>
          <w:sz w:val="20"/>
          <w:szCs w:val="20"/>
        </w:rPr>
        <w:t>方案有效期至 2026-08-24</w:t>
      </w:r>
    </w:p>
    <w:p>
      <w:pPr>
        <w:pStyle w:val="2"/>
      </w:pPr>
      <w:r>
        <w:t>一、学生信息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00"/>
        <w:gridCol w:w="1500"/>
        <w:gridCol w:w="2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shd w:val="clear" w:color="auto" w:fill="F2F2F2"/>
          </w:tcPr>
          <w:p>
            <w:pPr>
              <w:jc w:val="left"/>
            </w:pPr>
            <w:r>
              <w:rPr>
                <w:b/>
                <w:bCs/>
              </w:rPr>
              <w:t>学生</w:t>
            </w:r>
          </w:p>
        </w:tc>
        <w:tc>
          <w:tcPr>
            <w:tcW w:w="39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学生(待补充姓名)</w:t>
            </w:r>
          </w:p>
        </w:tc>
        <w:tc>
          <w:tcPr>
            <w:tcW w:w="1500" w:type="dxa"/>
            <w:shd w:val="clear" w:color="auto" w:fill="F2F2F2"/>
          </w:tcPr>
          <w:p>
            <w:pPr>
              <w:jc w:val="left"/>
            </w:pPr>
            <w:r>
              <w:rPr>
                <w:b/>
                <w:bCs/>
              </w:rPr>
              <w:t>层次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shd w:val="clear" w:color="auto" w:fill="F2F2F2"/>
          </w:tcPr>
          <w:p>
            <w:pPr>
              <w:jc w:val="left"/>
            </w:pPr>
            <w:r>
              <w:rPr>
                <w:b/>
                <w:bCs/>
              </w:rPr>
              <w:t>学校</w:t>
            </w:r>
          </w:p>
        </w:tc>
        <w:tc>
          <w:tcPr>
            <w:tcW w:w="39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悉尼大学 University of Sydney</w:t>
            </w:r>
          </w:p>
        </w:tc>
        <w:tc>
          <w:tcPr>
            <w:tcW w:w="1500" w:type="dxa"/>
            <w:shd w:val="clear" w:color="auto" w:fill="F2F2F2"/>
          </w:tcPr>
          <w:p>
            <w:pPr>
              <w:jc w:val="left"/>
            </w:pPr>
            <w:r>
              <w:rPr>
                <w:b/>
                <w:bCs/>
              </w:rPr>
              <w:t>专业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公共政策硕士 Master of Public Policy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shd w:val="clear" w:color="auto" w:fill="F2F2F2"/>
          </w:tcPr>
          <w:p>
            <w:pPr>
              <w:jc w:val="left"/>
            </w:pPr>
            <w:r>
              <w:rPr>
                <w:b/>
                <w:bCs/>
              </w:rPr>
              <w:t>服务周期</w:t>
            </w:r>
          </w:p>
        </w:tc>
        <w:tc>
          <w:tcPr>
            <w:tcW w:w="3900" w:type="dxa"/>
          </w:tcPr>
          <w:p>
            <w:pPr>
              <w:jc w:val="left"/>
            </w:pPr>
            <w:r>
              <w:rPr>
                <w:b w:val="0"/>
                <w:bCs w:val="0"/>
                <w:color w:val="0000FF"/>
              </w:rPr>
              <w:t>预估学期区间 2月下旬开课 至 6月13日最后一次考核截止（以学校官方日历签约时确认），约3.7个月</w:t>
            </w:r>
          </w:p>
        </w:tc>
        <w:tc>
          <w:tcPr>
            <w:tcW w:w="1500" w:type="dxa"/>
            <w:shd w:val="clear" w:color="auto" w:fill="F2F2F2"/>
          </w:tcPr>
          <w:p>
            <w:pPr>
              <w:jc w:val="left"/>
            </w:pPr>
            <w:r>
              <w:rPr>
                <w:b/>
                <w:bCs/>
              </w:rPr>
              <w:t>报价模式</w:t>
            </w:r>
          </w:p>
        </w:tc>
        <w:tc>
          <w:tcPr>
            <w:tcW w:w="26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标准方案(套餐)</w:t>
            </w:r>
          </w:p>
        </w:tc>
      </w:tr>
    </w:tbl>
    <w:p>
      <w:pPr>
        <w:pStyle w:val="2"/>
        <w:spacing w:before="300"/>
      </w:pPr>
      <w:r>
        <w:t>二、陪跑方案说明</w:t>
      </w:r>
      <w:bookmarkStart w:id="0" w:name="_GoBack"/>
      <w:bookmarkEnd w:id="0"/>
    </w:p>
    <w:p>
      <w:pPr>
        <w:spacing w:after="200"/>
      </w:pPr>
      <w:r>
        <w:t>本学期4门课程整体考核节点密集(合计约16个)、多门课末次大作业/考试权重在40%-50%之间。学生目标为顺利毕业(Pass)、日常学习执行力较弱，服务重点放在DDL管理、任务拆解与持续陪跑督促，而非单纯提升学术深度。</w:t>
      </w:r>
    </w:p>
    <w:p>
      <w:pPr>
        <w:pStyle w:val="2"/>
        <w:spacing w:before="200"/>
      </w:pPr>
      <w:r>
        <w:t>三、课程配置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400"/>
        <w:gridCol w:w="2200"/>
        <w:gridCol w:w="2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课程</w:t>
            </w:r>
          </w:p>
        </w:tc>
        <w:tc>
          <w:tcPr>
            <w:tcW w:w="14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22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课时配置</w:t>
            </w:r>
          </w:p>
        </w:tc>
        <w:tc>
          <w:tcPr>
            <w:tcW w:w="25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GOVT6156 Strategy and Civil Society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重点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专业课6+陪跑课10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期末Assignment占50%(3000词)，且全学期4次考核分散在3/31、4/21、6/10及持续性Participation，风险最高的两门课之一，配置更多专业课时把关论证质量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GOVT6331 Public Management and Governance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非重点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专业课2+陪跑课8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考核相对集中(4次)，最高单项40%，属于中等强度，陪跑课重点做时间管理与作业结构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GOVT6135 Global Environmental Politics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非重点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专业课2+陪跑课8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5次考核分散，最高单项45%(5/30)，理论阅读类课程，陪跑课负责拆解Reading与论证训练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GOVT6311 Issues in Public Policy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重点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专业课6+陪跑课10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b w:val="0"/>
                <w:bCs w:val="0"/>
              </w:rPr>
              <w:t>考核节点最多(6个)且期末考试占50%，学生执行力弱，DDL密度最高，是全学期最需要人工强管理的一门课</w:t>
            </w:r>
          </w:p>
        </w:tc>
      </w:tr>
    </w:tbl>
    <w:p>
      <w:pPr>
        <w:pStyle w:val="2"/>
        <w:spacing w:before="300"/>
      </w:pPr>
      <w:r>
        <w:t>四、报价方案对比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4300"/>
        <w:gridCol w:w="2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方案</w:t>
            </w:r>
          </w:p>
        </w:tc>
        <w:tc>
          <w:tcPr>
            <w:tcW w:w="43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包含内容</w:t>
            </w:r>
          </w:p>
        </w:tc>
        <w:tc>
          <w:tcPr>
            <w:tcW w:w="2000" w:type="dxa"/>
            <w:shd w:val="clear" w:color="auto" w:fill="0B2545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总价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</w:tcPr>
          <w:p>
            <w:pPr>
              <w:jc w:val="left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方案A · 标准方案(基础)</w:t>
            </w:r>
          </w:p>
        </w:tc>
        <w:tc>
          <w:tcPr>
            <w:tcW w:w="4300" w:type="dxa"/>
          </w:tcPr>
          <w:p>
            <w:pPr>
              <w:jc w:val="left"/>
              <w:rPr>
                <w:color w:val="0000FF"/>
              </w:rPr>
            </w:pPr>
            <w:r>
              <w:rPr>
                <w:b w:val="0"/>
                <w:bCs w:val="0"/>
                <w:color w:val="0000FF"/>
              </w:rPr>
              <w:t>4门课陪跑(2重点+2非重点)，含课程管理、AI系统使用、学业诊断与学期规划、每日答疑窗口</w:t>
            </w:r>
          </w:p>
        </w:tc>
        <w:tc>
          <w:tcPr>
            <w:tcW w:w="2000" w:type="dxa"/>
          </w:tcPr>
          <w:p>
            <w:pPr>
              <w:jc w:val="left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¥ 43,157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</w:tcPr>
          <w:p>
            <w:pPr>
              <w:jc w:val="left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方案B · 标准方案 + 监督加购</w:t>
            </w:r>
          </w:p>
        </w:tc>
        <w:tc>
          <w:tcPr>
            <w:tcW w:w="4300" w:type="dxa"/>
          </w:tcPr>
          <w:p>
            <w:pPr>
              <w:jc w:val="left"/>
              <w:rPr>
                <w:color w:val="0000FF"/>
              </w:rPr>
            </w:pPr>
            <w:r>
              <w:rPr>
                <w:b w:val="0"/>
                <w:bCs w:val="0"/>
                <w:color w:val="0000FF"/>
              </w:rPr>
              <w:t>方案A全部内容 + 家长月度汇报(¥2,664) + VIP响应升级(¥6,660)</w:t>
            </w:r>
          </w:p>
        </w:tc>
        <w:tc>
          <w:tcPr>
            <w:tcW w:w="2000" w:type="dxa"/>
          </w:tcPr>
          <w:p>
            <w:pPr>
              <w:jc w:val="left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¥ 52,481</w:t>
            </w:r>
          </w:p>
        </w:tc>
      </w:tr>
    </w:tbl>
    <w:p>
      <w:pPr>
        <w:pStyle w:val="2"/>
        <w:spacing w:before="300"/>
      </w:pPr>
      <w:r>
        <w:t>五、可选：Pass 结果保障服务</w:t>
      </w:r>
    </w:p>
    <w:p>
      <w:pPr>
        <w:spacing w:after="200"/>
      </w:pPr>
      <w:r>
        <w:t>学生目标为顺利毕业(Pass)，属于Pass结果保障服务的典型适用场景。如学生完成协议约定的配合义务(按时提供课程资料、按时上课、完成必做任务、参加阶段检测、参加考试)但未达到学校Pass标准，可按服务协议退还该门课已付费用的一半。具体保障范围、认定方式与退款细则须写入正式服务协议，本方案仅作意向标注，不作为最终承诺。</w:t>
      </w:r>
    </w:p>
    <w:p>
      <w:pPr>
        <w:pStyle w:val="2"/>
        <w:spacing w:before="200"/>
      </w:pPr>
      <w:r>
        <w:t>六、服务说明</w:t>
      </w:r>
    </w:p>
    <w:p>
      <w:pPr>
        <w:spacing w:after="120"/>
      </w:pPr>
      <w:r>
        <w:t>AI私教系统(AIAS)负责高频练习与知识掌握度检测；专业课老师负责专业知识讲解与复杂问题判断；陪跑课老师负责学习方法、答题结构与进度推进；学习管理老师负责DDL、风险预警与每周复盘。</w:t>
      </w:r>
    </w:p>
    <w:p>
      <w:pPr>
        <w:spacing w:after="200"/>
      </w:pPr>
      <w:r>
        <w:t>服务流程：学业诊断 → 课程建档 → 制定方案 → 日常陪跑 → 每周复盘 → 考核支持 → 长期档案。</w:t>
      </w:r>
    </w:p>
    <w:p>
      <w:r>
        <w:rPr>
          <w:i/>
          <w:iCs/>
          <w:color w:val="666666"/>
          <w:sz w:val="20"/>
          <w:szCs w:val="20"/>
        </w:rPr>
        <w:t>最终服务内容、课时、专家配置及保障范围以双方签署的正式服务协议为准。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3F555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Office_6.7.0.8823_F1E327BC-269C-435d-A152-05C5408002CA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Annya</cp:lastModifiedBy>
  <dcterms:modified xsi:type="dcterms:W3CDTF">2026-07-24T15:23:44Z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F40825A4DC82CDE70013636A2E25ABB2_42</vt:lpwstr>
  </property>
</Properties>
</file>