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45A0463">
      <w:pPr>
        <w:pStyle w:val="10"/>
        <w:keepNext/>
        <w:spacing w:before="0" w:after="360" w:line="360" w:lineRule="auto"/>
        <w:jc w:val="center"/>
        <w:rPr>
          <w:sz w:val="52"/>
          <w:szCs w:val="52"/>
        </w:rPr>
      </w:pPr>
      <w:r>
        <w:rPr>
          <w:rFonts w:ascii="黑体" w:hAnsi="黑体" w:eastAsia="黑体" w:cs="黑体"/>
          <w:b/>
          <w:bCs/>
          <w:sz w:val="36"/>
          <w:szCs w:val="36"/>
        </w:rPr>
        <w:t>江西柯美纸业有限公司废旧设备销售处组建方案</w:t>
      </w:r>
    </w:p>
    <w:p w14:paraId="2D64C970">
      <w:pPr>
        <w:spacing w:after="60" w:line="300" w:lineRule="auto"/>
        <w:ind w:left="420"/>
        <w:jc w:val="both"/>
      </w:pPr>
      <w:r>
        <w:rPr>
          <w:rFonts w:ascii="宋体" w:hAnsi="宋体" w:eastAsia="宋体" w:cs="宋体"/>
          <w:i/>
          <w:iCs/>
          <w:color w:val="444444"/>
          <w:sz w:val="19"/>
          <w:szCs w:val="19"/>
        </w:rPr>
        <w:t>文件状态：待确认</w:t>
      </w:r>
    </w:p>
    <w:p w14:paraId="3EFF890F">
      <w:pPr>
        <w:spacing w:after="60" w:line="300" w:lineRule="auto"/>
        <w:ind w:left="420"/>
        <w:jc w:val="both"/>
      </w:pPr>
      <w:r>
        <w:rPr>
          <w:rFonts w:ascii="宋体" w:hAnsi="宋体" w:eastAsia="宋体" w:cs="宋体"/>
          <w:i/>
          <w:iCs/>
          <w:color w:val="444444"/>
          <w:sz w:val="19"/>
          <w:szCs w:val="19"/>
        </w:rPr>
        <w:t>编制日期：2026 年 9 月 3 日</w:t>
      </w:r>
    </w:p>
    <w:p w14:paraId="0DABD3E1">
      <w:pPr>
        <w:spacing w:after="60" w:line="300" w:lineRule="auto"/>
        <w:ind w:left="420"/>
        <w:jc w:val="both"/>
      </w:pPr>
      <w:r>
        <w:rPr>
          <w:rFonts w:ascii="宋体" w:hAnsi="宋体" w:eastAsia="宋体" w:cs="宋体"/>
          <w:i/>
          <w:iCs/>
          <w:color w:val="444444"/>
          <w:sz w:val="19"/>
          <w:szCs w:val="19"/>
        </w:rPr>
        <w:t>编制依据：总经理 2026 年 9 月 3 日就“关于成立废旧设备销售处的事宜”作出的指示；《废旧物资处置管理办法》（江西柯美行字〔2024〕32 号）；销售部总监乐志伟 2026 年 9 月 3 日就人员和流程细化提出的建议</w:t>
      </w:r>
      <w:bookmarkStart w:id="0" w:name="_GoBack"/>
      <w:bookmarkEnd w:id="0"/>
    </w:p>
    <w:p w14:paraId="0572BB69">
      <w:pPr>
        <w:spacing w:after="60" w:line="300" w:lineRule="auto"/>
        <w:ind w:left="420"/>
        <w:jc w:val="both"/>
      </w:pPr>
      <w:r>
        <w:rPr>
          <w:rFonts w:ascii="宋体" w:hAnsi="宋体" w:eastAsia="宋体" w:cs="宋体"/>
          <w:i/>
          <w:iCs/>
          <w:color w:val="444444"/>
          <w:sz w:val="19"/>
          <w:szCs w:val="19"/>
        </w:rPr>
        <w:t>文件定位：本方案不新增独立机构、不新设分级审批权限，依托现有 2024 年 32 号办法，明确废旧设备销售处的人员分工和交易流程，供公司审批后作为组建通知及工作依据执行。</w:t>
      </w:r>
    </w:p>
    <w:p w14:paraId="30C097FF">
      <w:pPr>
        <w:spacing w:after="60" w:line="300" w:lineRule="auto"/>
        <w:ind w:left="420"/>
        <w:jc w:val="both"/>
      </w:pPr>
      <w:r>
        <w:rPr>
          <w:rFonts w:ascii="宋体" w:hAnsi="宋体" w:eastAsia="宋体" w:cs="宋体"/>
          <w:i/>
          <w:iCs/>
          <w:color w:val="444444"/>
          <w:sz w:val="19"/>
          <w:szCs w:val="19"/>
        </w:rPr>
        <w:t>本次修订：新增内勤/数据统计岗位林娜；将销售流程由四步细化为五步，明确乐志伟初审、采购部复审裁决、财务到款后放行、数据统计对账等环节的先后顺序和责任人。</w:t>
      </w:r>
    </w:p>
    <w:p w14:paraId="229091EC">
      <w:pPr>
        <w:spacing w:after="60" w:line="300" w:lineRule="auto"/>
        <w:ind w:left="420"/>
        <w:jc w:val="both"/>
      </w:pPr>
      <w:r>
        <w:rPr>
          <w:rFonts w:ascii="宋体" w:hAnsi="宋体" w:eastAsia="宋体" w:cs="宋体"/>
          <w:i/>
          <w:iCs/>
          <w:color w:val="444444"/>
          <w:sz w:val="19"/>
          <w:szCs w:val="19"/>
        </w:rPr>
        <w:t>本次修订（第二轮）：撤销过磅专岗李运兰，过磅计量改由林娜兼任执行；同步修正销售人员姓名（统一为陈礼斌）、现场作业术语（吹运→吊运）及文号书写错误。</w:t>
      </w:r>
    </w:p>
    <w:p w14:paraId="69210C51">
      <w:pPr>
        <w:pStyle w:val="2"/>
        <w:keepNext/>
        <w:spacing w:before="360" w:after="180" w:line="360" w:lineRule="auto"/>
        <w:jc w:val="left"/>
      </w:pPr>
      <w:r>
        <w:rPr>
          <w:rFonts w:ascii="黑体" w:hAnsi="黑体" w:eastAsia="黑体" w:cs="黑体"/>
          <w:b/>
          <w:bCs/>
          <w:sz w:val="32"/>
          <w:szCs w:val="32"/>
        </w:rPr>
        <w:t>一、背景与定位</w:t>
      </w:r>
    </w:p>
    <w:p w14:paraId="7FABF086">
      <w:pPr>
        <w:spacing w:after="100" w:line="360" w:lineRule="auto"/>
        <w:jc w:val="both"/>
      </w:pPr>
      <w:r>
        <w:rPr>
          <w:rFonts w:ascii="宋体" w:hAnsi="宋体" w:eastAsia="宋体" w:cs="宋体"/>
          <w:sz w:val="21"/>
          <w:szCs w:val="21"/>
        </w:rPr>
        <w:t>总经理明确指示：此前拟订的《老厂搬迁闲置资产处置专项方案》（00-临时存放/江西柯美废旧物资设备处置草案20260902.md）组织设计偏复杂（领导小组、资产处置办、五类分类代码、A/B/C 分级审批等），公司现有人力难以支撑运行。</w:t>
      </w:r>
    </w:p>
    <w:p w14:paraId="136E898C">
      <w:pPr>
        <w:spacing w:after="100" w:line="360" w:lineRule="auto"/>
        <w:jc w:val="both"/>
      </w:pPr>
      <w:r>
        <w:rPr>
          <w:rFonts w:ascii="宋体" w:hAnsi="宋体" w:eastAsia="宋体" w:cs="宋体"/>
          <w:sz w:val="21"/>
          <w:szCs w:val="21"/>
        </w:rPr>
        <w:t>总经理要求：以公司现有《废旧物资处置管理办法》（江西柯美行字〔2024〕32 号）为依据，成立一个精简的</w:t>
      </w:r>
      <w:r>
        <w:rPr>
          <w:rFonts w:ascii="宋体" w:hAnsi="宋体" w:eastAsia="宋体" w:cs="宋体"/>
          <w:b/>
          <w:bCs/>
          <w:sz w:val="21"/>
          <w:szCs w:val="21"/>
        </w:rPr>
        <w:t>废旧设备销售处</w:t>
      </w:r>
      <w:r>
        <w:rPr>
          <w:rFonts w:ascii="宋体" w:hAnsi="宋体" w:eastAsia="宋体" w:cs="宋体"/>
          <w:sz w:val="21"/>
          <w:szCs w:val="21"/>
        </w:rPr>
        <w:t>，直接指定牵头人和成员，按“收集信息—谈价—审批—成交”四步流程执行，不额外设置新的组织层级或审批标准。</w:t>
      </w:r>
    </w:p>
    <w:p w14:paraId="5151CFDE">
      <w:pPr>
        <w:spacing w:after="100" w:line="360" w:lineRule="auto"/>
        <w:jc w:val="both"/>
      </w:pPr>
      <w:r>
        <w:rPr>
          <w:rFonts w:ascii="宋体" w:hAnsi="宋体" w:eastAsia="宋体" w:cs="宋体"/>
          <w:sz w:val="21"/>
          <w:szCs w:val="21"/>
        </w:rPr>
        <w:t>本方案据此编制，仅对 2024 年 32 号办法作必要补充：</w:t>
      </w:r>
    </w:p>
    <w:p w14:paraId="224CB523">
      <w:pPr>
        <w:spacing w:after="100" w:line="360" w:lineRule="auto"/>
        <w:ind w:left="420" w:hanging="210"/>
        <w:jc w:val="both"/>
      </w:pPr>
      <w:r>
        <w:rPr>
          <w:rFonts w:ascii="宋体" w:hAnsi="宋体" w:eastAsia="宋体" w:cs="宋体"/>
          <w:sz w:val="21"/>
          <w:szCs w:val="21"/>
        </w:rPr>
        <w:t>1. 明确废旧设备销售处的人员分工；</w:t>
      </w:r>
    </w:p>
    <w:p w14:paraId="4D23A468">
      <w:pPr>
        <w:spacing w:after="100" w:line="360" w:lineRule="auto"/>
        <w:ind w:left="420" w:hanging="210"/>
        <w:jc w:val="both"/>
      </w:pPr>
      <w:r>
        <w:rPr>
          <w:rFonts w:ascii="宋体" w:hAnsi="宋体" w:eastAsia="宋体" w:cs="宋体"/>
          <w:sz w:val="21"/>
          <w:szCs w:val="21"/>
        </w:rPr>
        <w:t>2. 明确销售处在既有部门职责基础上新增的“主动对外收集买家信息、洽谈意向价格”职能；</w:t>
      </w:r>
    </w:p>
    <w:p w14:paraId="0627EEA5">
      <w:pPr>
        <w:spacing w:after="100" w:line="360" w:lineRule="auto"/>
        <w:ind w:left="420" w:hanging="210"/>
        <w:jc w:val="both"/>
      </w:pPr>
      <w:r>
        <w:rPr>
          <w:rFonts w:ascii="宋体" w:hAnsi="宋体" w:eastAsia="宋体" w:cs="宋体"/>
          <w:sz w:val="21"/>
          <w:szCs w:val="21"/>
        </w:rPr>
        <w:t>3. 明确现场设备跟踪与保护职责。</w:t>
      </w:r>
    </w:p>
    <w:p w14:paraId="3F193B0A">
      <w:pPr>
        <w:spacing w:after="100" w:line="360" w:lineRule="auto"/>
        <w:jc w:val="both"/>
      </w:pPr>
      <w:r>
        <w:rPr>
          <w:rFonts w:ascii="宋体" w:hAnsi="宋体" w:eastAsia="宋体" w:cs="宋体"/>
          <w:sz w:val="21"/>
          <w:szCs w:val="21"/>
        </w:rPr>
        <w:t>2024 年 32 号办法中关于处置原则、废旧物资类别、生产部门、五金仓库、采购部、财务部职责分工的规定继续全部适用，不作变更；人资行政部暂不参与本销售处工作，原办法中人资行政部对废旧物资处置的跟踪监督、报价比对职责，在本方案范围内暂不启用，如后续需要参与由公司另行明确。</w:t>
      </w:r>
    </w:p>
    <w:p w14:paraId="45B4152E">
      <w:pPr>
        <w:pStyle w:val="2"/>
        <w:keepNext/>
        <w:spacing w:before="360" w:after="180" w:line="360" w:lineRule="auto"/>
        <w:jc w:val="left"/>
      </w:pPr>
      <w:r>
        <w:rPr>
          <w:rFonts w:ascii="黑体" w:hAnsi="黑体" w:eastAsia="黑体" w:cs="黑体"/>
          <w:b/>
          <w:bCs/>
          <w:sz w:val="32"/>
          <w:szCs w:val="32"/>
        </w:rPr>
        <w:t>二、关于成立废旧设备销售处的通知（拟）</w:t>
      </w:r>
    </w:p>
    <w:p w14:paraId="550AC6A8">
      <w:pPr>
        <w:spacing w:after="100" w:line="360" w:lineRule="auto"/>
        <w:jc w:val="both"/>
      </w:pPr>
      <w:r>
        <w:rPr>
          <w:rFonts w:ascii="宋体" w:hAnsi="宋体" w:eastAsia="宋体" w:cs="宋体"/>
          <w:sz w:val="21"/>
          <w:szCs w:val="21"/>
        </w:rPr>
        <w:t>为加快推进老厂搬迁闲置及废旧设备的对外销售处置，做到责任到人、即知即行，经研究，决定成立废旧设备销售处，现将有关事项通知如下。</w:t>
      </w:r>
    </w:p>
    <w:p w14:paraId="54929B76">
      <w:pPr>
        <w:pStyle w:val="3"/>
        <w:keepNext/>
        <w:spacing w:before="240" w:after="120" w:line="360" w:lineRule="auto"/>
        <w:jc w:val="left"/>
      </w:pPr>
      <w:r>
        <w:rPr>
          <w:rFonts w:ascii="黑体" w:hAnsi="黑体" w:eastAsia="黑体" w:cs="黑体"/>
          <w:b/>
          <w:bCs/>
          <w:sz w:val="28"/>
          <w:szCs w:val="28"/>
        </w:rPr>
        <w:t>2.1 人员组成</w:t>
      </w:r>
    </w:p>
    <w:tbl>
      <w:tblPr>
        <w:tblStyle w:val="11"/>
        <w:tblW w:w="5000" w:type="pct"/>
        <w:tblInd w:w="0" w:type="dxa"/>
        <w:tblBorders>
          <w:top w:val="single" w:color="666666" w:sz="4" w:space="0"/>
          <w:left w:val="single" w:color="666666" w:sz="4" w:space="0"/>
          <w:bottom w:val="single" w:color="666666" w:sz="4" w:space="0"/>
          <w:right w:val="single" w:color="666666" w:sz="4" w:space="0"/>
          <w:insideH w:val="single" w:color="666666" w:sz="4" w:space="0"/>
          <w:insideV w:val="single" w:color="666666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90"/>
        <w:gridCol w:w="1541"/>
        <w:gridCol w:w="5935"/>
      </w:tblGrid>
      <w:tr w14:paraId="42F87B94">
        <w:tblPrEx>
          <w:tblBorders>
            <w:top w:val="single" w:color="666666" w:sz="4" w:space="0"/>
            <w:left w:val="single" w:color="666666" w:sz="4" w:space="0"/>
            <w:bottom w:val="single" w:color="666666" w:sz="4" w:space="0"/>
            <w:right w:val="single" w:color="666666" w:sz="4" w:space="0"/>
            <w:insideH w:val="single" w:color="666666" w:sz="4" w:space="0"/>
            <w:insideV w:val="single" w:color="666666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blHeader/>
        </w:trPr>
        <w:tc>
          <w:tcPr>
            <w:tcW w:w="585" w:type="pct"/>
            <w:shd w:val="clear" w:color="auto" w:fill="E6E6E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00C5ACB">
            <w:pPr>
              <w:spacing w:after="0" w:line="28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17"/>
                <w:szCs w:val="17"/>
              </w:rPr>
              <w:t>姓名</w:t>
            </w:r>
          </w:p>
        </w:tc>
        <w:tc>
          <w:tcPr>
            <w:tcW w:w="910" w:type="pct"/>
            <w:shd w:val="clear" w:color="auto" w:fill="E6E6E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4AF7763">
            <w:pPr>
              <w:spacing w:after="0" w:line="28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17"/>
                <w:szCs w:val="17"/>
              </w:rPr>
              <w:t>分工</w:t>
            </w:r>
          </w:p>
        </w:tc>
        <w:tc>
          <w:tcPr>
            <w:shd w:val="clear" w:color="auto" w:fill="E6E6E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021AB78">
            <w:pPr>
              <w:spacing w:after="0" w:line="28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17"/>
                <w:szCs w:val="17"/>
              </w:rPr>
              <w:t>职责要点</w:t>
            </w:r>
          </w:p>
        </w:tc>
      </w:tr>
      <w:tr w14:paraId="7FAE130E">
        <w:tblPrEx>
          <w:tblBorders>
            <w:top w:val="single" w:color="666666" w:sz="4" w:space="0"/>
            <w:left w:val="single" w:color="666666" w:sz="4" w:space="0"/>
            <w:bottom w:val="single" w:color="666666" w:sz="4" w:space="0"/>
            <w:right w:val="single" w:color="666666" w:sz="4" w:space="0"/>
            <w:insideH w:val="single" w:color="666666" w:sz="4" w:space="0"/>
            <w:insideV w:val="single" w:color="666666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585" w:type="pct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538432B">
            <w:pPr>
              <w:spacing w:after="0" w:line="28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17"/>
                <w:szCs w:val="17"/>
              </w:rPr>
              <w:t>乐志伟</w:t>
            </w:r>
          </w:p>
        </w:tc>
        <w:tc>
          <w:tcPr>
            <w:tcW w:w="910" w:type="pct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2A75BE3">
            <w:pPr>
              <w:spacing w:after="0" w:line="28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17"/>
                <w:szCs w:val="17"/>
              </w:rPr>
              <w:t>牵头负责（销售部总监）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643E8C1">
            <w:pPr>
              <w:spacing w:after="0" w:line="28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17"/>
                <w:szCs w:val="17"/>
              </w:rPr>
              <w:t>统筹销售处全部工作，对接采购部审批，督办进度</w:t>
            </w:r>
          </w:p>
        </w:tc>
      </w:tr>
      <w:tr w14:paraId="7D15FAC1">
        <w:tblPrEx>
          <w:tblBorders>
            <w:top w:val="single" w:color="666666" w:sz="4" w:space="0"/>
            <w:left w:val="single" w:color="666666" w:sz="4" w:space="0"/>
            <w:bottom w:val="single" w:color="666666" w:sz="4" w:space="0"/>
            <w:right w:val="single" w:color="666666" w:sz="4" w:space="0"/>
            <w:insideH w:val="single" w:color="666666" w:sz="4" w:space="0"/>
            <w:insideV w:val="single" w:color="666666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585" w:type="pct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C9936D4">
            <w:pPr>
              <w:spacing w:after="0" w:line="28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17"/>
                <w:szCs w:val="17"/>
              </w:rPr>
              <w:t>刘桥</w:t>
            </w:r>
          </w:p>
        </w:tc>
        <w:tc>
          <w:tcPr>
            <w:tcW w:w="910" w:type="pct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D22F03F">
            <w:pPr>
              <w:spacing w:after="0" w:line="28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17"/>
                <w:szCs w:val="17"/>
              </w:rPr>
              <w:t>销售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EDD41DD">
            <w:pPr>
              <w:spacing w:after="0" w:line="28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17"/>
                <w:szCs w:val="17"/>
              </w:rPr>
              <w:t>收集买家信息，对接洽谈意向价格</w:t>
            </w:r>
          </w:p>
        </w:tc>
      </w:tr>
      <w:tr w14:paraId="2546DFBF">
        <w:tblPrEx>
          <w:tblBorders>
            <w:top w:val="single" w:color="666666" w:sz="4" w:space="0"/>
            <w:left w:val="single" w:color="666666" w:sz="4" w:space="0"/>
            <w:bottom w:val="single" w:color="666666" w:sz="4" w:space="0"/>
            <w:right w:val="single" w:color="666666" w:sz="4" w:space="0"/>
            <w:insideH w:val="single" w:color="666666" w:sz="4" w:space="0"/>
            <w:insideV w:val="single" w:color="666666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585" w:type="pct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103BF81">
            <w:pPr>
              <w:spacing w:after="0" w:line="28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17"/>
                <w:szCs w:val="17"/>
              </w:rPr>
              <w:t>陈礼斌</w:t>
            </w:r>
          </w:p>
        </w:tc>
        <w:tc>
          <w:tcPr>
            <w:tcW w:w="910" w:type="pct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AF2CEC5">
            <w:pPr>
              <w:spacing w:after="0" w:line="28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17"/>
                <w:szCs w:val="17"/>
              </w:rPr>
              <w:t>销售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A3778B5">
            <w:pPr>
              <w:spacing w:after="0" w:line="28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17"/>
                <w:szCs w:val="17"/>
              </w:rPr>
              <w:t>收集买家信息，对接洽谈意向价格</w:t>
            </w:r>
          </w:p>
        </w:tc>
      </w:tr>
      <w:tr w14:paraId="0FA31CA3">
        <w:tblPrEx>
          <w:tblBorders>
            <w:top w:val="single" w:color="666666" w:sz="4" w:space="0"/>
            <w:left w:val="single" w:color="666666" w:sz="4" w:space="0"/>
            <w:bottom w:val="single" w:color="666666" w:sz="4" w:space="0"/>
            <w:right w:val="single" w:color="666666" w:sz="4" w:space="0"/>
            <w:insideH w:val="single" w:color="666666" w:sz="4" w:space="0"/>
            <w:insideV w:val="single" w:color="666666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585" w:type="pct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02F66F3">
            <w:pPr>
              <w:spacing w:after="0" w:line="28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17"/>
                <w:szCs w:val="17"/>
              </w:rPr>
              <w:t>龚科潜</w:t>
            </w:r>
          </w:p>
        </w:tc>
        <w:tc>
          <w:tcPr>
            <w:tcW w:w="910" w:type="pct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5BA8FF6">
            <w:pPr>
              <w:spacing w:after="0" w:line="28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17"/>
                <w:szCs w:val="17"/>
              </w:rPr>
              <w:t>设备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0634DE6">
            <w:pPr>
              <w:spacing w:after="0" w:line="28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17"/>
                <w:szCs w:val="17"/>
              </w:rPr>
              <w:t>现场设备状态确认、技术说明，配合现场保护</w:t>
            </w:r>
          </w:p>
        </w:tc>
      </w:tr>
      <w:tr w14:paraId="1AC69D6E">
        <w:tblPrEx>
          <w:tblBorders>
            <w:top w:val="single" w:color="666666" w:sz="4" w:space="0"/>
            <w:left w:val="single" w:color="666666" w:sz="4" w:space="0"/>
            <w:bottom w:val="single" w:color="666666" w:sz="4" w:space="0"/>
            <w:right w:val="single" w:color="666666" w:sz="4" w:space="0"/>
            <w:insideH w:val="single" w:color="666666" w:sz="4" w:space="0"/>
            <w:insideV w:val="single" w:color="666666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585" w:type="pct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C3A0A53">
            <w:pPr>
              <w:spacing w:after="0" w:line="28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17"/>
                <w:szCs w:val="17"/>
              </w:rPr>
              <w:t>李群</w:t>
            </w:r>
          </w:p>
        </w:tc>
        <w:tc>
          <w:tcPr>
            <w:tcW w:w="910" w:type="pct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2E49123">
            <w:pPr>
              <w:spacing w:after="0" w:line="28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17"/>
                <w:szCs w:val="17"/>
              </w:rPr>
              <w:t>财务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C6B9162">
            <w:pPr>
              <w:spacing w:after="0" w:line="28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17"/>
                <w:szCs w:val="17"/>
              </w:rPr>
              <w:t>货款收取、开票及账务处理配合</w:t>
            </w:r>
          </w:p>
        </w:tc>
      </w:tr>
      <w:tr w14:paraId="3D341F7A">
        <w:tblPrEx>
          <w:tblBorders>
            <w:top w:val="single" w:color="666666" w:sz="4" w:space="0"/>
            <w:left w:val="single" w:color="666666" w:sz="4" w:space="0"/>
            <w:bottom w:val="single" w:color="666666" w:sz="4" w:space="0"/>
            <w:right w:val="single" w:color="666666" w:sz="4" w:space="0"/>
            <w:insideH w:val="single" w:color="666666" w:sz="4" w:space="0"/>
            <w:insideV w:val="single" w:color="666666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585" w:type="pct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8251FAA">
            <w:pPr>
              <w:spacing w:after="0" w:line="28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17"/>
                <w:szCs w:val="17"/>
              </w:rPr>
              <w:t>林娜</w:t>
            </w:r>
          </w:p>
        </w:tc>
        <w:tc>
          <w:tcPr>
            <w:tcW w:w="910" w:type="pct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9B5F559">
            <w:pPr>
              <w:spacing w:after="0" w:line="28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17"/>
                <w:szCs w:val="17"/>
              </w:rPr>
              <w:t>内勤/数据统计/过磅（兼）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18BC5E5">
            <w:pPr>
              <w:spacing w:after="0" w:line="28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17"/>
                <w:szCs w:val="17"/>
              </w:rPr>
              <w:t>负责本流程数据统计和内部台账维护，兼任成交设备</w:t>
            </w:r>
            <w:r>
              <w:rPr>
                <w:rFonts w:hint="eastAsia" w:ascii="宋体" w:hAnsi="宋体" w:eastAsia="宋体" w:cs="宋体"/>
                <w:b w:val="0"/>
                <w:bCs w:val="0"/>
                <w:sz w:val="17"/>
                <w:szCs w:val="17"/>
                <w:lang w:val="en-US" w:eastAsia="zh-CN"/>
              </w:rPr>
              <w:t>&amp;物资</w:t>
            </w:r>
            <w:r>
              <w:rPr>
                <w:rFonts w:ascii="宋体" w:hAnsi="宋体" w:eastAsia="宋体" w:cs="宋体"/>
                <w:b w:val="0"/>
                <w:bCs w:val="0"/>
                <w:sz w:val="17"/>
                <w:szCs w:val="17"/>
              </w:rPr>
              <w:t>过磅计量，并与财务、采购部门沟通对齐</w:t>
            </w:r>
          </w:p>
        </w:tc>
      </w:tr>
    </w:tbl>
    <w:p w14:paraId="72D75CC5">
      <w:pPr>
        <w:spacing w:after="100"/>
      </w:pPr>
    </w:p>
    <w:p w14:paraId="403A03BB">
      <w:pPr>
        <w:pStyle w:val="3"/>
        <w:keepNext/>
        <w:spacing w:before="240" w:after="120" w:line="360" w:lineRule="auto"/>
        <w:jc w:val="left"/>
      </w:pPr>
      <w:r>
        <w:rPr>
          <w:rFonts w:ascii="黑体" w:hAnsi="黑体" w:eastAsia="黑体" w:cs="黑体"/>
          <w:b/>
          <w:bCs/>
          <w:sz w:val="28"/>
          <w:szCs w:val="28"/>
        </w:rPr>
        <w:t>2.2 职责定位</w:t>
      </w:r>
    </w:p>
    <w:p w14:paraId="643CA74A">
      <w:pPr>
        <w:spacing w:after="100" w:line="360" w:lineRule="auto"/>
        <w:ind w:left="420" w:hanging="210"/>
        <w:jc w:val="both"/>
      </w:pPr>
      <w:r>
        <w:rPr>
          <w:rFonts w:ascii="宋体" w:hAnsi="宋体" w:eastAsia="宋体" w:cs="宋体"/>
          <w:sz w:val="21"/>
          <w:szCs w:val="21"/>
        </w:rPr>
        <w:t>1. 废旧设备销售处是在现有部门框架内组建的跨部门工作小组，不改变各成员原所在部门的隶属关系和考核关系；</w:t>
      </w:r>
    </w:p>
    <w:p w14:paraId="4ACF58CF">
      <w:pPr>
        <w:spacing w:after="100" w:line="360" w:lineRule="auto"/>
        <w:ind w:left="420" w:hanging="210"/>
        <w:jc w:val="both"/>
      </w:pPr>
      <w:r>
        <w:rPr>
          <w:rFonts w:ascii="宋体" w:hAnsi="宋体" w:eastAsia="宋体" w:cs="宋体"/>
          <w:sz w:val="21"/>
          <w:szCs w:val="21"/>
        </w:rPr>
        <w:t>2. 销售处依据本通知开展工作，具体处置原则和各部门配合职责，仍以《废旧物资处置管理办法》（江西柯美行字〔2024〕32 号）为准；</w:t>
      </w:r>
    </w:p>
    <w:p w14:paraId="1C45E8C1">
      <w:pPr>
        <w:spacing w:after="100" w:line="360" w:lineRule="auto"/>
        <w:ind w:left="420" w:hanging="210"/>
        <w:jc w:val="both"/>
      </w:pPr>
      <w:r>
        <w:rPr>
          <w:rFonts w:ascii="宋体" w:hAnsi="宋体" w:eastAsia="宋体" w:cs="宋体"/>
          <w:sz w:val="21"/>
          <w:szCs w:val="21"/>
        </w:rPr>
        <w:t>3. 销售处内部由乐志伟对买家意向进行初审，初审通过后按公司现行流程报采购部复审裁决、确定合同；销售处不单独设立独立于采购部之外的审批权限，对应 2024 年 32 号办法“三、（三）采购部”职责。</w:t>
      </w:r>
    </w:p>
    <w:p w14:paraId="3CEC4878">
      <w:pPr>
        <w:pStyle w:val="3"/>
        <w:keepNext/>
        <w:spacing w:before="240" w:after="120" w:line="360" w:lineRule="auto"/>
        <w:jc w:val="left"/>
      </w:pPr>
      <w:r>
        <w:rPr>
          <w:rFonts w:ascii="黑体" w:hAnsi="黑体" w:eastAsia="黑体" w:cs="黑体"/>
          <w:b/>
          <w:bCs/>
          <w:sz w:val="28"/>
          <w:szCs w:val="28"/>
        </w:rPr>
        <w:t>2.3 工作要求</w:t>
      </w:r>
    </w:p>
    <w:p w14:paraId="468F1917">
      <w:pPr>
        <w:spacing w:after="100" w:line="360" w:lineRule="auto"/>
        <w:ind w:left="420" w:hanging="210"/>
        <w:jc w:val="both"/>
      </w:pPr>
      <w:r>
        <w:rPr>
          <w:rFonts w:ascii="宋体" w:hAnsi="宋体" w:eastAsia="宋体" w:cs="宋体"/>
          <w:sz w:val="21"/>
          <w:szCs w:val="21"/>
        </w:rPr>
        <w:t>1. 销售处成员应及时跟踪、维护现场待售设备状态，防止损毁、丢失或被擅自处置；</w:t>
      </w:r>
    </w:p>
    <w:p w14:paraId="3210391B">
      <w:pPr>
        <w:spacing w:after="100" w:line="360" w:lineRule="auto"/>
        <w:ind w:left="420" w:hanging="210"/>
        <w:jc w:val="both"/>
      </w:pPr>
      <w:r>
        <w:rPr>
          <w:rFonts w:ascii="宋体" w:hAnsi="宋体" w:eastAsia="宋体" w:cs="宋体"/>
          <w:sz w:val="21"/>
          <w:szCs w:val="21"/>
        </w:rPr>
        <w:t>2. 涉及现场拆卸、吊运等作业的，仍按公司现行安全管理要求执行；龚科潜负责现场设备确认与技术说明，配合安全管理；</w:t>
      </w:r>
    </w:p>
    <w:p w14:paraId="062B00C1">
      <w:pPr>
        <w:spacing w:after="100" w:line="360" w:lineRule="auto"/>
        <w:ind w:left="420" w:hanging="210"/>
        <w:jc w:val="both"/>
      </w:pPr>
      <w:r>
        <w:rPr>
          <w:rFonts w:ascii="宋体" w:hAnsi="宋体" w:eastAsia="宋体" w:cs="宋体"/>
          <w:sz w:val="21"/>
          <w:szCs w:val="21"/>
        </w:rPr>
        <w:t>3. 销售处工作情况由乐志伟定期向总经理报告，报告频次和形式由总经理另行确定；</w:t>
      </w:r>
    </w:p>
    <w:p w14:paraId="4B359C32">
      <w:pPr>
        <w:spacing w:after="100" w:line="360" w:lineRule="auto"/>
        <w:ind w:left="420" w:hanging="210"/>
        <w:jc w:val="both"/>
      </w:pPr>
      <w:r>
        <w:rPr>
          <w:rFonts w:ascii="宋体" w:hAnsi="宋体" w:eastAsia="宋体" w:cs="宋体"/>
          <w:sz w:val="21"/>
          <w:szCs w:val="21"/>
        </w:rPr>
        <w:t>4. 林娜负责执行成交设备的过磅计量，并应及时更新销售处数据统计台账，与财务、采购部门核对数据，发现不一致时及时反馈乐志伟处理。</w:t>
      </w:r>
    </w:p>
    <w:p w14:paraId="7B1AD181">
      <w:pPr>
        <w:pStyle w:val="2"/>
        <w:keepNext/>
        <w:spacing w:before="360" w:after="180" w:line="360" w:lineRule="auto"/>
        <w:jc w:val="left"/>
      </w:pPr>
      <w:r>
        <w:rPr>
          <w:rFonts w:ascii="黑体" w:hAnsi="黑体" w:eastAsia="黑体" w:cs="黑体"/>
          <w:b/>
          <w:bCs/>
          <w:sz w:val="32"/>
          <w:szCs w:val="32"/>
        </w:rPr>
        <w:t>三、废旧设备销售工作流程（拟）</w:t>
      </w:r>
    </w:p>
    <w:p w14:paraId="01C106D1">
      <w:pPr>
        <w:pStyle w:val="3"/>
        <w:keepNext/>
        <w:spacing w:before="240" w:after="120" w:line="360" w:lineRule="auto"/>
        <w:jc w:val="left"/>
      </w:pPr>
      <w:r>
        <w:rPr>
          <w:rFonts w:ascii="黑体" w:hAnsi="黑体" w:eastAsia="黑体" w:cs="黑体"/>
          <w:b/>
          <w:bCs/>
          <w:sz w:val="28"/>
          <w:szCs w:val="28"/>
        </w:rPr>
        <w:t>3.1 总体流程（五步法）</w:t>
      </w:r>
    </w:p>
    <w:p w14:paraId="278BEB6F">
      <w:pPr>
        <w:spacing w:after="100" w:line="360" w:lineRule="auto"/>
        <w:ind w:left="420" w:hanging="210"/>
        <w:jc w:val="both"/>
      </w:pPr>
      <w:r>
        <w:rPr>
          <w:rFonts w:ascii="宋体" w:hAnsi="宋体" w:eastAsia="宋体" w:cs="宋体"/>
          <w:sz w:val="21"/>
          <w:szCs w:val="21"/>
        </w:rPr>
        <w:t xml:space="preserve">1. </w:t>
      </w:r>
      <w:r>
        <w:rPr>
          <w:rFonts w:ascii="宋体" w:hAnsi="宋体" w:eastAsia="宋体" w:cs="宋体"/>
          <w:b/>
          <w:bCs/>
          <w:sz w:val="21"/>
          <w:szCs w:val="21"/>
        </w:rPr>
        <w:t>联系买家形成初步意向</w:t>
      </w:r>
      <w:r>
        <w:rPr>
          <w:rFonts w:ascii="宋体" w:hAnsi="宋体" w:eastAsia="宋体" w:cs="宋体"/>
          <w:sz w:val="21"/>
          <w:szCs w:val="21"/>
        </w:rPr>
        <w:t>：刘桥、陈礼斌负责对接潜在买家，洽谈并形成初步购买意向（含意向价格）；</w:t>
      </w:r>
    </w:p>
    <w:p w14:paraId="1AA760E9">
      <w:pPr>
        <w:spacing w:after="100" w:line="360" w:lineRule="auto"/>
        <w:ind w:left="420" w:hanging="210"/>
        <w:jc w:val="both"/>
      </w:pPr>
      <w:r>
        <w:rPr>
          <w:rFonts w:ascii="宋体" w:hAnsi="宋体" w:eastAsia="宋体" w:cs="宋体"/>
          <w:sz w:val="21"/>
          <w:szCs w:val="21"/>
        </w:rPr>
        <w:t xml:space="preserve">2. </w:t>
      </w:r>
      <w:r>
        <w:rPr>
          <w:rFonts w:ascii="宋体" w:hAnsi="宋体" w:eastAsia="宋体" w:cs="宋体"/>
          <w:b/>
          <w:bCs/>
          <w:sz w:val="21"/>
          <w:szCs w:val="21"/>
        </w:rPr>
        <w:t>乐总初审</w:t>
      </w:r>
      <w:r>
        <w:rPr>
          <w:rFonts w:ascii="宋体" w:hAnsi="宋体" w:eastAsia="宋体" w:cs="宋体"/>
          <w:sz w:val="21"/>
          <w:szCs w:val="21"/>
        </w:rPr>
        <w:t>：乐志伟对销售人员提报的意向进行初步审核，确认是否具备继续推进的基础；</w:t>
      </w:r>
    </w:p>
    <w:p w14:paraId="0DF93D43">
      <w:pPr>
        <w:spacing w:after="100" w:line="360" w:lineRule="auto"/>
        <w:ind w:left="420" w:hanging="210"/>
        <w:jc w:val="both"/>
      </w:pPr>
      <w:r>
        <w:rPr>
          <w:rFonts w:ascii="宋体" w:hAnsi="宋体" w:eastAsia="宋体" w:cs="宋体"/>
          <w:sz w:val="21"/>
          <w:szCs w:val="21"/>
        </w:rPr>
        <w:t xml:space="preserve">3. </w:t>
      </w:r>
      <w:r>
        <w:rPr>
          <w:rFonts w:ascii="宋体" w:hAnsi="宋体" w:eastAsia="宋体" w:cs="宋体"/>
          <w:b/>
          <w:bCs/>
          <w:sz w:val="21"/>
          <w:szCs w:val="21"/>
        </w:rPr>
        <w:t>采购复审裁决，确定合同</w:t>
      </w:r>
      <w:r>
        <w:rPr>
          <w:rFonts w:ascii="宋体" w:hAnsi="宋体" w:eastAsia="宋体" w:cs="宋体"/>
          <w:sz w:val="21"/>
          <w:szCs w:val="21"/>
        </w:rPr>
        <w:t>：初审通过后报采购部按《废旧物资处置管理办法》（2024 年 32 号）现行规定复审裁决，确认处置可行性及价格合理性，并确定合同；</w:t>
      </w:r>
    </w:p>
    <w:p w14:paraId="26713007">
      <w:pPr>
        <w:spacing w:after="100" w:line="360" w:lineRule="auto"/>
        <w:ind w:left="420" w:hanging="210"/>
        <w:jc w:val="both"/>
      </w:pPr>
      <w:r>
        <w:rPr>
          <w:rFonts w:ascii="宋体" w:hAnsi="宋体" w:eastAsia="宋体" w:cs="宋体"/>
          <w:sz w:val="21"/>
          <w:szCs w:val="21"/>
        </w:rPr>
        <w:t xml:space="preserve">4. </w:t>
      </w:r>
      <w:r>
        <w:rPr>
          <w:rFonts w:ascii="宋体" w:hAnsi="宋体" w:eastAsia="宋体" w:cs="宋体"/>
          <w:b/>
          <w:bCs/>
          <w:sz w:val="21"/>
          <w:szCs w:val="21"/>
        </w:rPr>
        <w:t>财务到款后监督放行</w:t>
      </w:r>
      <w:r>
        <w:rPr>
          <w:rFonts w:ascii="宋体" w:hAnsi="宋体" w:eastAsia="宋体" w:cs="宋体"/>
          <w:sz w:val="21"/>
          <w:szCs w:val="21"/>
        </w:rPr>
        <w:t>：李群（财务）确认到款后，通知龚科潜负责监督磅房过磅事宜（过磅计量由林娜兼任执行），龚科潜确认后对设备予以放行；</w:t>
      </w:r>
    </w:p>
    <w:p w14:paraId="230FDB9E">
      <w:pPr>
        <w:spacing w:after="100" w:line="360" w:lineRule="auto"/>
        <w:ind w:left="420" w:hanging="210"/>
        <w:jc w:val="both"/>
      </w:pPr>
      <w:r>
        <w:rPr>
          <w:rFonts w:ascii="宋体" w:hAnsi="宋体" w:eastAsia="宋体" w:cs="宋体"/>
          <w:sz w:val="21"/>
          <w:szCs w:val="21"/>
        </w:rPr>
        <w:t xml:space="preserve">5. </w:t>
      </w:r>
      <w:r>
        <w:rPr>
          <w:rFonts w:ascii="宋体" w:hAnsi="宋体" w:eastAsia="宋体" w:cs="宋体"/>
          <w:b/>
          <w:bCs/>
          <w:sz w:val="21"/>
          <w:szCs w:val="21"/>
        </w:rPr>
        <w:t>数据统计与对账</w:t>
      </w:r>
      <w:r>
        <w:rPr>
          <w:rFonts w:ascii="宋体" w:hAnsi="宋体" w:eastAsia="宋体" w:cs="宋体"/>
          <w:sz w:val="21"/>
          <w:szCs w:val="21"/>
        </w:rPr>
        <w:t>：林娜负责本次交易的数据统计，及时与财务、采购部门沟通对齐，确保台账、账务和采购记录一致。</w:t>
      </w:r>
    </w:p>
    <w:p w14:paraId="4C0FA28C">
      <w:pPr>
        <w:pStyle w:val="3"/>
        <w:keepNext/>
        <w:spacing w:before="240" w:after="120" w:line="360" w:lineRule="auto"/>
        <w:jc w:val="left"/>
      </w:pPr>
      <w:r>
        <w:rPr>
          <w:rFonts w:ascii="黑体" w:hAnsi="黑体" w:eastAsia="黑体" w:cs="黑体"/>
          <w:b/>
          <w:bCs/>
          <w:sz w:val="28"/>
          <w:szCs w:val="28"/>
        </w:rPr>
        <w:t>3.2 与 2024 年 32 号办法的衔接</w:t>
      </w:r>
    </w:p>
    <w:tbl>
      <w:tblPr>
        <w:tblStyle w:val="11"/>
        <w:tblW w:w="5000" w:type="pct"/>
        <w:tblInd w:w="0" w:type="dxa"/>
        <w:tblBorders>
          <w:top w:val="single" w:color="666666" w:sz="4" w:space="0"/>
          <w:left w:val="single" w:color="666666" w:sz="4" w:space="0"/>
          <w:bottom w:val="single" w:color="666666" w:sz="4" w:space="0"/>
          <w:right w:val="single" w:color="666666" w:sz="4" w:space="0"/>
          <w:insideH w:val="single" w:color="666666" w:sz="4" w:space="0"/>
          <w:insideV w:val="single" w:color="666666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533"/>
        <w:gridCol w:w="2449"/>
        <w:gridCol w:w="4484"/>
      </w:tblGrid>
      <w:tr w14:paraId="47542016">
        <w:tblPrEx>
          <w:tblBorders>
            <w:top w:val="single" w:color="666666" w:sz="4" w:space="0"/>
            <w:left w:val="single" w:color="666666" w:sz="4" w:space="0"/>
            <w:bottom w:val="single" w:color="666666" w:sz="4" w:space="0"/>
            <w:right w:val="single" w:color="666666" w:sz="4" w:space="0"/>
            <w:insideH w:val="single" w:color="666666" w:sz="4" w:space="0"/>
            <w:insideV w:val="single" w:color="666666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blHeader/>
        </w:trPr>
        <w:tc>
          <w:tcPr>
            <w:tcW w:w="905" w:type="pct"/>
            <w:shd w:val="clear" w:color="auto" w:fill="E6E6E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B325E7A">
            <w:pPr>
              <w:spacing w:after="0" w:line="28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17"/>
                <w:szCs w:val="17"/>
              </w:rPr>
              <w:t>环节</w:t>
            </w:r>
          </w:p>
        </w:tc>
        <w:tc>
          <w:tcPr>
            <w:tcW w:w="1446" w:type="pct"/>
            <w:shd w:val="clear" w:color="auto" w:fill="E6E6E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F8489FF">
            <w:pPr>
              <w:spacing w:after="0" w:line="28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17"/>
                <w:szCs w:val="17"/>
              </w:rPr>
              <w:t>2024 年 32 号办法原有职责</w:t>
            </w:r>
          </w:p>
        </w:tc>
        <w:tc>
          <w:tcPr>
            <w:tcW w:w="2647" w:type="pct"/>
            <w:shd w:val="clear" w:color="auto" w:fill="E6E6E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4356E5A">
            <w:pPr>
              <w:spacing w:after="0" w:line="28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17"/>
                <w:szCs w:val="17"/>
              </w:rPr>
              <w:t>本方案补充或明确</w:t>
            </w:r>
          </w:p>
        </w:tc>
      </w:tr>
      <w:tr w14:paraId="38F49B04">
        <w:tblPrEx>
          <w:tblBorders>
            <w:top w:val="single" w:color="666666" w:sz="4" w:space="0"/>
            <w:left w:val="single" w:color="666666" w:sz="4" w:space="0"/>
            <w:bottom w:val="single" w:color="666666" w:sz="4" w:space="0"/>
            <w:right w:val="single" w:color="666666" w:sz="4" w:space="0"/>
            <w:insideH w:val="single" w:color="666666" w:sz="4" w:space="0"/>
            <w:insideV w:val="single" w:color="666666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905" w:type="pct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B29F316">
            <w:pPr>
              <w:spacing w:after="0" w:line="28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17"/>
                <w:szCs w:val="17"/>
              </w:rPr>
              <w:t>报废与分类</w:t>
            </w:r>
          </w:p>
        </w:tc>
        <w:tc>
          <w:tcPr>
            <w:tcW w:w="1446" w:type="pct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5778610">
            <w:pPr>
              <w:spacing w:after="0" w:line="28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17"/>
                <w:szCs w:val="17"/>
              </w:rPr>
              <w:t>生产部门提交报废申请并分类；五金仓库分类存放</w:t>
            </w:r>
          </w:p>
        </w:tc>
        <w:tc>
          <w:tcPr>
            <w:tcW w:w="2647" w:type="pct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7F826FC">
            <w:pPr>
              <w:spacing w:after="0" w:line="28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17"/>
                <w:szCs w:val="17"/>
              </w:rPr>
              <w:t>沿用不变</w:t>
            </w:r>
          </w:p>
        </w:tc>
      </w:tr>
      <w:tr w14:paraId="6468B0EB">
        <w:tblPrEx>
          <w:tblBorders>
            <w:top w:val="single" w:color="666666" w:sz="4" w:space="0"/>
            <w:left w:val="single" w:color="666666" w:sz="4" w:space="0"/>
            <w:bottom w:val="single" w:color="666666" w:sz="4" w:space="0"/>
            <w:right w:val="single" w:color="666666" w:sz="4" w:space="0"/>
            <w:insideH w:val="single" w:color="666666" w:sz="4" w:space="0"/>
            <w:insideV w:val="single" w:color="666666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905" w:type="pct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4B8200B">
            <w:pPr>
              <w:spacing w:after="0" w:line="28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17"/>
                <w:szCs w:val="17"/>
              </w:rPr>
              <w:t>联系买家形成意向</w:t>
            </w:r>
          </w:p>
        </w:tc>
        <w:tc>
          <w:tcPr>
            <w:tcW w:w="1446" w:type="pct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EF7B505">
            <w:pPr>
              <w:spacing w:after="0" w:line="28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17"/>
                <w:szCs w:val="17"/>
              </w:rPr>
              <w:t>无专门规定</w:t>
            </w:r>
          </w:p>
        </w:tc>
        <w:tc>
          <w:tcPr>
            <w:tcW w:w="2647" w:type="pct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54D595B">
            <w:pPr>
              <w:spacing w:after="0" w:line="28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17"/>
                <w:szCs w:val="17"/>
              </w:rPr>
              <w:t>新增：由销售处（刘桥、陈礼斌）负责对接买家，形成初步意向</w:t>
            </w:r>
          </w:p>
        </w:tc>
      </w:tr>
      <w:tr w14:paraId="0A8AEB91">
        <w:tblPrEx>
          <w:tblBorders>
            <w:top w:val="single" w:color="666666" w:sz="4" w:space="0"/>
            <w:left w:val="single" w:color="666666" w:sz="4" w:space="0"/>
            <w:bottom w:val="single" w:color="666666" w:sz="4" w:space="0"/>
            <w:right w:val="single" w:color="666666" w:sz="4" w:space="0"/>
            <w:insideH w:val="single" w:color="666666" w:sz="4" w:space="0"/>
            <w:insideV w:val="single" w:color="666666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905" w:type="pct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D0897F1">
            <w:pPr>
              <w:spacing w:after="0" w:line="28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17"/>
                <w:szCs w:val="17"/>
              </w:rPr>
              <w:t>初审</w:t>
            </w:r>
          </w:p>
        </w:tc>
        <w:tc>
          <w:tcPr>
            <w:tcW w:w="1446" w:type="pct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BCA98E0">
            <w:pPr>
              <w:spacing w:after="0" w:line="28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17"/>
                <w:szCs w:val="17"/>
              </w:rPr>
              <w:t>无专门规定</w:t>
            </w:r>
          </w:p>
        </w:tc>
        <w:tc>
          <w:tcPr>
            <w:tcW w:w="2647" w:type="pct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F1861C5">
            <w:pPr>
              <w:spacing w:after="0" w:line="28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17"/>
                <w:szCs w:val="17"/>
              </w:rPr>
              <w:t>新增：由乐志伟对买家意向进行初审</w:t>
            </w:r>
          </w:p>
        </w:tc>
      </w:tr>
      <w:tr w14:paraId="3B426BE4">
        <w:tblPrEx>
          <w:tblBorders>
            <w:top w:val="single" w:color="666666" w:sz="4" w:space="0"/>
            <w:left w:val="single" w:color="666666" w:sz="4" w:space="0"/>
            <w:bottom w:val="single" w:color="666666" w:sz="4" w:space="0"/>
            <w:right w:val="single" w:color="666666" w:sz="4" w:space="0"/>
            <w:insideH w:val="single" w:color="666666" w:sz="4" w:space="0"/>
            <w:insideV w:val="single" w:color="666666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905" w:type="pct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0D706C9">
            <w:pPr>
              <w:spacing w:after="0" w:line="28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17"/>
                <w:szCs w:val="17"/>
              </w:rPr>
              <w:t>复审与合同</w:t>
            </w:r>
          </w:p>
        </w:tc>
        <w:tc>
          <w:tcPr>
            <w:tcW w:w="1446" w:type="pct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C1FEB5C">
            <w:pPr>
              <w:spacing w:after="0" w:line="28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17"/>
                <w:szCs w:val="17"/>
              </w:rPr>
              <w:t>采购部负责处置经批准的物资</w:t>
            </w:r>
          </w:p>
        </w:tc>
        <w:tc>
          <w:tcPr>
            <w:tcW w:w="2647" w:type="pct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AB93A23">
            <w:pPr>
              <w:spacing w:after="0" w:line="28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17"/>
                <w:szCs w:val="17"/>
              </w:rPr>
              <w:t>明确：初审通过后由采购部复审裁决并确定合同，不新设金额门槛</w:t>
            </w:r>
          </w:p>
        </w:tc>
      </w:tr>
      <w:tr w14:paraId="44903B31">
        <w:tblPrEx>
          <w:tblBorders>
            <w:top w:val="single" w:color="666666" w:sz="4" w:space="0"/>
            <w:left w:val="single" w:color="666666" w:sz="4" w:space="0"/>
            <w:bottom w:val="single" w:color="666666" w:sz="4" w:space="0"/>
            <w:right w:val="single" w:color="666666" w:sz="4" w:space="0"/>
            <w:insideH w:val="single" w:color="666666" w:sz="4" w:space="0"/>
            <w:insideV w:val="single" w:color="666666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905" w:type="pct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D244BA0">
            <w:pPr>
              <w:spacing w:after="0" w:line="28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17"/>
                <w:szCs w:val="17"/>
              </w:rPr>
              <w:t>过磅与放行</w:t>
            </w:r>
          </w:p>
        </w:tc>
        <w:tc>
          <w:tcPr>
            <w:tcW w:w="1446" w:type="pct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5BD8D3A">
            <w:pPr>
              <w:spacing w:after="0" w:line="28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17"/>
                <w:szCs w:val="17"/>
              </w:rPr>
              <w:t>财务部负责报废物资过磅及收款</w:t>
            </w:r>
          </w:p>
        </w:tc>
        <w:tc>
          <w:tcPr>
            <w:tcW w:w="2647" w:type="pct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3C61EE3">
            <w:pPr>
              <w:spacing w:after="0" w:line="28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17"/>
                <w:szCs w:val="17"/>
              </w:rPr>
              <w:t>明确：李群确认到款后通知龚科潜监督磅房事宜（过磅计量由林娜兼任执行），龚科潜确认后对设备放行</w:t>
            </w:r>
          </w:p>
        </w:tc>
      </w:tr>
      <w:tr w14:paraId="562F1433">
        <w:tblPrEx>
          <w:tblBorders>
            <w:top w:val="single" w:color="666666" w:sz="4" w:space="0"/>
            <w:left w:val="single" w:color="666666" w:sz="4" w:space="0"/>
            <w:bottom w:val="single" w:color="666666" w:sz="4" w:space="0"/>
            <w:right w:val="single" w:color="666666" w:sz="4" w:space="0"/>
            <w:insideH w:val="single" w:color="666666" w:sz="4" w:space="0"/>
            <w:insideV w:val="single" w:color="666666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905" w:type="pct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A947B4A">
            <w:pPr>
              <w:spacing w:after="0" w:line="28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17"/>
                <w:szCs w:val="17"/>
              </w:rPr>
              <w:t>数据统计与对账</w:t>
            </w:r>
          </w:p>
        </w:tc>
        <w:tc>
          <w:tcPr>
            <w:tcW w:w="1446" w:type="pct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0270149">
            <w:pPr>
              <w:spacing w:after="0" w:line="28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17"/>
                <w:szCs w:val="17"/>
              </w:rPr>
              <w:t>无专门规定</w:t>
            </w:r>
          </w:p>
        </w:tc>
        <w:tc>
          <w:tcPr>
            <w:tcW w:w="2647" w:type="pct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9AE8484">
            <w:pPr>
              <w:spacing w:after="0" w:line="28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17"/>
                <w:szCs w:val="17"/>
              </w:rPr>
              <w:t>新增：由林娜负责数据统计，并与财务、采购部门沟通对齐</w:t>
            </w:r>
          </w:p>
        </w:tc>
      </w:tr>
      <w:tr w14:paraId="4BA424FF">
        <w:tblPrEx>
          <w:tblBorders>
            <w:top w:val="single" w:color="666666" w:sz="4" w:space="0"/>
            <w:left w:val="single" w:color="666666" w:sz="4" w:space="0"/>
            <w:bottom w:val="single" w:color="666666" w:sz="4" w:space="0"/>
            <w:right w:val="single" w:color="666666" w:sz="4" w:space="0"/>
            <w:insideH w:val="single" w:color="666666" w:sz="4" w:space="0"/>
            <w:insideV w:val="single" w:color="666666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905" w:type="pct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E9D08C1">
            <w:pPr>
              <w:spacing w:after="0" w:line="28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17"/>
                <w:szCs w:val="17"/>
              </w:rPr>
              <w:t>监督检查</w:t>
            </w:r>
          </w:p>
        </w:tc>
        <w:tc>
          <w:tcPr>
            <w:tcW w:w="1446" w:type="pct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C197D5D">
            <w:pPr>
              <w:spacing w:after="0" w:line="28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17"/>
                <w:szCs w:val="17"/>
              </w:rPr>
              <w:t>人资行政部原负责全程跟踪、监督、检查及报价比对</w:t>
            </w:r>
          </w:p>
        </w:tc>
        <w:tc>
          <w:tcPr>
            <w:tcW w:w="2647" w:type="pct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DB0963F">
            <w:pPr>
              <w:spacing w:after="0" w:line="28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17"/>
                <w:szCs w:val="17"/>
              </w:rPr>
              <w:t>人资行政部暂不参与本销售处工作，相关监督检查职责本方案范围内暂不启用，如后续需要由公司另行明确</w:t>
            </w:r>
          </w:p>
        </w:tc>
      </w:tr>
      <w:tr w14:paraId="0A482347">
        <w:tblPrEx>
          <w:tblBorders>
            <w:top w:val="single" w:color="666666" w:sz="4" w:space="0"/>
            <w:left w:val="single" w:color="666666" w:sz="4" w:space="0"/>
            <w:bottom w:val="single" w:color="666666" w:sz="4" w:space="0"/>
            <w:right w:val="single" w:color="666666" w:sz="4" w:space="0"/>
            <w:insideH w:val="single" w:color="666666" w:sz="4" w:space="0"/>
            <w:insideV w:val="single" w:color="666666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905" w:type="pct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4439B6A">
            <w:pPr>
              <w:spacing w:after="0" w:line="28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17"/>
                <w:szCs w:val="17"/>
              </w:rPr>
              <w:t>现场设备保护</w:t>
            </w:r>
          </w:p>
        </w:tc>
        <w:tc>
          <w:tcPr>
            <w:tcW w:w="1446" w:type="pct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89E3A91">
            <w:pPr>
              <w:spacing w:after="0" w:line="28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17"/>
                <w:szCs w:val="17"/>
              </w:rPr>
              <w:t>无专门规定</w:t>
            </w:r>
          </w:p>
        </w:tc>
        <w:tc>
          <w:tcPr>
            <w:tcW w:w="2647" w:type="pct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6D560B8">
            <w:pPr>
              <w:spacing w:after="0" w:line="28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17"/>
                <w:szCs w:val="17"/>
              </w:rPr>
              <w:t>新增：销售处成员负责现场设备跟踪与保护（龚科潜牵头）</w:t>
            </w:r>
          </w:p>
        </w:tc>
      </w:tr>
    </w:tbl>
    <w:p w14:paraId="3EA9386D">
      <w:pPr>
        <w:spacing w:after="100"/>
      </w:pPr>
    </w:p>
    <w:p w14:paraId="2770E3B5">
      <w:pPr>
        <w:pStyle w:val="3"/>
        <w:keepNext/>
        <w:spacing w:before="240" w:after="120" w:line="360" w:lineRule="auto"/>
        <w:jc w:val="left"/>
      </w:pPr>
      <w:r>
        <w:rPr>
          <w:rFonts w:ascii="黑体" w:hAnsi="黑体" w:eastAsia="黑体" w:cs="黑体"/>
          <w:b/>
          <w:bCs/>
          <w:sz w:val="28"/>
          <w:szCs w:val="28"/>
        </w:rPr>
        <w:t>3.3 待明确事项（需公司后续确认）</w:t>
      </w:r>
    </w:p>
    <w:p w14:paraId="58E2BA28">
      <w:pPr>
        <w:spacing w:after="100" w:line="360" w:lineRule="auto"/>
        <w:ind w:left="420" w:hanging="210"/>
        <w:jc w:val="both"/>
      </w:pPr>
      <w:r>
        <w:rPr>
          <w:rFonts w:ascii="宋体" w:hAnsi="宋体" w:eastAsia="宋体" w:cs="宋体"/>
          <w:sz w:val="21"/>
          <w:szCs w:val="21"/>
        </w:rPr>
        <w:t>1. 采购部具体审批权限、金额阈值仍按公司现有授权执行，本方案不新设阈值；</w:t>
      </w:r>
    </w:p>
    <w:p w14:paraId="5BF5E1E4">
      <w:pPr>
        <w:spacing w:after="100" w:line="360" w:lineRule="auto"/>
        <w:ind w:left="420" w:hanging="210"/>
        <w:jc w:val="both"/>
      </w:pPr>
      <w:r>
        <w:rPr>
          <w:rFonts w:ascii="宋体" w:hAnsi="宋体" w:eastAsia="宋体" w:cs="宋体"/>
          <w:sz w:val="21"/>
          <w:szCs w:val="21"/>
        </w:rPr>
        <w:t>2. 若涉及需要过磅之外的资产交割（如整机吊装运输），现场安全和运输责任归属需另行明确责任人；</w:t>
      </w:r>
    </w:p>
    <w:p w14:paraId="252CCBF8">
      <w:pPr>
        <w:spacing w:after="100" w:line="360" w:lineRule="auto"/>
        <w:ind w:left="420" w:hanging="210"/>
        <w:jc w:val="both"/>
      </w:pPr>
      <w:r>
        <w:rPr>
          <w:rFonts w:ascii="宋体" w:hAnsi="宋体" w:eastAsia="宋体" w:cs="宋体"/>
          <w:sz w:val="21"/>
          <w:szCs w:val="21"/>
        </w:rPr>
        <w:t>3. 若后续设备处置规模扩大或风险上升，可视情况参照此前拟订的《老厂搬迁闲置资产处置专项方案》补充控制措施，但目前不启用其中的分级组织和审批设计。</w:t>
      </w:r>
    </w:p>
    <w:p w14:paraId="4948EABD">
      <w:pPr>
        <w:pStyle w:val="2"/>
        <w:keepNext/>
        <w:spacing w:before="360" w:after="180" w:line="360" w:lineRule="auto"/>
        <w:jc w:val="left"/>
      </w:pPr>
      <w:r>
        <w:rPr>
          <w:rFonts w:ascii="黑体" w:hAnsi="黑体" w:eastAsia="黑体" w:cs="黑体"/>
          <w:b/>
          <w:bCs/>
          <w:sz w:val="32"/>
          <w:szCs w:val="32"/>
        </w:rPr>
        <w:t>四、与此前专项方案的关系</w:t>
      </w:r>
    </w:p>
    <w:p w14:paraId="32A762FF">
      <w:pPr>
        <w:spacing w:after="100" w:line="360" w:lineRule="auto"/>
        <w:ind w:left="420" w:hanging="210"/>
        <w:jc w:val="both"/>
      </w:pPr>
      <w:r>
        <w:rPr>
          <w:rFonts w:ascii="宋体" w:hAnsi="宋体" w:eastAsia="宋体" w:cs="宋体"/>
          <w:sz w:val="21"/>
          <w:szCs w:val="21"/>
        </w:rPr>
        <w:t>1. 本方案是对 00-临时存放/江西柯美废旧物资设备处置草案20260902.md 中“领导小组 + 资产处置办”方案的简化替代，依总经理指示，以现有 2024 年 32 号办法为依据、以销售部牵头的精简小组承接执行；</w:t>
      </w:r>
    </w:p>
    <w:p w14:paraId="04D98FB5">
      <w:pPr>
        <w:spacing w:after="100" w:line="360" w:lineRule="auto"/>
        <w:ind w:left="420" w:hanging="210"/>
        <w:jc w:val="both"/>
      </w:pPr>
      <w:r>
        <w:rPr>
          <w:rFonts w:ascii="宋体" w:hAnsi="宋体" w:eastAsia="宋体" w:cs="宋体"/>
          <w:sz w:val="21"/>
          <w:szCs w:val="21"/>
        </w:rPr>
        <w:t>2. 此前草案中的分级审批、五类分类代码、多岗位会签等设计本次不采用；</w:t>
      </w:r>
    </w:p>
    <w:p w14:paraId="7FF20020">
      <w:pPr>
        <w:spacing w:after="100" w:line="360" w:lineRule="auto"/>
        <w:ind w:left="420" w:hanging="210"/>
        <w:jc w:val="both"/>
      </w:pPr>
      <w:r>
        <w:rPr>
          <w:rFonts w:ascii="宋体" w:hAnsi="宋体" w:eastAsia="宋体" w:cs="宋体"/>
          <w:sz w:val="21"/>
          <w:szCs w:val="21"/>
        </w:rPr>
        <w:t>3. 此前草案及其 Word、HTML 版本暂保留在临时区，作为制度储备，是否归档或删除，请总经办后续确认。</w:t>
      </w:r>
    </w:p>
    <w:p w14:paraId="02069C79">
      <w:pPr>
        <w:spacing w:before="80" w:after="80"/>
      </w:pPr>
    </w:p>
    <w:p w14:paraId="0FBAE792">
      <w:pPr>
        <w:spacing w:after="100" w:line="360" w:lineRule="auto"/>
        <w:jc w:val="both"/>
      </w:pPr>
      <w:r>
        <w:rPr>
          <w:rFonts w:ascii="宋体" w:hAnsi="宋体" w:eastAsia="宋体" w:cs="宋体"/>
          <w:b/>
          <w:bCs/>
          <w:sz w:val="21"/>
          <w:szCs w:val="21"/>
        </w:rPr>
        <w:t>拟制说明</w:t>
      </w:r>
      <w:r>
        <w:rPr>
          <w:rFonts w:ascii="宋体" w:hAnsi="宋体" w:eastAsia="宋体" w:cs="宋体"/>
          <w:sz w:val="21"/>
          <w:szCs w:val="21"/>
        </w:rPr>
        <w:t>：本方案依据 2026 年 9 月 3 日总经理关于“关于成立废旧设备销售处的事宜”的指示、现行《废旧物资处置管理办法》（江西柯美行字〔2024〕32 号）及销售部总监乐志伟同日提出的人员和流程细化建议编制，人员、职责及流程均严格对应上述来源，未新增未经确认的机构、审批权限或处置规则。</w:t>
      </w:r>
    </w:p>
    <w:sectPr>
      <w:pgSz w:w="11906" w:h="16838"/>
      <w:pgMar w:top="1440" w:right="1800" w:bottom="1440" w:left="1800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displayBackgroundShape w:val="1"/>
  <w:documentProtection w:enforcement="0"/>
  <w:compat>
    <w:useFELayout/>
    <w:compatSetting w:name="compatibilityMode" w:uri="http://schemas.microsoft.com/office/word" w:val="15"/>
  </w:compat>
  <w:rsids>
    <w:rsidRoot w:val="00000000"/>
    <w:rsid w:val="011B64AF"/>
    <w:rsid w:val="08373C6B"/>
    <w:rsid w:val="10692A38"/>
    <w:rsid w:val="1C735482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iPriority="99" w:name="endnote reference"/>
    <w:lsdException w:qFormat="1" w:uiPriority="99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sz w:val="21"/>
      <w:szCs w:val="22"/>
    </w:rPr>
  </w:style>
  <w:style w:type="paragraph" w:styleId="2">
    <w:name w:val="heading 1"/>
    <w:next w:val="1"/>
    <w:qFormat/>
    <w:uiPriority w:val="0"/>
    <w:rPr>
      <w:color w:val="2E74B5"/>
      <w:sz w:val="32"/>
      <w:szCs w:val="32"/>
    </w:rPr>
  </w:style>
  <w:style w:type="paragraph" w:styleId="3">
    <w:name w:val="heading 2"/>
    <w:next w:val="1"/>
    <w:qFormat/>
    <w:uiPriority w:val="0"/>
    <w:rPr>
      <w:color w:val="2E74B5"/>
      <w:sz w:val="26"/>
      <w:szCs w:val="26"/>
    </w:rPr>
  </w:style>
  <w:style w:type="paragraph" w:styleId="4">
    <w:name w:val="heading 3"/>
    <w:next w:val="1"/>
    <w:qFormat/>
    <w:uiPriority w:val="0"/>
    <w:rPr>
      <w:color w:val="1F4D78"/>
      <w:sz w:val="24"/>
      <w:szCs w:val="24"/>
    </w:rPr>
  </w:style>
  <w:style w:type="paragraph" w:styleId="5">
    <w:name w:val="heading 4"/>
    <w:next w:val="1"/>
    <w:qFormat/>
    <w:uiPriority w:val="0"/>
    <w:rPr>
      <w:i/>
      <w:iCs/>
      <w:color w:val="2E74B5"/>
      <w:sz w:val="21"/>
      <w:szCs w:val="22"/>
    </w:rPr>
  </w:style>
  <w:style w:type="paragraph" w:styleId="6">
    <w:name w:val="heading 5"/>
    <w:next w:val="1"/>
    <w:qFormat/>
    <w:uiPriority w:val="0"/>
    <w:rPr>
      <w:color w:val="2E74B5"/>
      <w:sz w:val="21"/>
      <w:szCs w:val="22"/>
    </w:rPr>
  </w:style>
  <w:style w:type="paragraph" w:styleId="7">
    <w:name w:val="heading 6"/>
    <w:next w:val="1"/>
    <w:qFormat/>
    <w:uiPriority w:val="0"/>
    <w:rPr>
      <w:color w:val="1F4D78"/>
      <w:sz w:val="21"/>
      <w:szCs w:val="22"/>
    </w:rPr>
  </w:style>
  <w:style w:type="character" w:default="1" w:styleId="12">
    <w:name w:val="Default Paragraph Font"/>
    <w:semiHidden/>
    <w:uiPriority w:val="0"/>
  </w:style>
  <w:style w:type="table" w:default="1" w:styleId="11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endnote text"/>
    <w:link w:val="18"/>
    <w:semiHidden/>
    <w:unhideWhenUsed/>
    <w:qFormat/>
    <w:uiPriority w:val="99"/>
    <w:pPr>
      <w:spacing w:after="0" w:line="240" w:lineRule="auto"/>
    </w:pPr>
    <w:rPr>
      <w:sz w:val="20"/>
      <w:szCs w:val="20"/>
    </w:rPr>
  </w:style>
  <w:style w:type="paragraph" w:styleId="9">
    <w:name w:val="footnote text"/>
    <w:link w:val="17"/>
    <w:semiHidden/>
    <w:unhideWhenUsed/>
    <w:uiPriority w:val="99"/>
    <w:pPr>
      <w:spacing w:after="0" w:line="240" w:lineRule="auto"/>
    </w:pPr>
    <w:rPr>
      <w:sz w:val="20"/>
      <w:szCs w:val="20"/>
    </w:rPr>
  </w:style>
  <w:style w:type="paragraph" w:styleId="10">
    <w:name w:val="Title"/>
    <w:qFormat/>
    <w:uiPriority w:val="0"/>
    <w:rPr>
      <w:sz w:val="56"/>
      <w:szCs w:val="56"/>
    </w:rPr>
  </w:style>
  <w:style w:type="character" w:styleId="13">
    <w:name w:val="endnote reference"/>
    <w:semiHidden/>
    <w:unhideWhenUsed/>
    <w:uiPriority w:val="99"/>
    <w:rPr>
      <w:vertAlign w:val="superscript"/>
    </w:rPr>
  </w:style>
  <w:style w:type="character" w:styleId="14">
    <w:name w:val="Hyperlink"/>
    <w:unhideWhenUsed/>
    <w:uiPriority w:val="99"/>
    <w:rPr>
      <w:color w:val="0563C1"/>
      <w:u w:val="single"/>
    </w:rPr>
  </w:style>
  <w:style w:type="character" w:styleId="15">
    <w:name w:val="footnote reference"/>
    <w:semiHidden/>
    <w:unhideWhenUsed/>
    <w:uiPriority w:val="99"/>
    <w:rPr>
      <w:vertAlign w:val="superscript"/>
    </w:rPr>
  </w:style>
  <w:style w:type="paragraph" w:styleId="16">
    <w:name w:val="List Paragraph"/>
    <w:qFormat/>
    <w:uiPriority w:val="0"/>
    <w:rPr>
      <w:sz w:val="21"/>
      <w:szCs w:val="22"/>
    </w:rPr>
  </w:style>
  <w:style w:type="character" w:customStyle="1" w:styleId="17">
    <w:name w:val="Footnote Text Char"/>
    <w:link w:val="9"/>
    <w:semiHidden/>
    <w:unhideWhenUsed/>
    <w:uiPriority w:val="99"/>
    <w:rPr>
      <w:sz w:val="20"/>
      <w:szCs w:val="20"/>
    </w:rPr>
  </w:style>
  <w:style w:type="character" w:customStyle="1" w:styleId="18">
    <w:name w:val="Endnote Text Char"/>
    <w:link w:val="8"/>
    <w:semiHidden/>
    <w:unhideWhenUsed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4</Pages>
  <Words>2617</Words>
  <Characters>2744</Characters>
  <TotalTime>3</TotalTime>
  <ScaleCrop>false</ScaleCrop>
  <LinksUpToDate>false</LinksUpToDate>
  <CharactersWithSpaces>2834</CharactersWithSpaces>
  <Application>WPS Office_12.1.0.28505_F1E327BC-269C-435d-A152-05C5408002CA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2026-09-03T10:19:00Z</dcterms:created>
  <dc:creator>Un-named</dc:creator>
  <cp:lastModifiedBy>mrseven</cp:lastModifiedBy>
  <dcterms:modified xsi:type="dcterms:W3CDTF">2026-09-03T10:34:55Z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eyJoZGlkIjoiY2EzNmE4Y2QzMjgzZjMyMWMxOGMxNjc1MmE1ZDAyMDEiLCJ1c2VySWQiOiIzNjA0ODMxNzEifQ==</vt:lpwstr>
  </property>
  <property fmtid="{D5CDD505-2E9C-101B-9397-08002B2CF9AE}" pid="3" name="KSOProductBuildVer">
    <vt:lpwstr>2052-12.1.0.28505</vt:lpwstr>
  </property>
  <property fmtid="{D5CDD505-2E9C-101B-9397-08002B2CF9AE}" pid="4" name="ICV">
    <vt:lpwstr>9F9E8D51941744C08E86391D5BC44100_12</vt:lpwstr>
  </property>
</Properties>
</file>