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360" w:before="0" w:line="360"/>
        <w:jc w:val="center"/>
      </w:pPr>
      <w:r>
        <w:rPr>
          <w:rFonts w:ascii="黑体" w:cs="黑体" w:eastAsia="黑体" w:hAnsi="黑体"/>
          <w:b/>
          <w:bCs/>
          <w:sz w:val="40"/>
          <w:szCs w:val="40"/>
        </w:rPr>
        <w:t xml:space="preserve">江西柯美纸业有限公司老厂搬迁闲置资产处置专项方案（草案）</w:t>
      </w:r>
    </w:p>
    <w:p>
      <w:pPr>
        <w:spacing w:after="60" w:line="300"/>
        <w:ind w:left="420"/>
        <w:jc w:val="both"/>
      </w:pPr>
      <w:r>
        <w:rPr>
          <w:rFonts w:ascii="宋体" w:cs="宋体" w:eastAsia="宋体" w:hAnsi="宋体"/>
          <w:i/>
          <w:iCs/>
          <w:color w:val="444444"/>
          <w:sz w:val="19"/>
          <w:szCs w:val="19"/>
        </w:rPr>
        <w:t xml:space="preserve">文件状态：待确认</w:t>
      </w:r>
    </w:p>
    <w:p>
      <w:pPr>
        <w:spacing w:after="60" w:line="300"/>
        <w:ind w:left="420"/>
        <w:jc w:val="both"/>
      </w:pPr>
      <w:r>
        <w:rPr>
          <w:rFonts w:ascii="宋体" w:cs="宋体" w:eastAsia="宋体" w:hAnsi="宋体"/>
          <w:i/>
          <w:iCs/>
          <w:color w:val="444444"/>
          <w:sz w:val="19"/>
          <w:szCs w:val="19"/>
        </w:rPr>
        <w:t xml:space="preserve">编制日期：2026 年 9 月 2 日</w:t>
      </w:r>
    </w:p>
    <w:p>
      <w:pPr>
        <w:spacing w:after="60" w:line="300"/>
        <w:ind w:left="420"/>
        <w:jc w:val="both"/>
      </w:pPr>
      <w:r>
        <w:rPr>
          <w:rFonts w:ascii="宋体" w:cs="宋体" w:eastAsia="宋体" w:hAnsi="宋体"/>
          <w:i/>
          <w:iCs/>
          <w:color w:val="444444"/>
          <w:sz w:val="19"/>
          <w:szCs w:val="19"/>
        </w:rPr>
        <w:t xml:space="preserve">适用范围：老厂搬迁期间的闲置设备、可再利用部件及经批准报废物资</w:t>
      </w:r>
    </w:p>
    <w:p>
      <w:pPr>
        <w:spacing w:after="60" w:line="300"/>
        <w:ind w:left="420"/>
        <w:jc w:val="both"/>
      </w:pPr>
      <w:r>
        <w:rPr>
          <w:rFonts w:ascii="宋体" w:cs="宋体" w:eastAsia="宋体" w:hAnsi="宋体"/>
          <w:i/>
          <w:iCs/>
          <w:color w:val="444444"/>
          <w:sz w:val="19"/>
          <w:szCs w:val="19"/>
        </w:rPr>
        <w:t xml:space="preserve">文件定位：本草案供公司审定专项组织、授权和流程使用；经批准后，第二部分可作为成立通知，第三部分可作为专项管理办法执行。</w:t>
      </w:r>
    </w:p>
    <w:p>
      <w:pPr>
        <w:pStyle w:val="Heading1"/>
        <w:keepNext/>
        <w:spacing w:after="180" w:before="360" w:line="360"/>
        <w:jc w:val="left"/>
      </w:pPr>
      <w:r>
        <w:rPr>
          <w:rFonts w:ascii="黑体" w:cs="黑体" w:eastAsia="黑体" w:hAnsi="黑体"/>
          <w:b/>
          <w:bCs/>
          <w:sz w:val="32"/>
          <w:szCs w:val="32"/>
        </w:rPr>
        <w:t xml:space="preserve">一、报批摘要</w:t>
      </w:r>
    </w:p>
    <w:p>
      <w:pPr>
        <w:pStyle w:val="Heading2"/>
        <w:keepNext/>
        <w:spacing w:after="120" w:before="240" w:line="360"/>
        <w:jc w:val="left"/>
      </w:pPr>
      <w:r>
        <w:rPr>
          <w:rFonts w:ascii="黑体" w:cs="黑体" w:eastAsia="黑体" w:hAnsi="黑体"/>
          <w:b/>
          <w:bCs/>
          <w:sz w:val="28"/>
          <w:szCs w:val="28"/>
        </w:rPr>
        <w:t xml:space="preserve">1.1 编制背景</w:t>
      </w:r>
    </w:p>
    <w:p>
      <w:pPr>
        <w:spacing w:after="100" w:line="360"/>
        <w:jc w:val="both"/>
      </w:pPr>
      <w:r>
        <w:rPr>
          <w:rFonts w:ascii="宋体" w:cs="宋体" w:eastAsia="宋体" w:hAnsi="宋体"/>
          <w:sz w:val="21"/>
          <w:szCs w:val="21"/>
        </w:rPr>
        <w:t xml:space="preserve">老厂搬迁涉及数量多、技术状态差异大、拆卸与交割风险高的设备及物资。对可再利用资产，如直接按废铁或混合物资处置，容易造成资产价值损失，也容易出现拆卸失控、数量不清、价格依据不足、先放货后收款等风险。</w:t>
      </w:r>
    </w:p>
    <w:p>
      <w:pPr>
        <w:spacing w:after="100" w:line="360"/>
        <w:jc w:val="both"/>
      </w:pPr>
      <w:r>
        <w:rPr>
          <w:rFonts w:ascii="宋体" w:cs="宋体" w:eastAsia="宋体" w:hAnsi="宋体"/>
          <w:sz w:val="21"/>
          <w:szCs w:val="21"/>
        </w:rPr>
        <w:t xml:space="preserve">公司既有《废旧物资处置管理办法》（江西柯美行字〔2024〕32 号）确立了“统一管理、合理利用、集中处置”的原则，并明确生产、仓储、采购、财务、人资行政等岗位的职责分工。本专项方案在保留该制度核心要求的基础上，针对老厂搬迁的成套设备、可拆分部件和现场拆除特点，补强决策授权、价值评估、竞价留痕、安环交割及结案审计机制。</w:t>
      </w:r>
    </w:p>
    <w:p>
      <w:pPr>
        <w:pStyle w:val="Heading2"/>
        <w:keepNext/>
        <w:spacing w:after="120" w:before="240" w:line="360"/>
        <w:jc w:val="left"/>
      </w:pPr>
      <w:r>
        <w:rPr>
          <w:rFonts w:ascii="黑体" w:cs="黑体" w:eastAsia="黑体" w:hAnsi="黑体"/>
          <w:b/>
          <w:bCs/>
          <w:sz w:val="28"/>
          <w:szCs w:val="28"/>
        </w:rPr>
        <w:t xml:space="preserve">1.2 组织建议</w:t>
      </w:r>
    </w:p>
    <w:p>
      <w:pPr>
        <w:spacing w:after="100" w:line="360"/>
        <w:jc w:val="both"/>
      </w:pPr>
      <w:r>
        <w:rPr>
          <w:rFonts w:ascii="宋体" w:cs="宋体" w:eastAsia="宋体" w:hAnsi="宋体"/>
          <w:sz w:val="21"/>
          <w:szCs w:val="21"/>
        </w:rPr>
        <w:t xml:space="preserve">建议成立</w:t>
      </w:r>
      <w:r>
        <w:rPr>
          <w:rFonts w:ascii="宋体" w:cs="宋体" w:eastAsia="宋体" w:hAnsi="宋体"/>
          <w:b/>
          <w:bCs/>
          <w:sz w:val="21"/>
          <w:szCs w:val="21"/>
        </w:rPr>
        <w:t xml:space="preserve">老厂搬迁闲置资产处置工作领导小组</w:t>
      </w:r>
      <w:r>
        <w:rPr>
          <w:rFonts w:ascii="宋体" w:cs="宋体" w:eastAsia="宋体" w:hAnsi="宋体"/>
          <w:sz w:val="21"/>
          <w:szCs w:val="21"/>
        </w:rPr>
        <w:t xml:space="preserve">，下设</w:t>
      </w:r>
      <w:r>
        <w:rPr>
          <w:rFonts w:ascii="宋体" w:cs="宋体" w:eastAsia="宋体" w:hAnsi="宋体"/>
          <w:b/>
          <w:bCs/>
          <w:sz w:val="21"/>
          <w:szCs w:val="21"/>
        </w:rPr>
        <w:t xml:space="preserve">老厂资产处置办公室</w:t>
      </w:r>
      <w:r>
        <w:rPr>
          <w:rFonts w:ascii="宋体" w:cs="宋体" w:eastAsia="宋体" w:hAnsi="宋体"/>
          <w:sz w:val="21"/>
          <w:szCs w:val="21"/>
        </w:rPr>
        <w:t xml:space="preserve">（简称“资产处置办”）。</w:t>
      </w:r>
    </w:p>
    <w:p>
      <w:pPr>
        <w:spacing w:after="100" w:line="360"/>
        <w:jc w:val="both"/>
      </w:pPr>
      <w:r>
        <w:rPr>
          <w:rFonts w:ascii="宋体" w:cs="宋体" w:eastAsia="宋体" w:hAnsi="宋体"/>
          <w:sz w:val="21"/>
          <w:szCs w:val="21"/>
        </w:rPr>
        <w:t xml:space="preserve">资产处置办是临时专项执行机构，不单独设立长期编制部门、独立账户或独立印章；其依托现有岗位开展工作。该安排既能避免把日常工作组虚设为常设部门，又能通过领导小组的集体决策和办公室的专人统筹，保证处置工作有明确责任主体和推进节奏。</w:t>
      </w:r>
    </w:p>
    <w:p>
      <w:pPr>
        <w:pStyle w:val="Heading2"/>
        <w:keepNext/>
        <w:spacing w:after="120" w:before="240" w:line="360"/>
        <w:jc w:val="left"/>
      </w:pPr>
      <w:r>
        <w:rPr>
          <w:rFonts w:ascii="黑体" w:cs="黑体" w:eastAsia="黑体" w:hAnsi="黑体"/>
          <w:b/>
          <w:bCs/>
          <w:sz w:val="28"/>
          <w:szCs w:val="28"/>
        </w:rPr>
        <w:t xml:space="preserve">1.3 本次应审定事项</w:t>
      </w:r>
    </w:p>
    <w:tbl>
      <w:tblPr>
        <w:tblW w:type="pct" w:w="100%"/>
        <w:tblBorders>
          <w:top w:val="single" w:color="666666" w:sz="4"/>
          <w:left w:val="single" w:color="666666" w:sz="4"/>
          <w:bottom w:val="single" w:color="666666" w:sz="4"/>
          <w:right w:val="single" w:color="666666" w:sz="4"/>
          <w:insideH w:val="single" w:color="666666" w:sz="4"/>
          <w:insideV w:val="single" w:color="666666" w:sz="4"/>
        </w:tblBorders>
        <w:tblLayout w:type="autofit"/>
      </w:tblPr>
      <w:tblGrid>
        <w:gridCol w:w="100"/>
        <w:gridCol w:w="100"/>
        <w:gridCol w:w="100"/>
      </w:tblGrid>
      <w:tr>
        <w:trPr>
          <w:cantSplit/>
          <w:tblHeader/>
        </w:trPr>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序号</w:t>
            </w:r>
          </w:p>
        </w:tc>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审定事项</w:t>
            </w:r>
          </w:p>
        </w:tc>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建议口径</w:t>
            </w:r>
          </w:p>
        </w:tc>
      </w:tr>
      <w:tr>
        <w:trPr>
          <w:cantSplit/>
          <w:tblHeader w:val="false"/>
        </w:trPr>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1</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专项组织名称与期限</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同意成立领导小组及资产处置办，至全部资产结案审计完成后撤销。</w:t>
            </w:r>
          </w:p>
        </w:tc>
      </w:tr>
      <w:tr>
        <w:trPr>
          <w:cantSplit/>
          <w:tblHeader w:val="false"/>
        </w:trPr>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2</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组织职责与人员</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按岗位任命，不在本草案中固化姓名；监督岗位不得兼任交易经办、收款或交割验收。</w:t>
            </w:r>
          </w:p>
        </w:tc>
      </w:tr>
      <w:tr>
        <w:trPr>
          <w:cantSplit/>
          <w:tblHeader w:val="false"/>
        </w:trPr>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3</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处置优先顺序</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内部再利用优先，其次整机或部件二手出售，最后才是合规回收处理。</w:t>
            </w:r>
          </w:p>
        </w:tc>
      </w:tr>
      <w:tr>
        <w:trPr>
          <w:cantSplit/>
          <w:tblHeader w:val="false"/>
        </w:trPr>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4</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授权与例外事项</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金额阈值由公司按授权制度填写；低于底价、关联方竞购、流拍后协议出售等事项必须升级审批。</w:t>
            </w:r>
          </w:p>
        </w:tc>
      </w:tr>
      <w:tr>
        <w:trPr>
          <w:cantSplit/>
          <w:tblHeader w:val="false"/>
        </w:trPr>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5</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启动要求</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在通知生效后完成全量清查、临时保管区设置、首批处置清单与价格机制审定。</w:t>
            </w:r>
          </w:p>
        </w:tc>
      </w:tr>
    </w:tbl>
    <w:p>
      <w:pPr>
        <w:spacing w:after="100"/>
      </w:pPr>
    </w:p>
    <w:p>
      <w:pPr>
        <w:spacing w:after="80" w:before="80"/>
      </w:pPr>
    </w:p>
    <w:p>
      <w:pPr>
        <w:pStyle w:val="Heading1"/>
        <w:keepNext/>
        <w:spacing w:after="180" w:before="360" w:line="360"/>
        <w:jc w:val="left"/>
      </w:pPr>
      <w:r>
        <w:rPr>
          <w:rFonts w:ascii="黑体" w:cs="黑体" w:eastAsia="黑体" w:hAnsi="黑体"/>
          <w:b/>
          <w:bCs/>
          <w:sz w:val="32"/>
          <w:szCs w:val="32"/>
        </w:rPr>
        <w:t xml:space="preserve">二、关于成立老厂搬迁闲置资产处置工作领导小组的通知（拟）</w:t>
      </w:r>
    </w:p>
    <w:p>
      <w:pPr>
        <w:spacing w:after="100" w:line="360"/>
        <w:jc w:val="both"/>
      </w:pPr>
      <w:r>
        <w:rPr>
          <w:rFonts w:ascii="宋体" w:cs="宋体" w:eastAsia="宋体" w:hAnsi="宋体"/>
          <w:sz w:val="21"/>
          <w:szCs w:val="21"/>
        </w:rPr>
        <w:t xml:space="preserve">为规范老厂搬迁闲置资产处置，防范资产流失和廉洁风险，最大限度实现资产再利用价值，经研究，决定成立老厂搬迁闲置资产处置工作领导小组，现将有关事项通知如下。</w:t>
      </w:r>
    </w:p>
    <w:p>
      <w:pPr>
        <w:pStyle w:val="Heading2"/>
        <w:keepNext/>
        <w:spacing w:after="120" w:before="240" w:line="360"/>
        <w:jc w:val="left"/>
      </w:pPr>
      <w:r>
        <w:rPr>
          <w:rFonts w:ascii="黑体" w:cs="黑体" w:eastAsia="黑体" w:hAnsi="黑体"/>
          <w:b/>
          <w:bCs/>
          <w:sz w:val="28"/>
          <w:szCs w:val="28"/>
        </w:rPr>
        <w:t xml:space="preserve">2.1 组织设置</w:t>
      </w:r>
    </w:p>
    <w:p>
      <w:pPr>
        <w:spacing w:after="100" w:line="360"/>
        <w:jc w:val="both"/>
      </w:pPr>
      <w:r>
        <w:rPr>
          <w:rFonts w:ascii="宋体" w:cs="宋体" w:eastAsia="宋体" w:hAnsi="宋体"/>
          <w:sz w:val="21"/>
          <w:szCs w:val="21"/>
        </w:rPr>
        <w:t xml:space="preserve">1. </w:t>
      </w:r>
      <w:r>
        <w:rPr>
          <w:rFonts w:ascii="宋体" w:cs="宋体" w:eastAsia="宋体" w:hAnsi="宋体"/>
          <w:b/>
          <w:bCs/>
          <w:sz w:val="21"/>
          <w:szCs w:val="21"/>
        </w:rPr>
        <w:t xml:space="preserve">领导小组</w:t>
      </w:r>
    </w:p>
    <w:p>
      <w:pPr>
        <w:spacing w:after="100" w:line="360"/>
        <w:ind w:left="420"/>
        <w:jc w:val="both"/>
      </w:pPr>
      <w:r>
        <w:rPr>
          <w:rFonts w:ascii="宋体" w:cs="宋体" w:eastAsia="宋体" w:hAnsi="宋体"/>
          <w:sz w:val="21"/>
          <w:szCs w:val="21"/>
        </w:rPr>
        <w:t xml:space="preserve">- 组长：公司主要负责人（建议由董事长担任）；</w:t>
      </w:r>
    </w:p>
    <w:p>
      <w:pPr>
        <w:spacing w:after="100" w:line="360"/>
        <w:ind w:left="420"/>
        <w:jc w:val="both"/>
      </w:pPr>
      <w:r>
        <w:rPr>
          <w:rFonts w:ascii="宋体" w:cs="宋体" w:eastAsia="宋体" w:hAnsi="宋体"/>
          <w:sz w:val="21"/>
          <w:szCs w:val="21"/>
        </w:rPr>
        <w:t xml:space="preserve">- 常务副组长：总经理；</w:t>
      </w:r>
    </w:p>
    <w:p>
      <w:pPr>
        <w:spacing w:after="100" w:line="360"/>
        <w:ind w:left="420"/>
        <w:jc w:val="both"/>
      </w:pPr>
      <w:r>
        <w:rPr>
          <w:rFonts w:ascii="宋体" w:cs="宋体" w:eastAsia="宋体" w:hAnsi="宋体"/>
          <w:sz w:val="21"/>
          <w:szCs w:val="21"/>
        </w:rPr>
        <w:t xml:space="preserve">- 副组长：分管设备生产、财务及行政管理的公司领导；</w:t>
      </w:r>
    </w:p>
    <w:p>
      <w:pPr>
        <w:spacing w:after="100" w:line="360"/>
        <w:ind w:left="420"/>
        <w:jc w:val="both"/>
      </w:pPr>
      <w:r>
        <w:rPr>
          <w:rFonts w:ascii="宋体" w:cs="宋体" w:eastAsia="宋体" w:hAnsi="宋体"/>
          <w:sz w:val="21"/>
          <w:szCs w:val="21"/>
        </w:rPr>
        <w:t xml:space="preserve">- 成员：总经办、设备生产、仓储、采购、财务、行政人资、安全环保以及履行合同审查、内控审计职责的岗位负责人。必要时可聘请具备相应资质的技术、评估、拍卖或法律服务机构参与。</w:t>
      </w:r>
    </w:p>
    <w:p>
      <w:pPr>
        <w:spacing w:after="100" w:line="360"/>
        <w:jc w:val="both"/>
      </w:pPr>
      <w:r>
        <w:rPr>
          <w:rFonts w:ascii="宋体" w:cs="宋体" w:eastAsia="宋体" w:hAnsi="宋体"/>
          <w:sz w:val="21"/>
          <w:szCs w:val="21"/>
        </w:rPr>
        <w:t xml:space="preserve">2. </w:t>
      </w:r>
      <w:r>
        <w:rPr>
          <w:rFonts w:ascii="宋体" w:cs="宋体" w:eastAsia="宋体" w:hAnsi="宋体"/>
          <w:b/>
          <w:bCs/>
          <w:sz w:val="21"/>
          <w:szCs w:val="21"/>
        </w:rPr>
        <w:t xml:space="preserve">资产处置办</w:t>
      </w:r>
    </w:p>
    <w:p>
      <w:pPr>
        <w:spacing w:after="100" w:line="360"/>
        <w:ind w:left="420"/>
        <w:jc w:val="both"/>
      </w:pPr>
      <w:r>
        <w:rPr>
          <w:rFonts w:ascii="宋体" w:cs="宋体" w:eastAsia="宋体" w:hAnsi="宋体"/>
          <w:sz w:val="21"/>
          <w:szCs w:val="21"/>
        </w:rPr>
        <w:t xml:space="preserve">- 主任：由领导小组指定；</w:t>
      </w:r>
    </w:p>
    <w:p>
      <w:pPr>
        <w:spacing w:after="100" w:line="360"/>
        <w:ind w:left="420"/>
        <w:jc w:val="both"/>
      </w:pPr>
      <w:r>
        <w:rPr>
          <w:rFonts w:ascii="宋体" w:cs="宋体" w:eastAsia="宋体" w:hAnsi="宋体"/>
          <w:sz w:val="21"/>
          <w:szCs w:val="21"/>
        </w:rPr>
        <w:t xml:space="preserve">- 副主任：由设备生产、采购、财务等相关岗位负责人兼任；</w:t>
      </w:r>
    </w:p>
    <w:p>
      <w:pPr>
        <w:spacing w:after="100" w:line="360"/>
        <w:ind w:left="420"/>
        <w:jc w:val="both"/>
      </w:pPr>
      <w:r>
        <w:rPr>
          <w:rFonts w:ascii="宋体" w:cs="宋体" w:eastAsia="宋体" w:hAnsi="宋体"/>
          <w:sz w:val="21"/>
          <w:szCs w:val="21"/>
        </w:rPr>
        <w:t xml:space="preserve">- 成员：由各相关职能指定业务骨干组成；</w:t>
      </w:r>
    </w:p>
    <w:p>
      <w:pPr>
        <w:spacing w:after="100" w:line="360"/>
        <w:ind w:left="420"/>
        <w:jc w:val="both"/>
      </w:pPr>
      <w:r>
        <w:rPr>
          <w:rFonts w:ascii="宋体" w:cs="宋体" w:eastAsia="宋体" w:hAnsi="宋体"/>
          <w:sz w:val="21"/>
          <w:szCs w:val="21"/>
        </w:rPr>
        <w:t xml:space="preserve">- 挂靠：总经办负责统筹协调、会议组织、督办和资料归集；设备生产岗位负责技术清查与拆卸条件确认；采购岗位负责市场征集和交易组织。</w:t>
      </w:r>
    </w:p>
    <w:p>
      <w:pPr>
        <w:pStyle w:val="Heading2"/>
        <w:keepNext/>
        <w:spacing w:after="120" w:before="240" w:line="360"/>
        <w:jc w:val="left"/>
      </w:pPr>
      <w:r>
        <w:rPr>
          <w:rFonts w:ascii="黑体" w:cs="黑体" w:eastAsia="黑体" w:hAnsi="黑体"/>
          <w:b/>
          <w:bCs/>
          <w:sz w:val="28"/>
          <w:szCs w:val="28"/>
        </w:rPr>
        <w:t xml:space="preserve">2.2 主要职责</w:t>
      </w:r>
    </w:p>
    <w:p>
      <w:pPr>
        <w:spacing w:after="100" w:line="360"/>
        <w:jc w:val="both"/>
      </w:pPr>
      <w:r>
        <w:rPr>
          <w:rFonts w:ascii="宋体" w:cs="宋体" w:eastAsia="宋体" w:hAnsi="宋体"/>
          <w:sz w:val="21"/>
          <w:szCs w:val="21"/>
        </w:rPr>
        <w:t xml:space="preserve">1. 领导小组负责审定专项计划、授权标准、重大或例外处置事项，协调跨部门问题，审阅阶段性进展和结案审计情况。</w:t>
      </w:r>
    </w:p>
    <w:p>
      <w:pPr>
        <w:spacing w:after="100" w:line="360"/>
        <w:jc w:val="both"/>
      </w:pPr>
      <w:r>
        <w:rPr>
          <w:rFonts w:ascii="宋体" w:cs="宋体" w:eastAsia="宋体" w:hAnsi="宋体"/>
          <w:sz w:val="21"/>
          <w:szCs w:val="21"/>
        </w:rPr>
        <w:t xml:space="preserve">2. 资产处置办负责建立专项台账，组织清查、分类、技术鉴定、方案报批、市场征集、交割协调、资料归档及进度报告。</w:t>
      </w:r>
    </w:p>
    <w:p>
      <w:pPr>
        <w:spacing w:after="100" w:line="360"/>
        <w:jc w:val="both"/>
      </w:pPr>
      <w:r>
        <w:rPr>
          <w:rFonts w:ascii="宋体" w:cs="宋体" w:eastAsia="宋体" w:hAnsi="宋体"/>
          <w:sz w:val="21"/>
          <w:szCs w:val="21"/>
        </w:rPr>
        <w:t xml:space="preserve">3. 各参与岗位按照本方案第三部分规定履责；未经审批，任何部门和个人不得擅自拆卸、转移、变卖、赠与或以其他方式处置专项范围内资产。</w:t>
      </w:r>
    </w:p>
    <w:p>
      <w:pPr>
        <w:pStyle w:val="Heading2"/>
        <w:keepNext/>
        <w:spacing w:after="120" w:before="240" w:line="360"/>
        <w:jc w:val="left"/>
      </w:pPr>
      <w:r>
        <w:rPr>
          <w:rFonts w:ascii="黑体" w:cs="黑体" w:eastAsia="黑体" w:hAnsi="黑体"/>
          <w:b/>
          <w:bCs/>
          <w:sz w:val="28"/>
          <w:szCs w:val="28"/>
        </w:rPr>
        <w:t xml:space="preserve">2.3 工作机制</w:t>
      </w:r>
    </w:p>
    <w:p>
      <w:pPr>
        <w:spacing w:after="100" w:line="360"/>
        <w:jc w:val="both"/>
      </w:pPr>
      <w:r>
        <w:rPr>
          <w:rFonts w:ascii="宋体" w:cs="宋体" w:eastAsia="宋体" w:hAnsi="宋体"/>
          <w:sz w:val="21"/>
          <w:szCs w:val="21"/>
        </w:rPr>
        <w:t xml:space="preserve">1. 资产处置办在全量清查阶段原则上每周召开一次推进会，形成任务清单和问题清单；清查完成后至少每月向领导小组书面报告一次。</w:t>
      </w:r>
    </w:p>
    <w:p>
      <w:pPr>
        <w:spacing w:after="100" w:line="360"/>
        <w:jc w:val="both"/>
      </w:pPr>
      <w:r>
        <w:rPr>
          <w:rFonts w:ascii="宋体" w:cs="宋体" w:eastAsia="宋体" w:hAnsi="宋体"/>
          <w:sz w:val="21"/>
          <w:szCs w:val="21"/>
        </w:rPr>
        <w:t xml:space="preserve">2. 领导小组原则上每月研究一次重大事项；确需紧急处置的，可采用书面会签方式，但应在下一次会议上补充确认并归档。</w:t>
      </w:r>
    </w:p>
    <w:p>
      <w:pPr>
        <w:spacing w:after="100" w:line="360"/>
        <w:jc w:val="both"/>
      </w:pPr>
      <w:r>
        <w:rPr>
          <w:rFonts w:ascii="宋体" w:cs="宋体" w:eastAsia="宋体" w:hAnsi="宋体"/>
          <w:sz w:val="21"/>
          <w:szCs w:val="21"/>
        </w:rPr>
        <w:t xml:space="preserve">3. 处置方案、底价、成交结果和例外事项均须留存签批记录。涉及重大资产、核心生产设备、特殊环保安全风险或关联关系的事项，应集体研究，不得以拆分批次、拆分合同等方式规避审批。</w:t>
      </w:r>
    </w:p>
    <w:p>
      <w:pPr>
        <w:pStyle w:val="Heading2"/>
        <w:keepNext/>
        <w:spacing w:after="120" w:before="240" w:line="360"/>
        <w:jc w:val="left"/>
      </w:pPr>
      <w:r>
        <w:rPr>
          <w:rFonts w:ascii="黑体" w:cs="黑体" w:eastAsia="黑体" w:hAnsi="黑体"/>
          <w:b/>
          <w:bCs/>
          <w:sz w:val="28"/>
          <w:szCs w:val="28"/>
        </w:rPr>
        <w:t xml:space="preserve">2.4 工作期限与纪律</w:t>
      </w:r>
    </w:p>
    <w:p>
      <w:pPr>
        <w:spacing w:after="100" w:line="360"/>
        <w:jc w:val="both"/>
      </w:pPr>
      <w:r>
        <w:rPr>
          <w:rFonts w:ascii="宋体" w:cs="宋体" w:eastAsia="宋体" w:hAnsi="宋体"/>
          <w:sz w:val="21"/>
          <w:szCs w:val="21"/>
        </w:rPr>
        <w:t xml:space="preserve">领导小组及资产处置办自本通知生效之日起开展工作，至专项范围内资产全部完成交割、账务核销、档案归集并经领导小组确认结案后撤销。各成员应严格执行廉洁、保密和回避规定；对失职渎职、弄虚作假、私下交易、侵占或挪用处置款等行为，依规依纪追责；涉嫌违法犯罪的，依法移送处理。</w:t>
      </w:r>
    </w:p>
    <w:p>
      <w:pPr>
        <w:spacing w:after="80" w:before="80"/>
      </w:pPr>
    </w:p>
    <w:p>
      <w:pPr>
        <w:pStyle w:val="Heading1"/>
        <w:keepNext/>
        <w:spacing w:after="180" w:before="360" w:line="360"/>
        <w:jc w:val="left"/>
      </w:pPr>
      <w:r>
        <w:rPr>
          <w:rFonts w:ascii="黑体" w:cs="黑体" w:eastAsia="黑体" w:hAnsi="黑体"/>
          <w:b/>
          <w:bCs/>
          <w:sz w:val="32"/>
          <w:szCs w:val="32"/>
        </w:rPr>
        <w:t xml:space="preserve">三、老厂搬迁闲置资产处置管理办法（拟）</w:t>
      </w:r>
    </w:p>
    <w:p>
      <w:pPr>
        <w:pStyle w:val="Heading2"/>
        <w:keepNext/>
        <w:spacing w:after="120" w:before="240" w:line="360"/>
        <w:jc w:val="left"/>
      </w:pPr>
      <w:r>
        <w:rPr>
          <w:rFonts w:ascii="黑体" w:cs="黑体" w:eastAsia="黑体" w:hAnsi="黑体"/>
          <w:b/>
          <w:bCs/>
          <w:sz w:val="28"/>
          <w:szCs w:val="28"/>
        </w:rPr>
        <w:t xml:space="preserve">第一章 总则</w:t>
      </w:r>
    </w:p>
    <w:p>
      <w:pPr>
        <w:spacing w:after="100" w:line="360"/>
        <w:jc w:val="both"/>
      </w:pPr>
      <w:r>
        <w:rPr>
          <w:rFonts w:ascii="宋体" w:cs="宋体" w:eastAsia="宋体" w:hAnsi="宋体"/>
          <w:b/>
          <w:bCs/>
          <w:sz w:val="21"/>
          <w:szCs w:val="21"/>
        </w:rPr>
        <w:t xml:space="preserve">第一条</w:t>
      </w:r>
      <w:r>
        <w:rPr>
          <w:rFonts w:ascii="宋体" w:cs="宋体" w:eastAsia="宋体" w:hAnsi="宋体"/>
          <w:sz w:val="21"/>
          <w:szCs w:val="21"/>
        </w:rPr>
        <w:t xml:space="preserve"> 为规范老厂搬迁闲置资产处置工作，防范资产流失、廉洁和安全环保风险，最大限度实现资产保值增值，根据公司既有废旧物资管理制度和有关规定，制定本办法。</w:t>
      </w:r>
    </w:p>
    <w:p>
      <w:pPr>
        <w:spacing w:after="100" w:line="360"/>
        <w:jc w:val="both"/>
      </w:pPr>
      <w:r>
        <w:rPr>
          <w:rFonts w:ascii="宋体" w:cs="宋体" w:eastAsia="宋体" w:hAnsi="宋体"/>
          <w:b/>
          <w:bCs/>
          <w:sz w:val="21"/>
          <w:szCs w:val="21"/>
        </w:rPr>
        <w:t xml:space="preserve">第二条</w:t>
      </w:r>
      <w:r>
        <w:rPr>
          <w:rFonts w:ascii="宋体" w:cs="宋体" w:eastAsia="宋体" w:hAnsi="宋体"/>
          <w:sz w:val="21"/>
          <w:szCs w:val="21"/>
        </w:rPr>
        <w:t xml:space="preserve"> 本办法适用于老厂区因搬迁、停用、更新改造而不再继续使用的设备、设施、部件、备件、金属物资及其他可处置物资。危险废物、特种设备、含有害物质设备等法律法规另有规定的，依照相应规定和专项程序执行。</w:t>
      </w:r>
    </w:p>
    <w:p>
      <w:pPr>
        <w:spacing w:after="100" w:line="360"/>
        <w:jc w:val="both"/>
      </w:pPr>
      <w:r>
        <w:rPr>
          <w:rFonts w:ascii="宋体" w:cs="宋体" w:eastAsia="宋体" w:hAnsi="宋体"/>
          <w:b/>
          <w:bCs/>
          <w:sz w:val="21"/>
          <w:szCs w:val="21"/>
        </w:rPr>
        <w:t xml:space="preserve">第三条</w:t>
      </w:r>
      <w:r>
        <w:rPr>
          <w:rFonts w:ascii="宋体" w:cs="宋体" w:eastAsia="宋体" w:hAnsi="宋体"/>
          <w:sz w:val="21"/>
          <w:szCs w:val="21"/>
        </w:rPr>
        <w:t xml:space="preserve"> 本办法是对江西柯美行字〔2024〕32 号《废旧物资处置管理办法》在老厂搬迁专项中的细化。原制度关于统一管理、合理利用、集中处置及生产、仓储、采购、财务、人资行政职责分工的要求继续适用；本办法对专项资产的审批、监督和留痕要求更严格的，按本办法执行。与公司正式授权制度不一致的事项，应报领导小组研究后按公司有效授权执行。</w:t>
      </w:r>
    </w:p>
    <w:p>
      <w:pPr>
        <w:spacing w:after="100" w:line="360"/>
        <w:jc w:val="both"/>
      </w:pPr>
      <w:r>
        <w:rPr>
          <w:rFonts w:ascii="宋体" w:cs="宋体" w:eastAsia="宋体" w:hAnsi="宋体"/>
          <w:b/>
          <w:bCs/>
          <w:sz w:val="21"/>
          <w:szCs w:val="21"/>
        </w:rPr>
        <w:t xml:space="preserve">第四条</w:t>
      </w:r>
      <w:r>
        <w:rPr>
          <w:rFonts w:ascii="宋体" w:cs="宋体" w:eastAsia="宋体" w:hAnsi="宋体"/>
          <w:sz w:val="21"/>
          <w:szCs w:val="21"/>
        </w:rPr>
        <w:t xml:space="preserve"> 本办法所称“闲置资产”，是指经使用或保管部门确认不再纳入搬迁、继续使用或内部调剂计划的资产；“处置”包括内部再利用、整机或部件出售、修复后出售、合规回收处理等方式；“同一批次”是指基于同一处置方案、同一项目或同一买方在连续期间内实施的处置，不得人为拆分规避审批。</w:t>
      </w:r>
    </w:p>
    <w:p>
      <w:pPr>
        <w:spacing w:after="100" w:line="360"/>
        <w:jc w:val="both"/>
      </w:pPr>
      <w:r>
        <w:rPr>
          <w:rFonts w:ascii="宋体" w:cs="宋体" w:eastAsia="宋体" w:hAnsi="宋体"/>
          <w:b/>
          <w:bCs/>
          <w:sz w:val="21"/>
          <w:szCs w:val="21"/>
        </w:rPr>
        <w:t xml:space="preserve">第五条</w:t>
      </w:r>
      <w:r>
        <w:rPr>
          <w:rFonts w:ascii="宋体" w:cs="宋体" w:eastAsia="宋体" w:hAnsi="宋体"/>
          <w:sz w:val="21"/>
          <w:szCs w:val="21"/>
        </w:rPr>
        <w:t xml:space="preserve"> 处置工作遵循以下原则：</w:t>
      </w:r>
    </w:p>
    <w:p>
      <w:pPr>
        <w:spacing w:after="100" w:line="360"/>
        <w:jc w:val="both"/>
      </w:pPr>
      <w:r>
        <w:rPr>
          <w:rFonts w:ascii="宋体" w:cs="宋体" w:eastAsia="宋体" w:hAnsi="宋体"/>
          <w:sz w:val="21"/>
          <w:szCs w:val="21"/>
        </w:rPr>
        <w:t xml:space="preserve">1. </w:t>
      </w:r>
      <w:r>
        <w:rPr>
          <w:rFonts w:ascii="宋体" w:cs="宋体" w:eastAsia="宋体" w:hAnsi="宋体"/>
          <w:b/>
          <w:bCs/>
          <w:sz w:val="21"/>
          <w:szCs w:val="21"/>
        </w:rPr>
        <w:t xml:space="preserve">先用后售、价值优先</w:t>
      </w:r>
      <w:r>
        <w:rPr>
          <w:rFonts w:ascii="宋体" w:cs="宋体" w:eastAsia="宋体" w:hAnsi="宋体"/>
          <w:sz w:val="21"/>
          <w:szCs w:val="21"/>
        </w:rPr>
        <w:t xml:space="preserve">：优先内部调剂和再利用，优先保留整机、成套设备和可识别高价值部件的二手价值，确无利用价值的再按材料回收处理；</w:t>
      </w:r>
    </w:p>
    <w:p>
      <w:pPr>
        <w:spacing w:after="100" w:line="360"/>
        <w:jc w:val="both"/>
      </w:pPr>
      <w:r>
        <w:rPr>
          <w:rFonts w:ascii="宋体" w:cs="宋体" w:eastAsia="宋体" w:hAnsi="宋体"/>
          <w:sz w:val="21"/>
          <w:szCs w:val="21"/>
        </w:rPr>
        <w:t xml:space="preserve">2. </w:t>
      </w:r>
      <w:r>
        <w:rPr>
          <w:rFonts w:ascii="宋体" w:cs="宋体" w:eastAsia="宋体" w:hAnsi="宋体"/>
          <w:b/>
          <w:bCs/>
          <w:sz w:val="21"/>
          <w:szCs w:val="21"/>
        </w:rPr>
        <w:t xml:space="preserve">统一台账、集中处置</w:t>
      </w:r>
      <w:r>
        <w:rPr>
          <w:rFonts w:ascii="宋体" w:cs="宋体" w:eastAsia="宋体" w:hAnsi="宋体"/>
          <w:sz w:val="21"/>
          <w:szCs w:val="21"/>
        </w:rPr>
        <w:t xml:space="preserve">：专项资产统一编码、统一登记、分类保管、集中组织处置；</w:t>
      </w:r>
    </w:p>
    <w:p>
      <w:pPr>
        <w:spacing w:after="100" w:line="360"/>
        <w:jc w:val="both"/>
      </w:pPr>
      <w:r>
        <w:rPr>
          <w:rFonts w:ascii="宋体" w:cs="宋体" w:eastAsia="宋体" w:hAnsi="宋体"/>
          <w:sz w:val="21"/>
          <w:szCs w:val="21"/>
        </w:rPr>
        <w:t xml:space="preserve">3. </w:t>
      </w:r>
      <w:r>
        <w:rPr>
          <w:rFonts w:ascii="宋体" w:cs="宋体" w:eastAsia="宋体" w:hAnsi="宋体"/>
          <w:b/>
          <w:bCs/>
          <w:sz w:val="21"/>
          <w:szCs w:val="21"/>
        </w:rPr>
        <w:t xml:space="preserve">权责分离、相互制衡</w:t>
      </w:r>
      <w:r>
        <w:rPr>
          <w:rFonts w:ascii="宋体" w:cs="宋体" w:eastAsia="宋体" w:hAnsi="宋体"/>
          <w:sz w:val="21"/>
          <w:szCs w:val="21"/>
        </w:rPr>
        <w:t xml:space="preserve">：技术鉴定、价格建议、交易组织、收款、交割和监督原则上由不同岗位承担；</w:t>
      </w:r>
    </w:p>
    <w:p>
      <w:pPr>
        <w:spacing w:after="100" w:line="360"/>
        <w:jc w:val="both"/>
      </w:pPr>
      <w:r>
        <w:rPr>
          <w:rFonts w:ascii="宋体" w:cs="宋体" w:eastAsia="宋体" w:hAnsi="宋体"/>
          <w:sz w:val="21"/>
          <w:szCs w:val="21"/>
        </w:rPr>
        <w:t xml:space="preserve">4. </w:t>
      </w:r>
      <w:r>
        <w:rPr>
          <w:rFonts w:ascii="宋体" w:cs="宋体" w:eastAsia="宋体" w:hAnsi="宋体"/>
          <w:b/>
          <w:bCs/>
          <w:sz w:val="21"/>
          <w:szCs w:val="21"/>
        </w:rPr>
        <w:t xml:space="preserve">公开择优、留痕可查</w:t>
      </w:r>
      <w:r>
        <w:rPr>
          <w:rFonts w:ascii="宋体" w:cs="宋体" w:eastAsia="宋体" w:hAnsi="宋体"/>
          <w:sz w:val="21"/>
          <w:szCs w:val="21"/>
        </w:rPr>
        <w:t xml:space="preserve">：交易方式与资产价值、市场成熟度相匹配，过程应有可核验的价格和审批依据；</w:t>
      </w:r>
    </w:p>
    <w:p>
      <w:pPr>
        <w:spacing w:after="100" w:line="360"/>
        <w:jc w:val="both"/>
      </w:pPr>
      <w:r>
        <w:rPr>
          <w:rFonts w:ascii="宋体" w:cs="宋体" w:eastAsia="宋体" w:hAnsi="宋体"/>
          <w:sz w:val="21"/>
          <w:szCs w:val="21"/>
        </w:rPr>
        <w:t xml:space="preserve">5. </w:t>
      </w:r>
      <w:r>
        <w:rPr>
          <w:rFonts w:ascii="宋体" w:cs="宋体" w:eastAsia="宋体" w:hAnsi="宋体"/>
          <w:b/>
          <w:bCs/>
          <w:sz w:val="21"/>
          <w:szCs w:val="21"/>
        </w:rPr>
        <w:t xml:space="preserve">安全合规、先款后货</w:t>
      </w:r>
      <w:r>
        <w:rPr>
          <w:rFonts w:ascii="宋体" w:cs="宋体" w:eastAsia="宋体" w:hAnsi="宋体"/>
          <w:sz w:val="21"/>
          <w:szCs w:val="21"/>
        </w:rPr>
        <w:t xml:space="preserve">：未经权属、安环和资金条件核验，不得放行、拆卸或交割资产。</w:t>
      </w:r>
    </w:p>
    <w:p>
      <w:pPr>
        <w:pStyle w:val="Heading2"/>
        <w:keepNext/>
        <w:spacing w:after="120" w:before="240" w:line="360"/>
        <w:jc w:val="left"/>
      </w:pPr>
      <w:r>
        <w:rPr>
          <w:rFonts w:ascii="黑体" w:cs="黑体" w:eastAsia="黑体" w:hAnsi="黑体"/>
          <w:b/>
          <w:bCs/>
          <w:sz w:val="28"/>
          <w:szCs w:val="28"/>
        </w:rPr>
        <w:t xml:space="preserve">第二章 组织与职责</w:t>
      </w:r>
    </w:p>
    <w:p>
      <w:pPr>
        <w:spacing w:after="100" w:line="360"/>
        <w:jc w:val="both"/>
      </w:pPr>
      <w:r>
        <w:rPr>
          <w:rFonts w:ascii="宋体" w:cs="宋体" w:eastAsia="宋体" w:hAnsi="宋体"/>
          <w:b/>
          <w:bCs/>
          <w:sz w:val="21"/>
          <w:szCs w:val="21"/>
        </w:rPr>
        <w:t xml:space="preserve">第六条</w:t>
      </w:r>
      <w:r>
        <w:rPr>
          <w:rFonts w:ascii="宋体" w:cs="宋体" w:eastAsia="宋体" w:hAnsi="宋体"/>
          <w:sz w:val="21"/>
          <w:szCs w:val="21"/>
        </w:rPr>
        <w:t xml:space="preserve"> 领导小组履行下列职责：</w:t>
      </w:r>
    </w:p>
    <w:p>
      <w:pPr>
        <w:spacing w:after="100" w:line="360"/>
        <w:jc w:val="both"/>
      </w:pPr>
      <w:r>
        <w:rPr>
          <w:rFonts w:ascii="宋体" w:cs="宋体" w:eastAsia="宋体" w:hAnsi="宋体"/>
          <w:sz w:val="21"/>
          <w:szCs w:val="21"/>
        </w:rPr>
        <w:t xml:space="preserve">1. 审定专项总体计划、审批权限、竞价规则和首批处置清单；</w:t>
      </w:r>
    </w:p>
    <w:p>
      <w:pPr>
        <w:spacing w:after="100" w:line="360"/>
        <w:jc w:val="both"/>
      </w:pPr>
      <w:r>
        <w:rPr>
          <w:rFonts w:ascii="宋体" w:cs="宋体" w:eastAsia="宋体" w:hAnsi="宋体"/>
          <w:sz w:val="21"/>
          <w:szCs w:val="21"/>
        </w:rPr>
        <w:t xml:space="preserve">2. 决定达到规定权限的批次处置、重大设备处置及例外事项；</w:t>
      </w:r>
    </w:p>
    <w:p>
      <w:pPr>
        <w:spacing w:after="100" w:line="360"/>
        <w:jc w:val="both"/>
      </w:pPr>
      <w:r>
        <w:rPr>
          <w:rFonts w:ascii="宋体" w:cs="宋体" w:eastAsia="宋体" w:hAnsi="宋体"/>
          <w:sz w:val="21"/>
          <w:szCs w:val="21"/>
        </w:rPr>
        <w:t xml:space="preserve">3. 审定低于底价处置、关联方竞购、流拍后再次处置等风险事项；</w:t>
      </w:r>
    </w:p>
    <w:p>
      <w:pPr>
        <w:spacing w:after="100" w:line="360"/>
        <w:jc w:val="both"/>
      </w:pPr>
      <w:r>
        <w:rPr>
          <w:rFonts w:ascii="宋体" w:cs="宋体" w:eastAsia="宋体" w:hAnsi="宋体"/>
          <w:sz w:val="21"/>
          <w:szCs w:val="21"/>
        </w:rPr>
        <w:t xml:space="preserve">4. 协调权属争议、跨部门调剂、拆除安全、合同争议等重大问题；</w:t>
      </w:r>
    </w:p>
    <w:p>
      <w:pPr>
        <w:spacing w:after="100" w:line="360"/>
        <w:jc w:val="both"/>
      </w:pPr>
      <w:r>
        <w:rPr>
          <w:rFonts w:ascii="宋体" w:cs="宋体" w:eastAsia="宋体" w:hAnsi="宋体"/>
          <w:sz w:val="21"/>
          <w:szCs w:val="21"/>
        </w:rPr>
        <w:t xml:space="preserve">5. 审阅月度进展、监督检查和专项结案报告。</w:t>
      </w:r>
    </w:p>
    <w:p>
      <w:pPr>
        <w:spacing w:after="100" w:line="360"/>
        <w:jc w:val="both"/>
      </w:pPr>
      <w:r>
        <w:rPr>
          <w:rFonts w:ascii="宋体" w:cs="宋体" w:eastAsia="宋体" w:hAnsi="宋体"/>
          <w:b/>
          <w:bCs/>
          <w:sz w:val="21"/>
          <w:szCs w:val="21"/>
        </w:rPr>
        <w:t xml:space="preserve">第七条</w:t>
      </w:r>
      <w:r>
        <w:rPr>
          <w:rFonts w:ascii="宋体" w:cs="宋体" w:eastAsia="宋体" w:hAnsi="宋体"/>
          <w:sz w:val="21"/>
          <w:szCs w:val="21"/>
        </w:rPr>
        <w:t xml:space="preserve"> 资产处置办履行下列职责：</w:t>
      </w:r>
    </w:p>
    <w:p>
      <w:pPr>
        <w:spacing w:after="100" w:line="360"/>
        <w:jc w:val="both"/>
      </w:pPr>
      <w:r>
        <w:rPr>
          <w:rFonts w:ascii="宋体" w:cs="宋体" w:eastAsia="宋体" w:hAnsi="宋体"/>
          <w:sz w:val="21"/>
          <w:szCs w:val="21"/>
        </w:rPr>
        <w:t xml:space="preserve">1. 建立并动态维护资产清查表、处置台账、问题清单和档案目录；</w:t>
      </w:r>
    </w:p>
    <w:p>
      <w:pPr>
        <w:spacing w:after="100" w:line="360"/>
        <w:jc w:val="both"/>
      </w:pPr>
      <w:r>
        <w:rPr>
          <w:rFonts w:ascii="宋体" w:cs="宋体" w:eastAsia="宋体" w:hAnsi="宋体"/>
          <w:sz w:val="21"/>
          <w:szCs w:val="21"/>
        </w:rPr>
        <w:t xml:space="preserve">2. 组织技术、财务、仓储、采购、安环等岗位完成资料核验和现场清查；</w:t>
      </w:r>
    </w:p>
    <w:p>
      <w:pPr>
        <w:spacing w:after="100" w:line="360"/>
        <w:jc w:val="both"/>
      </w:pPr>
      <w:r>
        <w:rPr>
          <w:rFonts w:ascii="宋体" w:cs="宋体" w:eastAsia="宋体" w:hAnsi="宋体"/>
          <w:sz w:val="21"/>
          <w:szCs w:val="21"/>
        </w:rPr>
        <w:t xml:space="preserve">3. 汇总每一批次的分类建议、处置方式、底价建议、交易组织方案和风险提示，提请审批；</w:t>
      </w:r>
    </w:p>
    <w:p>
      <w:pPr>
        <w:spacing w:after="100" w:line="360"/>
        <w:jc w:val="both"/>
      </w:pPr>
      <w:r>
        <w:rPr>
          <w:rFonts w:ascii="宋体" w:cs="宋体" w:eastAsia="宋体" w:hAnsi="宋体"/>
          <w:sz w:val="21"/>
          <w:szCs w:val="21"/>
        </w:rPr>
        <w:t xml:space="preserve">4. 组织会议、督办任务、跟踪时限，向领导小组报送进度与异常事项；</w:t>
      </w:r>
    </w:p>
    <w:p>
      <w:pPr>
        <w:spacing w:after="100" w:line="360"/>
        <w:jc w:val="both"/>
      </w:pPr>
      <w:r>
        <w:rPr>
          <w:rFonts w:ascii="宋体" w:cs="宋体" w:eastAsia="宋体" w:hAnsi="宋体"/>
          <w:sz w:val="21"/>
          <w:szCs w:val="21"/>
        </w:rPr>
        <w:t xml:space="preserve">5. 对每一批次形成“一案一档”，在完成交割、收款、账务处理和资料归集后提请结案。</w:t>
      </w:r>
    </w:p>
    <w:p>
      <w:pPr>
        <w:spacing w:after="100" w:line="360"/>
        <w:jc w:val="both"/>
      </w:pPr>
      <w:r>
        <w:rPr>
          <w:rFonts w:ascii="宋体" w:cs="宋体" w:eastAsia="宋体" w:hAnsi="宋体"/>
          <w:b/>
          <w:bCs/>
          <w:sz w:val="21"/>
          <w:szCs w:val="21"/>
        </w:rPr>
        <w:t xml:space="preserve">第八条</w:t>
      </w:r>
      <w:r>
        <w:rPr>
          <w:rFonts w:ascii="宋体" w:cs="宋体" w:eastAsia="宋体" w:hAnsi="宋体"/>
          <w:sz w:val="21"/>
          <w:szCs w:val="21"/>
        </w:rPr>
        <w:t xml:space="preserve"> 各岗位职责按照下表执行：</w:t>
      </w:r>
    </w:p>
    <w:tbl>
      <w:tblPr>
        <w:tblW w:type="pct" w:w="100%"/>
        <w:tblBorders>
          <w:top w:val="single" w:color="666666" w:sz="4"/>
          <w:left w:val="single" w:color="666666" w:sz="4"/>
          <w:bottom w:val="single" w:color="666666" w:sz="4"/>
          <w:right w:val="single" w:color="666666" w:sz="4"/>
          <w:insideH w:val="single" w:color="666666" w:sz="4"/>
          <w:insideV w:val="single" w:color="666666" w:sz="4"/>
        </w:tblBorders>
        <w:tblLayout w:type="autofit"/>
      </w:tblPr>
      <w:tblGrid>
        <w:gridCol w:w="100"/>
        <w:gridCol w:w="100"/>
        <w:gridCol w:w="100"/>
      </w:tblGrid>
      <w:tr>
        <w:trPr>
          <w:cantSplit/>
          <w:tblHeader/>
        </w:trPr>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岗位/职能</w:t>
            </w:r>
          </w:p>
        </w:tc>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核心职责</w:t>
            </w:r>
          </w:p>
        </w:tc>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不得兼任或替代的职责</w:t>
            </w:r>
          </w:p>
        </w:tc>
      </w:tr>
      <w:tr>
        <w:trPr>
          <w:cantSplit/>
          <w:tblHeader w:val="false"/>
        </w:trPr>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使用或生产部门</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提出停用、报废或调剂申请；确认现场状态；组织经批准的拆卸与现场管理；办理移交。</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不得自行定价、对外出售或收取款项。</w:t>
            </w:r>
          </w:p>
        </w:tc>
      </w:tr>
      <w:tr>
        <w:trPr>
          <w:cantSplit/>
          <w:tblHeader w:val="false"/>
        </w:trPr>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设备生产技术岗位</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设备编码、技术鉴定、成套性判断、可修复性和拆卸条件确认；提出保留整机或部件建议。</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不得独立决定成交对象和成交价格。</w:t>
            </w:r>
          </w:p>
        </w:tc>
      </w:tr>
      <w:tr>
        <w:trPr>
          <w:cantSplit/>
          <w:tblHeader w:val="false"/>
        </w:trPr>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仓储岗位</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接收经移交的物资，按类别分区保管，记录数量、出入库和现场存放状态。</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不得无交割单放行任何物资。</w:t>
            </w:r>
          </w:p>
        </w:tc>
      </w:tr>
      <w:tr>
        <w:trPr>
          <w:cantSplit/>
          <w:tblHeader w:val="false"/>
        </w:trPr>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采购或市场岗位</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收集市场信息，组织询价、竞价、拍卖或协议交易，核验报价资料，形成比价记录。</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不得经办现金收款或独自确定底价。</w:t>
            </w:r>
          </w:p>
        </w:tc>
      </w:tr>
      <w:tr>
        <w:trPr>
          <w:cantSplit/>
          <w:tblHeader w:val="false"/>
        </w:trPr>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财务岗位</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核对资产账卡、账面信息和处置资金；参与过磅；确认款项到账、开票及账务处理。</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不得在未完成审批或资金条件前出具放行依据。</w:t>
            </w:r>
          </w:p>
        </w:tc>
      </w:tr>
      <w:tr>
        <w:trPr>
          <w:cantSplit/>
          <w:tblHeader w:val="false"/>
        </w:trPr>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行政人资及监督岗位</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全过程跟踪、现场履职检查、参与报价比对和纪律监督，负责必要的秩序与档案协同。</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不得代替业务岗位作技术鉴定或交易决定。</w:t>
            </w:r>
          </w:p>
        </w:tc>
      </w:tr>
      <w:tr>
        <w:trPr>
          <w:cantSplit/>
          <w:tblHeader w:val="false"/>
        </w:trPr>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安全环保岗位</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审查拆卸、吊装、运输、危废或特种风险的作业条件，监督现场安全环保措施。</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不得在未落实安全条件时同意交割。</w:t>
            </w:r>
          </w:p>
        </w:tc>
      </w:tr>
      <w:tr>
        <w:trPr>
          <w:cantSplit/>
          <w:tblHeader w:val="false"/>
        </w:trPr>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合同审查、内控审计岗位</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审查权属和合同风险，开展程序监督、抽查和结案复核。</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不得兼任交易经办、收款或交割验收。</w:t>
            </w:r>
          </w:p>
        </w:tc>
      </w:tr>
    </w:tbl>
    <w:p>
      <w:pPr>
        <w:spacing w:after="100"/>
      </w:pPr>
    </w:p>
    <w:p>
      <w:pPr>
        <w:spacing w:after="100" w:line="360"/>
        <w:jc w:val="both"/>
      </w:pPr>
      <w:r>
        <w:rPr>
          <w:rFonts w:ascii="宋体" w:cs="宋体" w:eastAsia="宋体" w:hAnsi="宋体"/>
          <w:b/>
          <w:bCs/>
          <w:sz w:val="21"/>
          <w:szCs w:val="21"/>
        </w:rPr>
        <w:t xml:space="preserve">第九条</w:t>
      </w:r>
      <w:r>
        <w:rPr>
          <w:rFonts w:ascii="宋体" w:cs="宋体" w:eastAsia="宋体" w:hAnsi="宋体"/>
          <w:sz w:val="21"/>
          <w:szCs w:val="21"/>
        </w:rPr>
        <w:t xml:space="preserve"> 任何处置事项均应至少具备业务提出、技术确认、财务核验、交易组织和监督见证五类职责。实际机构设置不足时，由领导小组指定履行相应职责的岗位或外聘专业机构，但不得由同一人独立完成定价、交易、收款和监督。</w:t>
      </w:r>
    </w:p>
    <w:p>
      <w:pPr>
        <w:spacing w:after="100" w:line="360"/>
        <w:jc w:val="both"/>
      </w:pPr>
      <w:r>
        <w:rPr>
          <w:rFonts w:ascii="宋体" w:cs="宋体" w:eastAsia="宋体" w:hAnsi="宋体"/>
          <w:b/>
          <w:bCs/>
          <w:sz w:val="21"/>
          <w:szCs w:val="21"/>
        </w:rPr>
        <w:t xml:space="preserve">第十条</w:t>
      </w:r>
      <w:r>
        <w:rPr>
          <w:rFonts w:ascii="宋体" w:cs="宋体" w:eastAsia="宋体" w:hAnsi="宋体"/>
          <w:sz w:val="21"/>
          <w:szCs w:val="21"/>
        </w:rPr>
        <w:t xml:space="preserve"> 领导小组会议应形成书面纪要。涉及底价、成交对象、重大例外或存在不同意见的，纪要应如实记录讨论意见、表决或会签结论及责任分工。</w:t>
      </w:r>
    </w:p>
    <w:p>
      <w:pPr>
        <w:pStyle w:val="Heading2"/>
        <w:keepNext/>
        <w:spacing w:after="120" w:before="240" w:line="360"/>
        <w:jc w:val="left"/>
      </w:pPr>
      <w:r>
        <w:rPr>
          <w:rFonts w:ascii="黑体" w:cs="黑体" w:eastAsia="黑体" w:hAnsi="黑体"/>
          <w:b/>
          <w:bCs/>
          <w:sz w:val="28"/>
          <w:szCs w:val="28"/>
        </w:rPr>
        <w:t xml:space="preserve">第三章 清查、分类与保管</w:t>
      </w:r>
    </w:p>
    <w:p>
      <w:pPr>
        <w:spacing w:after="100" w:line="360"/>
        <w:jc w:val="both"/>
      </w:pPr>
      <w:r>
        <w:rPr>
          <w:rFonts w:ascii="宋体" w:cs="宋体" w:eastAsia="宋体" w:hAnsi="宋体"/>
          <w:b/>
          <w:bCs/>
          <w:sz w:val="21"/>
          <w:szCs w:val="21"/>
        </w:rPr>
        <w:t xml:space="preserve">第十一条</w:t>
      </w:r>
      <w:r>
        <w:rPr>
          <w:rFonts w:ascii="宋体" w:cs="宋体" w:eastAsia="宋体" w:hAnsi="宋体"/>
          <w:sz w:val="21"/>
          <w:szCs w:val="21"/>
        </w:rPr>
        <w:t xml:space="preserve"> 专项启动后，资产处置办应组织全量清查。每项资产至少应完成以下事项：</w:t>
      </w:r>
    </w:p>
    <w:p>
      <w:pPr>
        <w:spacing w:after="100" w:line="360"/>
        <w:jc w:val="both"/>
      </w:pPr>
      <w:r>
        <w:rPr>
          <w:rFonts w:ascii="宋体" w:cs="宋体" w:eastAsia="宋体" w:hAnsi="宋体"/>
          <w:sz w:val="21"/>
          <w:szCs w:val="21"/>
        </w:rPr>
        <w:t xml:space="preserve">1. 核对实物、账卡、原始购置资料及使用保管责任；</w:t>
      </w:r>
    </w:p>
    <w:p>
      <w:pPr>
        <w:spacing w:after="100" w:line="360"/>
        <w:jc w:val="both"/>
      </w:pPr>
      <w:r>
        <w:rPr>
          <w:rFonts w:ascii="宋体" w:cs="宋体" w:eastAsia="宋体" w:hAnsi="宋体"/>
          <w:sz w:val="21"/>
          <w:szCs w:val="21"/>
        </w:rPr>
        <w:t xml:space="preserve">2. 编制唯一资产编码，拍摄铭牌、全景、关键部件及现状影像；</w:t>
      </w:r>
    </w:p>
    <w:p>
      <w:pPr>
        <w:spacing w:after="100" w:line="360"/>
        <w:jc w:val="both"/>
      </w:pPr>
      <w:r>
        <w:rPr>
          <w:rFonts w:ascii="宋体" w:cs="宋体" w:eastAsia="宋体" w:hAnsi="宋体"/>
          <w:sz w:val="21"/>
          <w:szCs w:val="21"/>
        </w:rPr>
        <w:t xml:space="preserve">3. 登记名称、规格型号、数量、原值或账面信息、存放位置、技术状态、权属状态和建议去向；</w:t>
      </w:r>
    </w:p>
    <w:p>
      <w:pPr>
        <w:spacing w:after="100" w:line="360"/>
        <w:jc w:val="both"/>
      </w:pPr>
      <w:r>
        <w:rPr>
          <w:rFonts w:ascii="宋体" w:cs="宋体" w:eastAsia="宋体" w:hAnsi="宋体"/>
          <w:sz w:val="21"/>
          <w:szCs w:val="21"/>
        </w:rPr>
        <w:t xml:space="preserve">4. 对成套设备列明附件、专用工具、备件和可拆分高价值部件，不得先拆后评；</w:t>
      </w:r>
    </w:p>
    <w:p>
      <w:pPr>
        <w:spacing w:after="100" w:line="360"/>
        <w:jc w:val="both"/>
      </w:pPr>
      <w:r>
        <w:rPr>
          <w:rFonts w:ascii="宋体" w:cs="宋体" w:eastAsia="宋体" w:hAnsi="宋体"/>
          <w:sz w:val="21"/>
          <w:szCs w:val="21"/>
        </w:rPr>
        <w:t xml:space="preserve">5. 由使用、技术、仓储等相关岗位现场签字确认。无法确认的，应单列“待核实”清单，暂停处置。</w:t>
      </w:r>
    </w:p>
    <w:p>
      <w:pPr>
        <w:spacing w:after="100" w:line="360"/>
        <w:jc w:val="both"/>
      </w:pPr>
      <w:r>
        <w:rPr>
          <w:rFonts w:ascii="宋体" w:cs="宋体" w:eastAsia="宋体" w:hAnsi="宋体"/>
          <w:b/>
          <w:bCs/>
          <w:sz w:val="21"/>
          <w:szCs w:val="21"/>
        </w:rPr>
        <w:t xml:space="preserve">第十二条</w:t>
      </w:r>
      <w:r>
        <w:rPr>
          <w:rFonts w:ascii="宋体" w:cs="宋体" w:eastAsia="宋体" w:hAnsi="宋体"/>
          <w:sz w:val="21"/>
          <w:szCs w:val="21"/>
        </w:rPr>
        <w:t xml:space="preserve"> 资产处置办应按处置属性分类管理：</w:t>
      </w:r>
    </w:p>
    <w:tbl>
      <w:tblPr>
        <w:tblW w:type="pct" w:w="100%"/>
        <w:tblBorders>
          <w:top w:val="single" w:color="666666" w:sz="4"/>
          <w:left w:val="single" w:color="666666" w:sz="4"/>
          <w:bottom w:val="single" w:color="666666" w:sz="4"/>
          <w:right w:val="single" w:color="666666" w:sz="4"/>
          <w:insideH w:val="single" w:color="666666" w:sz="4"/>
          <w:insideV w:val="single" w:color="666666" w:sz="4"/>
        </w:tblBorders>
        <w:tblLayout w:type="autofit"/>
      </w:tblPr>
      <w:tblGrid>
        <w:gridCol w:w="100"/>
        <w:gridCol w:w="100"/>
        <w:gridCol w:w="100"/>
      </w:tblGrid>
      <w:tr>
        <w:trPr>
          <w:cantSplit/>
          <w:tblHeader/>
        </w:trPr>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代码</w:t>
            </w:r>
          </w:p>
        </w:tc>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分类</w:t>
            </w:r>
          </w:p>
        </w:tc>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处置要求</w:t>
            </w:r>
          </w:p>
        </w:tc>
      </w:tr>
      <w:tr>
        <w:trPr>
          <w:cantSplit/>
          <w:tblHeader w:val="false"/>
        </w:trPr>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A</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可内部再利用或调剂</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优先向公司内部征集需求，办理调拨或继续使用手续，不得直接对外出售。</w:t>
            </w:r>
          </w:p>
        </w:tc>
      </w:tr>
      <w:tr>
        <w:trPr>
          <w:cantSplit/>
          <w:tblHeader w:val="false"/>
        </w:trPr>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B</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可按整机或成套设备出售</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保留铭牌、主要附件和运行资料，优先按台、套、件进行市场推广和交易。</w:t>
            </w:r>
          </w:p>
        </w:tc>
      </w:tr>
      <w:tr>
        <w:trPr>
          <w:cantSplit/>
          <w:tblHeader w:val="false"/>
        </w:trPr>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C</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可修复后出售或可拆分高价值部件</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先开展修复收益测算或部件清单评估，经批准后实施修复或拆分。</w:t>
            </w:r>
          </w:p>
        </w:tc>
      </w:tr>
      <w:tr>
        <w:trPr>
          <w:cantSplit/>
          <w:tblHeader w:val="false"/>
        </w:trPr>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D</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一般可回收物资</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按铜、铝、不锈钢、废铁、电气、机械混合等类别分区堆放、分别计价和过磅。</w:t>
            </w:r>
          </w:p>
        </w:tc>
      </w:tr>
      <w:tr>
        <w:trPr>
          <w:cantSplit/>
          <w:tblHeader w:val="false"/>
        </w:trPr>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E</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需专项合规处理物资</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涉及油污、化学品、压力容器、含有害物质或其他特殊风险的，完成专项核验后交由具备相应资质的单位处理。</w:t>
            </w:r>
          </w:p>
        </w:tc>
      </w:tr>
    </w:tbl>
    <w:p>
      <w:pPr>
        <w:spacing w:after="100"/>
      </w:pPr>
    </w:p>
    <w:p>
      <w:pPr>
        <w:spacing w:after="100" w:line="360"/>
        <w:jc w:val="both"/>
      </w:pPr>
      <w:r>
        <w:rPr>
          <w:rFonts w:ascii="宋体" w:cs="宋体" w:eastAsia="宋体" w:hAnsi="宋体"/>
          <w:b/>
          <w:bCs/>
          <w:sz w:val="21"/>
          <w:szCs w:val="21"/>
        </w:rPr>
        <w:t xml:space="preserve">第十三条</w:t>
      </w:r>
      <w:r>
        <w:rPr>
          <w:rFonts w:ascii="宋体" w:cs="宋体" w:eastAsia="宋体" w:hAnsi="宋体"/>
          <w:sz w:val="21"/>
          <w:szCs w:val="21"/>
        </w:rPr>
        <w:t xml:space="preserve"> 旧版制度中明确的铜类、铝类、不锈钢类、废铁类、电气类、机械混合类和废旧设备类，应作为台账和现场保管的基础分类。分类后应移交五金仓库或公司指定临时保管区，实行分区标识、双人交接、出入库登记和定期盘点；确需保留在原现场的，应明确封存责任人、巡查频次和放行条件。</w:t>
      </w:r>
    </w:p>
    <w:p>
      <w:pPr>
        <w:spacing w:after="100" w:line="360"/>
        <w:jc w:val="both"/>
      </w:pPr>
      <w:r>
        <w:rPr>
          <w:rFonts w:ascii="宋体" w:cs="宋体" w:eastAsia="宋体" w:hAnsi="宋体"/>
          <w:b/>
          <w:bCs/>
          <w:sz w:val="21"/>
          <w:szCs w:val="21"/>
        </w:rPr>
        <w:t xml:space="preserve">第十四条</w:t>
      </w:r>
      <w:r>
        <w:rPr>
          <w:rFonts w:ascii="宋体" w:cs="宋体" w:eastAsia="宋体" w:hAnsi="宋体"/>
          <w:sz w:val="21"/>
          <w:szCs w:val="21"/>
        </w:rPr>
        <w:t xml:space="preserve"> 对拟出售的自动化控制设备、服务器、存储介质及含有商业信息的资料，应在技术岗位确认数据、参数和敏感标识已按公司要求清除或封存后，方可进入交易程序。</w:t>
      </w:r>
    </w:p>
    <w:p>
      <w:pPr>
        <w:pStyle w:val="Heading2"/>
        <w:keepNext/>
        <w:spacing w:after="120" w:before="240" w:line="360"/>
        <w:jc w:val="left"/>
      </w:pPr>
      <w:r>
        <w:rPr>
          <w:rFonts w:ascii="黑体" w:cs="黑体" w:eastAsia="黑体" w:hAnsi="黑体"/>
          <w:b/>
          <w:bCs/>
          <w:sz w:val="28"/>
          <w:szCs w:val="28"/>
        </w:rPr>
        <w:t xml:space="preserve">第四章 方案、定价与交易</w:t>
      </w:r>
    </w:p>
    <w:p>
      <w:pPr>
        <w:spacing w:after="100" w:line="360"/>
        <w:jc w:val="both"/>
      </w:pPr>
      <w:r>
        <w:rPr>
          <w:rFonts w:ascii="宋体" w:cs="宋体" w:eastAsia="宋体" w:hAnsi="宋体"/>
          <w:b/>
          <w:bCs/>
          <w:sz w:val="21"/>
          <w:szCs w:val="21"/>
        </w:rPr>
        <w:t xml:space="preserve">第十五条</w:t>
      </w:r>
      <w:r>
        <w:rPr>
          <w:rFonts w:ascii="宋体" w:cs="宋体" w:eastAsia="宋体" w:hAnsi="宋体"/>
          <w:sz w:val="21"/>
          <w:szCs w:val="21"/>
        </w:rPr>
        <w:t xml:space="preserve"> 每一批次资产处置前，应编制《处置方案审批表》。方案至少包括资产清单、分类结果、权属与限制核验、技术状态、处置方式、价格依据、底价建议、市场征集方式、买方资格条件、拆卸运输要求、预计收款和风险控制措施。</w:t>
      </w:r>
    </w:p>
    <w:p>
      <w:pPr>
        <w:spacing w:after="100" w:line="360"/>
        <w:jc w:val="both"/>
      </w:pPr>
      <w:r>
        <w:rPr>
          <w:rFonts w:ascii="宋体" w:cs="宋体" w:eastAsia="宋体" w:hAnsi="宋体"/>
          <w:b/>
          <w:bCs/>
          <w:sz w:val="21"/>
          <w:szCs w:val="21"/>
        </w:rPr>
        <w:t xml:space="preserve">第十六条</w:t>
      </w:r>
      <w:r>
        <w:rPr>
          <w:rFonts w:ascii="宋体" w:cs="宋体" w:eastAsia="宋体" w:hAnsi="宋体"/>
          <w:sz w:val="21"/>
          <w:szCs w:val="21"/>
        </w:rPr>
        <w:t xml:space="preserve"> 底价建议应以资产实际状态和可验证市场资料为基础，不得仅以废铁价格替代可出售设备或可拆分部件的价值。对整机、成套设备和高价值部件，原则上应综合下列资料形成价格依据：</w:t>
      </w:r>
    </w:p>
    <w:p>
      <w:pPr>
        <w:spacing w:after="100" w:line="360"/>
        <w:jc w:val="both"/>
      </w:pPr>
      <w:r>
        <w:rPr>
          <w:rFonts w:ascii="宋体" w:cs="宋体" w:eastAsia="宋体" w:hAnsi="宋体"/>
          <w:sz w:val="21"/>
          <w:szCs w:val="21"/>
        </w:rPr>
        <w:t xml:space="preserve">1. 同类设备近期成交信息、专业平台挂牌信息或第三方专业意见；</w:t>
      </w:r>
    </w:p>
    <w:p>
      <w:pPr>
        <w:spacing w:after="100" w:line="360"/>
        <w:jc w:val="both"/>
      </w:pPr>
      <w:r>
        <w:rPr>
          <w:rFonts w:ascii="宋体" w:cs="宋体" w:eastAsia="宋体" w:hAnsi="宋体"/>
          <w:sz w:val="21"/>
          <w:szCs w:val="21"/>
        </w:rPr>
        <w:t xml:space="preserve">2. 多家潜在买方的有效报价或询价回复；</w:t>
      </w:r>
    </w:p>
    <w:p>
      <w:pPr>
        <w:spacing w:after="100" w:line="360"/>
        <w:jc w:val="both"/>
      </w:pPr>
      <w:r>
        <w:rPr>
          <w:rFonts w:ascii="宋体" w:cs="宋体" w:eastAsia="宋体" w:hAnsi="宋体"/>
          <w:sz w:val="21"/>
          <w:szCs w:val="21"/>
        </w:rPr>
        <w:t xml:space="preserve">3. 设备完整性、可运行性、拆卸运输成本、修复成本及回收材料价值；</w:t>
      </w:r>
    </w:p>
    <w:p>
      <w:pPr>
        <w:spacing w:after="100" w:line="360"/>
        <w:jc w:val="both"/>
      </w:pPr>
      <w:r>
        <w:rPr>
          <w:rFonts w:ascii="宋体" w:cs="宋体" w:eastAsia="宋体" w:hAnsi="宋体"/>
          <w:sz w:val="21"/>
          <w:szCs w:val="21"/>
        </w:rPr>
        <w:t xml:space="preserve">4. 财务提供的账面信息，仅作为决策参考，不替代市场价格判断。</w:t>
      </w:r>
    </w:p>
    <w:p>
      <w:pPr>
        <w:spacing w:after="100" w:line="360"/>
        <w:jc w:val="both"/>
      </w:pPr>
      <w:r>
        <w:rPr>
          <w:rFonts w:ascii="宋体" w:cs="宋体" w:eastAsia="宋体" w:hAnsi="宋体"/>
          <w:b/>
          <w:bCs/>
          <w:sz w:val="21"/>
          <w:szCs w:val="21"/>
        </w:rPr>
        <w:t xml:space="preserve">第十七条</w:t>
      </w:r>
      <w:r>
        <w:rPr>
          <w:rFonts w:ascii="宋体" w:cs="宋体" w:eastAsia="宋体" w:hAnsi="宋体"/>
          <w:sz w:val="21"/>
          <w:szCs w:val="21"/>
        </w:rPr>
        <w:t xml:space="preserve"> 资产处置办应根据资产类别和预计价值选择交易方式：</w:t>
      </w:r>
    </w:p>
    <w:p>
      <w:pPr>
        <w:spacing w:after="100" w:line="360"/>
        <w:jc w:val="both"/>
      </w:pPr>
      <w:r>
        <w:rPr>
          <w:rFonts w:ascii="宋体" w:cs="宋体" w:eastAsia="宋体" w:hAnsi="宋体"/>
          <w:sz w:val="21"/>
          <w:szCs w:val="21"/>
        </w:rPr>
        <w:t xml:space="preserve">1. 对市场需求明确、价值较高或竞争充分的资产，优先采用公开征集、竞价、招标或拍卖方式；</w:t>
      </w:r>
    </w:p>
    <w:p>
      <w:pPr>
        <w:spacing w:after="100" w:line="360"/>
        <w:jc w:val="both"/>
      </w:pPr>
      <w:r>
        <w:rPr>
          <w:rFonts w:ascii="宋体" w:cs="宋体" w:eastAsia="宋体" w:hAnsi="宋体"/>
          <w:sz w:val="21"/>
          <w:szCs w:val="21"/>
        </w:rPr>
        <w:t xml:space="preserve">2. 对一般回收物资，原则上通过不少于三家有效报价的比价方式确定成交对象；有效报价不足的，应说明原因并按例外事项审批；</w:t>
      </w:r>
    </w:p>
    <w:p>
      <w:pPr>
        <w:spacing w:after="100" w:line="360"/>
        <w:jc w:val="both"/>
      </w:pPr>
      <w:r>
        <w:rPr>
          <w:rFonts w:ascii="宋体" w:cs="宋体" w:eastAsia="宋体" w:hAnsi="宋体"/>
          <w:sz w:val="21"/>
          <w:szCs w:val="21"/>
        </w:rPr>
        <w:t xml:space="preserve">3. 对专业性强、买方范围有限或多次公开征集无结果的资产，可经审批采用协议方式处置，但应保留市场测试和价格合理性证明；</w:t>
      </w:r>
    </w:p>
    <w:p>
      <w:pPr>
        <w:spacing w:after="100" w:line="360"/>
        <w:jc w:val="both"/>
      </w:pPr>
      <w:r>
        <w:rPr>
          <w:rFonts w:ascii="宋体" w:cs="宋体" w:eastAsia="宋体" w:hAnsi="宋体"/>
          <w:sz w:val="21"/>
          <w:szCs w:val="21"/>
        </w:rPr>
        <w:t xml:space="preserve">4. 对整机、成套设备及可拆分高价值部件，未经技术鉴定、价格论证和审批，不得打包为废铁或混合物资出售。</w:t>
      </w:r>
    </w:p>
    <w:p>
      <w:pPr>
        <w:spacing w:after="100" w:line="360"/>
        <w:jc w:val="both"/>
      </w:pPr>
      <w:r>
        <w:rPr>
          <w:rFonts w:ascii="宋体" w:cs="宋体" w:eastAsia="宋体" w:hAnsi="宋体"/>
          <w:b/>
          <w:bCs/>
          <w:sz w:val="21"/>
          <w:szCs w:val="21"/>
        </w:rPr>
        <w:t xml:space="preserve">第十八条</w:t>
      </w:r>
      <w:r>
        <w:rPr>
          <w:rFonts w:ascii="宋体" w:cs="宋体" w:eastAsia="宋体" w:hAnsi="宋体"/>
          <w:sz w:val="21"/>
          <w:szCs w:val="21"/>
        </w:rPr>
        <w:t xml:space="preserve"> 询价、竞价和拍卖资料应完整留存，包括信息发布记录、受邀或报名单位、报价时间、报价文件、比价表、现场记录和成交确认。采购或市场岗位不得向无关人员泄露底价、报价单位及其他可能影响公平交易的信息。</w:t>
      </w:r>
    </w:p>
    <w:p>
      <w:pPr>
        <w:spacing w:after="100" w:line="360"/>
        <w:jc w:val="both"/>
      </w:pPr>
      <w:r>
        <w:rPr>
          <w:rFonts w:ascii="宋体" w:cs="宋体" w:eastAsia="宋体" w:hAnsi="宋体"/>
          <w:b/>
          <w:bCs/>
          <w:sz w:val="21"/>
          <w:szCs w:val="21"/>
        </w:rPr>
        <w:t xml:space="preserve">第十九条</w:t>
      </w:r>
      <w:r>
        <w:rPr>
          <w:rFonts w:ascii="宋体" w:cs="宋体" w:eastAsia="宋体" w:hAnsi="宋体"/>
          <w:sz w:val="21"/>
          <w:szCs w:val="21"/>
        </w:rPr>
        <w:t xml:space="preserve"> 买方应通过资格审查，至少核验主体资格、联系人与收款主体一致性、处置能力、拆卸运输能力及关联关系声明。对存在不良履约记录、明显缺乏履约能力、不能满足安全环保条件或拒绝作出关联关系声明的单位，不得确定为成交对象。</w:t>
      </w:r>
    </w:p>
    <w:p>
      <w:pPr>
        <w:spacing w:after="100" w:line="360"/>
        <w:jc w:val="both"/>
      </w:pPr>
      <w:r>
        <w:rPr>
          <w:rFonts w:ascii="宋体" w:cs="宋体" w:eastAsia="宋体" w:hAnsi="宋体"/>
          <w:b/>
          <w:bCs/>
          <w:sz w:val="21"/>
          <w:szCs w:val="21"/>
        </w:rPr>
        <w:t xml:space="preserve">第二十条</w:t>
      </w:r>
      <w:r>
        <w:rPr>
          <w:rFonts w:ascii="宋体" w:cs="宋体" w:eastAsia="宋体" w:hAnsi="宋体"/>
          <w:sz w:val="21"/>
          <w:szCs w:val="21"/>
        </w:rPr>
        <w:t xml:space="preserve"> 交易合同应由具有合同审查职责的岗位审核。合同至少应载明资产清单及状态、计价和税费口径、付款方式、保证金或履约保障、拆卸与运输责任、现场安全环保要求、交割条件、违约责任和争议处理。合同不得以“现状交付”等表述免除公司依法应承担的责任，也不得对资产状态作不实承诺。</w:t>
      </w:r>
    </w:p>
    <w:p>
      <w:pPr>
        <w:pStyle w:val="Heading2"/>
        <w:keepNext/>
        <w:spacing w:after="120" w:before="240" w:line="360"/>
        <w:jc w:val="left"/>
      </w:pPr>
      <w:r>
        <w:rPr>
          <w:rFonts w:ascii="黑体" w:cs="黑体" w:eastAsia="黑体" w:hAnsi="黑体"/>
          <w:b/>
          <w:bCs/>
          <w:sz w:val="28"/>
          <w:szCs w:val="28"/>
        </w:rPr>
        <w:t xml:space="preserve">第五章 审批、收款与交割</w:t>
      </w:r>
    </w:p>
    <w:p>
      <w:pPr>
        <w:spacing w:after="100" w:line="360"/>
        <w:jc w:val="both"/>
      </w:pPr>
      <w:r>
        <w:rPr>
          <w:rFonts w:ascii="宋体" w:cs="宋体" w:eastAsia="宋体" w:hAnsi="宋体"/>
          <w:b/>
          <w:bCs/>
          <w:sz w:val="21"/>
          <w:szCs w:val="21"/>
        </w:rPr>
        <w:t xml:space="preserve">第二十一条</w:t>
      </w:r>
      <w:r>
        <w:rPr>
          <w:rFonts w:ascii="宋体" w:cs="宋体" w:eastAsia="宋体" w:hAnsi="宋体"/>
          <w:sz w:val="21"/>
          <w:szCs w:val="21"/>
        </w:rPr>
        <w:t xml:space="preserve"> 资产处置按单项或同一批次的预计成交金额分级审批，具体阈值由公司依据有效授权制度在首次领导小组会议上填列并作为附件执行：</w:t>
      </w:r>
    </w:p>
    <w:tbl>
      <w:tblPr>
        <w:tblW w:type="pct" w:w="100%"/>
        <w:tblBorders>
          <w:top w:val="single" w:color="666666" w:sz="4"/>
          <w:left w:val="single" w:color="666666" w:sz="4"/>
          <w:bottom w:val="single" w:color="666666" w:sz="4"/>
          <w:right w:val="single" w:color="666666" w:sz="4"/>
          <w:insideH w:val="single" w:color="666666" w:sz="4"/>
          <w:insideV w:val="single" w:color="666666" w:sz="4"/>
        </w:tblBorders>
        <w:tblLayout w:type="autofit"/>
      </w:tblPr>
      <w:tblGrid>
        <w:gridCol w:w="100"/>
        <w:gridCol w:w="100"/>
        <w:gridCol w:w="100"/>
      </w:tblGrid>
      <w:tr>
        <w:trPr>
          <w:cantSplit/>
          <w:tblHeader/>
        </w:trPr>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类别</w:t>
            </w:r>
          </w:p>
        </w:tc>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金额口径</w:t>
            </w:r>
          </w:p>
        </w:tc>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审批要求</w:t>
            </w:r>
          </w:p>
        </w:tc>
      </w:tr>
      <w:tr>
        <w:trPr>
          <w:cantSplit/>
          <w:tblHeader w:val="false"/>
        </w:trPr>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A 类</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不高于人民币 __ 万元</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资产处置办完成必要会签后报领导小组组长或其授权人审批，并定期向领导小组备案。</w:t>
            </w:r>
          </w:p>
        </w:tc>
      </w:tr>
      <w:tr>
        <w:trPr>
          <w:cantSplit/>
          <w:tblHeader w:val="false"/>
        </w:trPr>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B 类</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高于人民币 __ 万元且不高于 __ 万元</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领导小组集体研究，形成会议纪要或书面会签结论后实施。</w:t>
            </w:r>
          </w:p>
        </w:tc>
      </w:tr>
      <w:tr>
        <w:trPr>
          <w:cantSplit/>
          <w:tblHeader w:val="false"/>
        </w:trPr>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C 类</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高于人民币 __ 万元</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报公司有权决策机构或公司有效授权制度规定的审批层级批准后实施。</w:t>
            </w:r>
          </w:p>
        </w:tc>
      </w:tr>
    </w:tbl>
    <w:p>
      <w:pPr>
        <w:spacing w:after="100"/>
      </w:pPr>
    </w:p>
    <w:p>
      <w:pPr>
        <w:spacing w:after="100" w:line="360"/>
        <w:jc w:val="both"/>
      </w:pPr>
      <w:r>
        <w:rPr>
          <w:rFonts w:ascii="宋体" w:cs="宋体" w:eastAsia="宋体" w:hAnsi="宋体"/>
          <w:b/>
          <w:bCs/>
          <w:sz w:val="21"/>
          <w:szCs w:val="21"/>
        </w:rPr>
        <w:t xml:space="preserve">第二十二条</w:t>
      </w:r>
      <w:r>
        <w:rPr>
          <w:rFonts w:ascii="宋体" w:cs="宋体" w:eastAsia="宋体" w:hAnsi="宋体"/>
          <w:sz w:val="21"/>
          <w:szCs w:val="21"/>
        </w:rPr>
        <w:t xml:space="preserve"> 出现下列情形之一的，不受金额阈值限制，应报领导小组集体研究：</w:t>
      </w:r>
    </w:p>
    <w:p>
      <w:pPr>
        <w:spacing w:after="100" w:line="360"/>
        <w:jc w:val="both"/>
      </w:pPr>
      <w:r>
        <w:rPr>
          <w:rFonts w:ascii="宋体" w:cs="宋体" w:eastAsia="宋体" w:hAnsi="宋体"/>
          <w:sz w:val="21"/>
          <w:szCs w:val="21"/>
        </w:rPr>
        <w:t xml:space="preserve">1. 拟以低于已批准底价成交，或需调整底价；</w:t>
      </w:r>
    </w:p>
    <w:p>
      <w:pPr>
        <w:spacing w:after="100" w:line="360"/>
        <w:jc w:val="both"/>
      </w:pPr>
      <w:r>
        <w:rPr>
          <w:rFonts w:ascii="宋体" w:cs="宋体" w:eastAsia="宋体" w:hAnsi="宋体"/>
          <w:sz w:val="21"/>
          <w:szCs w:val="21"/>
        </w:rPr>
        <w:t xml:space="preserve">2. 公开征集、竞价或拍卖流拍后拟再次处置；</w:t>
      </w:r>
    </w:p>
    <w:p>
      <w:pPr>
        <w:spacing w:after="100" w:line="360"/>
        <w:jc w:val="both"/>
      </w:pPr>
      <w:r>
        <w:rPr>
          <w:rFonts w:ascii="宋体" w:cs="宋体" w:eastAsia="宋体" w:hAnsi="宋体"/>
          <w:sz w:val="21"/>
          <w:szCs w:val="21"/>
        </w:rPr>
        <w:t xml:space="preserve">3. 买方或其实际控制人与公司人员存在关联、亲属或其他利益关系；</w:t>
      </w:r>
    </w:p>
    <w:p>
      <w:pPr>
        <w:spacing w:after="100" w:line="360"/>
        <w:jc w:val="both"/>
      </w:pPr>
      <w:r>
        <w:rPr>
          <w:rFonts w:ascii="宋体" w:cs="宋体" w:eastAsia="宋体" w:hAnsi="宋体"/>
          <w:sz w:val="21"/>
          <w:szCs w:val="21"/>
        </w:rPr>
        <w:t xml:space="preserve">4. 涉及核心生产设备、成套设备、政府补助或存在质押、租赁、争议等权利限制；</w:t>
      </w:r>
    </w:p>
    <w:p>
      <w:pPr>
        <w:spacing w:after="100" w:line="360"/>
        <w:jc w:val="both"/>
      </w:pPr>
      <w:r>
        <w:rPr>
          <w:rFonts w:ascii="宋体" w:cs="宋体" w:eastAsia="宋体" w:hAnsi="宋体"/>
          <w:sz w:val="21"/>
          <w:szCs w:val="21"/>
        </w:rPr>
        <w:t xml:space="preserve">5. 涉及重大安全环保风险、需拆除关键建筑构件或可能影响搬迁进度；</w:t>
      </w:r>
    </w:p>
    <w:p>
      <w:pPr>
        <w:spacing w:after="100" w:line="360"/>
        <w:jc w:val="both"/>
      </w:pPr>
      <w:r>
        <w:rPr>
          <w:rFonts w:ascii="宋体" w:cs="宋体" w:eastAsia="宋体" w:hAnsi="宋体"/>
          <w:sz w:val="21"/>
          <w:szCs w:val="21"/>
        </w:rPr>
        <w:t xml:space="preserve">6. 其他可能造成公司重大损失或声誉风险的情形。</w:t>
      </w:r>
    </w:p>
    <w:p>
      <w:pPr>
        <w:spacing w:after="100" w:line="360"/>
        <w:jc w:val="both"/>
      </w:pPr>
      <w:r>
        <w:rPr>
          <w:rFonts w:ascii="宋体" w:cs="宋体" w:eastAsia="宋体" w:hAnsi="宋体"/>
          <w:b/>
          <w:bCs/>
          <w:sz w:val="21"/>
          <w:szCs w:val="21"/>
        </w:rPr>
        <w:t xml:space="preserve">第二十三条</w:t>
      </w:r>
      <w:r>
        <w:rPr>
          <w:rFonts w:ascii="宋体" w:cs="宋体" w:eastAsia="宋体" w:hAnsi="宋体"/>
          <w:sz w:val="21"/>
          <w:szCs w:val="21"/>
        </w:rPr>
        <w:t xml:space="preserve"> 处置收入必须直接进入公司对公账户。除经有效授权的特殊情形外，实行“款项到账确认后放行”；严禁收取现金、使用个人账户收款、以物抵款、账外抵扣或先放货后补款。财务岗位应参与需要过磅的物资计量，核验磅单、结算单和到账凭证的一致性。</w:t>
      </w:r>
    </w:p>
    <w:p>
      <w:pPr>
        <w:spacing w:after="100" w:line="360"/>
        <w:jc w:val="both"/>
      </w:pPr>
      <w:r>
        <w:rPr>
          <w:rFonts w:ascii="宋体" w:cs="宋体" w:eastAsia="宋体" w:hAnsi="宋体"/>
          <w:b/>
          <w:bCs/>
          <w:sz w:val="21"/>
          <w:szCs w:val="21"/>
        </w:rPr>
        <w:t xml:space="preserve">第二十四条</w:t>
      </w:r>
      <w:r>
        <w:rPr>
          <w:rFonts w:ascii="宋体" w:cs="宋体" w:eastAsia="宋体" w:hAnsi="宋体"/>
          <w:sz w:val="21"/>
          <w:szCs w:val="21"/>
        </w:rPr>
        <w:t xml:space="preserve"> 资产交割前应同时满足下列条件：</w:t>
      </w:r>
    </w:p>
    <w:p>
      <w:pPr>
        <w:spacing w:after="100" w:line="360"/>
        <w:jc w:val="both"/>
      </w:pPr>
      <w:r>
        <w:rPr>
          <w:rFonts w:ascii="宋体" w:cs="宋体" w:eastAsia="宋体" w:hAnsi="宋体"/>
          <w:sz w:val="21"/>
          <w:szCs w:val="21"/>
        </w:rPr>
        <w:t xml:space="preserve">1. 处置方案、成交结果和合同已按规定批准；</w:t>
      </w:r>
    </w:p>
    <w:p>
      <w:pPr>
        <w:spacing w:after="100" w:line="360"/>
        <w:jc w:val="both"/>
      </w:pPr>
      <w:r>
        <w:rPr>
          <w:rFonts w:ascii="宋体" w:cs="宋体" w:eastAsia="宋体" w:hAnsi="宋体"/>
          <w:sz w:val="21"/>
          <w:szCs w:val="21"/>
        </w:rPr>
        <w:t xml:space="preserve">2. 应收款项、保证金或其他履约保障已按合同落实；</w:t>
      </w:r>
    </w:p>
    <w:p>
      <w:pPr>
        <w:spacing w:after="100" w:line="360"/>
        <w:jc w:val="both"/>
      </w:pPr>
      <w:r>
        <w:rPr>
          <w:rFonts w:ascii="宋体" w:cs="宋体" w:eastAsia="宋体" w:hAnsi="宋体"/>
          <w:sz w:val="21"/>
          <w:szCs w:val="21"/>
        </w:rPr>
        <w:t xml:space="preserve">3. 拆卸、吊装、运输等作业条件经安全环保岗位确认；</w:t>
      </w:r>
    </w:p>
    <w:p>
      <w:pPr>
        <w:spacing w:after="100" w:line="360"/>
        <w:jc w:val="both"/>
      </w:pPr>
      <w:r>
        <w:rPr>
          <w:rFonts w:ascii="宋体" w:cs="宋体" w:eastAsia="宋体" w:hAnsi="宋体"/>
          <w:sz w:val="21"/>
          <w:szCs w:val="21"/>
        </w:rPr>
        <w:t xml:space="preserve">4. 资产清单、数量、状态和附件经买卖双方、仓储或现场保管人员及监督见证人员确认；</w:t>
      </w:r>
    </w:p>
    <w:p>
      <w:pPr>
        <w:spacing w:after="100" w:line="360"/>
        <w:jc w:val="both"/>
      </w:pPr>
      <w:r>
        <w:rPr>
          <w:rFonts w:ascii="宋体" w:cs="宋体" w:eastAsia="宋体" w:hAnsi="宋体"/>
          <w:sz w:val="21"/>
          <w:szCs w:val="21"/>
        </w:rPr>
        <w:t xml:space="preserve">5. 涉及过磅的，磅单、装车记录和现场影像已留存。</w:t>
      </w:r>
    </w:p>
    <w:p>
      <w:pPr>
        <w:spacing w:after="100" w:line="360"/>
        <w:jc w:val="both"/>
      </w:pPr>
      <w:r>
        <w:rPr>
          <w:rFonts w:ascii="宋体" w:cs="宋体" w:eastAsia="宋体" w:hAnsi="宋体"/>
          <w:b/>
          <w:bCs/>
          <w:sz w:val="21"/>
          <w:szCs w:val="21"/>
        </w:rPr>
        <w:t xml:space="preserve">第二十五条</w:t>
      </w:r>
      <w:r>
        <w:rPr>
          <w:rFonts w:ascii="宋体" w:cs="宋体" w:eastAsia="宋体" w:hAnsi="宋体"/>
          <w:sz w:val="21"/>
          <w:szCs w:val="21"/>
        </w:rPr>
        <w:t xml:space="preserve"> 完成交割后，财务岗位应按现行财税规定和公司资产管理制度办理收款、开票、资产核销及相关账务处理；设备、仓储和财务岗位应同步更新相应台账。未经财务到账确认和交割单签署，不得将资产从专项台账中销号。</w:t>
      </w:r>
    </w:p>
    <w:p>
      <w:pPr>
        <w:pStyle w:val="Heading2"/>
        <w:keepNext/>
        <w:spacing w:after="120" w:before="240" w:line="360"/>
        <w:jc w:val="left"/>
      </w:pPr>
      <w:r>
        <w:rPr>
          <w:rFonts w:ascii="黑体" w:cs="黑体" w:eastAsia="黑体" w:hAnsi="黑体"/>
          <w:b/>
          <w:bCs/>
          <w:sz w:val="28"/>
          <w:szCs w:val="28"/>
        </w:rPr>
        <w:t xml:space="preserve">第六章 监督、合规与结案</w:t>
      </w:r>
    </w:p>
    <w:p>
      <w:pPr>
        <w:spacing w:after="100" w:line="360"/>
        <w:jc w:val="both"/>
      </w:pPr>
      <w:r>
        <w:rPr>
          <w:rFonts w:ascii="宋体" w:cs="宋体" w:eastAsia="宋体" w:hAnsi="宋体"/>
          <w:b/>
          <w:bCs/>
          <w:sz w:val="21"/>
          <w:szCs w:val="21"/>
        </w:rPr>
        <w:t xml:space="preserve">第二十六条</w:t>
      </w:r>
      <w:r>
        <w:rPr>
          <w:rFonts w:ascii="宋体" w:cs="宋体" w:eastAsia="宋体" w:hAnsi="宋体"/>
          <w:sz w:val="21"/>
          <w:szCs w:val="21"/>
        </w:rPr>
        <w:t xml:space="preserve"> 监督岗位应对清查、报价、竞价、过磅、交割和结案实施过程监督。对重大批次、现场竞价、整机拆除和高风险物资交割，应安排人员现场见证，并留存照片、视频、记录或其他可定位证据。</w:t>
      </w:r>
    </w:p>
    <w:p>
      <w:pPr>
        <w:spacing w:after="100" w:line="360"/>
        <w:jc w:val="both"/>
      </w:pPr>
      <w:r>
        <w:rPr>
          <w:rFonts w:ascii="宋体" w:cs="宋体" w:eastAsia="宋体" w:hAnsi="宋体"/>
          <w:b/>
          <w:bCs/>
          <w:sz w:val="21"/>
          <w:szCs w:val="21"/>
        </w:rPr>
        <w:t xml:space="preserve">第二十七条</w:t>
      </w:r>
      <w:r>
        <w:rPr>
          <w:rFonts w:ascii="宋体" w:cs="宋体" w:eastAsia="宋体" w:hAnsi="宋体"/>
          <w:sz w:val="21"/>
          <w:szCs w:val="21"/>
        </w:rPr>
        <w:t xml:space="preserve"> 所有参与人员应签署或履行利益冲突申报与回避要求。严禁下列行为：</w:t>
      </w:r>
    </w:p>
    <w:p>
      <w:pPr>
        <w:spacing w:after="100" w:line="360"/>
        <w:jc w:val="both"/>
      </w:pPr>
      <w:r>
        <w:rPr>
          <w:rFonts w:ascii="宋体" w:cs="宋体" w:eastAsia="宋体" w:hAnsi="宋体"/>
          <w:sz w:val="21"/>
          <w:szCs w:val="21"/>
        </w:rPr>
        <w:t xml:space="preserve">1. 擅自拆卸、转移、藏匿、变卖、赠与或私分资产；</w:t>
      </w:r>
    </w:p>
    <w:p>
      <w:pPr>
        <w:spacing w:after="100" w:line="360"/>
        <w:jc w:val="both"/>
      </w:pPr>
      <w:r>
        <w:rPr>
          <w:rFonts w:ascii="宋体" w:cs="宋体" w:eastAsia="宋体" w:hAnsi="宋体"/>
          <w:sz w:val="21"/>
          <w:szCs w:val="21"/>
        </w:rPr>
        <w:t xml:space="preserve">2. 虚报数量、混淆类别、以废料名义处置可出售设备或高价值部件；</w:t>
      </w:r>
    </w:p>
    <w:p>
      <w:pPr>
        <w:spacing w:after="100" w:line="360"/>
        <w:jc w:val="both"/>
      </w:pPr>
      <w:r>
        <w:rPr>
          <w:rFonts w:ascii="宋体" w:cs="宋体" w:eastAsia="宋体" w:hAnsi="宋体"/>
          <w:sz w:val="21"/>
          <w:szCs w:val="21"/>
        </w:rPr>
        <w:t xml:space="preserve">3. 泄露底价、报价资料或为特定买方设置不公平条件；</w:t>
      </w:r>
    </w:p>
    <w:p>
      <w:pPr>
        <w:spacing w:after="100" w:line="360"/>
        <w:jc w:val="both"/>
      </w:pPr>
      <w:r>
        <w:rPr>
          <w:rFonts w:ascii="宋体" w:cs="宋体" w:eastAsia="宋体" w:hAnsi="宋体"/>
          <w:sz w:val="21"/>
          <w:szCs w:val="21"/>
        </w:rPr>
        <w:t xml:space="preserve">4. 接受买方、评估机构、回收商给予的回扣、礼金、宴请或其他不正当利益；</w:t>
      </w:r>
    </w:p>
    <w:p>
      <w:pPr>
        <w:spacing w:after="100" w:line="360"/>
        <w:jc w:val="both"/>
      </w:pPr>
      <w:r>
        <w:rPr>
          <w:rFonts w:ascii="宋体" w:cs="宋体" w:eastAsia="宋体" w:hAnsi="宋体"/>
          <w:sz w:val="21"/>
          <w:szCs w:val="21"/>
        </w:rPr>
        <w:t xml:space="preserve">5. 以本人、亲属、关联方或他人名义违规参与竞购；</w:t>
      </w:r>
    </w:p>
    <w:p>
      <w:pPr>
        <w:spacing w:after="100" w:line="360"/>
        <w:jc w:val="both"/>
      </w:pPr>
      <w:r>
        <w:rPr>
          <w:rFonts w:ascii="宋体" w:cs="宋体" w:eastAsia="宋体" w:hAnsi="宋体"/>
          <w:sz w:val="21"/>
          <w:szCs w:val="21"/>
        </w:rPr>
        <w:t xml:space="preserve">6. 伪造单据、规避审批、拆分项目、截留挪用处置款或形成账外资金。</w:t>
      </w:r>
    </w:p>
    <w:p>
      <w:pPr>
        <w:spacing w:after="100" w:line="360"/>
        <w:jc w:val="both"/>
      </w:pPr>
      <w:r>
        <w:rPr>
          <w:rFonts w:ascii="宋体" w:cs="宋体" w:eastAsia="宋体" w:hAnsi="宋体"/>
          <w:b/>
          <w:bCs/>
          <w:sz w:val="21"/>
          <w:szCs w:val="21"/>
        </w:rPr>
        <w:t xml:space="preserve">第二十八条</w:t>
      </w:r>
      <w:r>
        <w:rPr>
          <w:rFonts w:ascii="宋体" w:cs="宋体" w:eastAsia="宋体" w:hAnsi="宋体"/>
          <w:sz w:val="21"/>
          <w:szCs w:val="21"/>
        </w:rPr>
        <w:t xml:space="preserve"> 涉及危险废物、废油、化学品、压力容器、特种设备、放射性物质或其他特殊风险物资的，必须先完成识别、隔离、资质核验和流向记录；不具备安全环保条件的，不得拆卸、装运或交割。买方进场作业应遵守公司现场安全管理要求。</w:t>
      </w:r>
    </w:p>
    <w:p>
      <w:pPr>
        <w:spacing w:after="100" w:line="360"/>
        <w:jc w:val="both"/>
      </w:pPr>
      <w:r>
        <w:rPr>
          <w:rFonts w:ascii="宋体" w:cs="宋体" w:eastAsia="宋体" w:hAnsi="宋体"/>
          <w:b/>
          <w:bCs/>
          <w:sz w:val="21"/>
          <w:szCs w:val="21"/>
        </w:rPr>
        <w:t xml:space="preserve">第二十九条</w:t>
      </w:r>
      <w:r>
        <w:rPr>
          <w:rFonts w:ascii="宋体" w:cs="宋体" w:eastAsia="宋体" w:hAnsi="宋体"/>
          <w:sz w:val="21"/>
          <w:szCs w:val="21"/>
        </w:rPr>
        <w:t xml:space="preserve"> 每一批次资产完成交割后，资产处置办应组织结案核对，确认资产清单、技术鉴定、审批记录、市场资料、合同、收款凭证、交割单、磅单、影像资料、账务处理及异常事项处理记录齐全，形成《专项处置结案单》。档案应按照公司档案、财税和审计管理要求归集保管，做到“一案一档、账实相符、可追溯”。</w:t>
      </w:r>
    </w:p>
    <w:p>
      <w:pPr>
        <w:spacing w:after="100" w:line="360"/>
        <w:jc w:val="both"/>
      </w:pPr>
      <w:r>
        <w:rPr>
          <w:rFonts w:ascii="宋体" w:cs="宋体" w:eastAsia="宋体" w:hAnsi="宋体"/>
          <w:b/>
          <w:bCs/>
          <w:sz w:val="21"/>
          <w:szCs w:val="21"/>
        </w:rPr>
        <w:t xml:space="preserve">第三十条</w:t>
      </w:r>
      <w:r>
        <w:rPr>
          <w:rFonts w:ascii="宋体" w:cs="宋体" w:eastAsia="宋体" w:hAnsi="宋体"/>
          <w:sz w:val="21"/>
          <w:szCs w:val="21"/>
        </w:rPr>
        <w:t xml:space="preserve"> 领导小组应至少每月审阅专项台账和异常事项。发现资产差异、价格异常、程序缺失、款项未清或安全环保隐患的，应立即暂停相关批次处置、组织复核并明确整改时限。对违反本办法的，按公司相关规定追责；涉嫌违法犯罪的，依法移送处理。</w:t>
      </w:r>
    </w:p>
    <w:p>
      <w:pPr>
        <w:pStyle w:val="Heading2"/>
        <w:keepNext/>
        <w:spacing w:after="120" w:before="240" w:line="360"/>
        <w:jc w:val="left"/>
      </w:pPr>
      <w:r>
        <w:rPr>
          <w:rFonts w:ascii="黑体" w:cs="黑体" w:eastAsia="黑体" w:hAnsi="黑体"/>
          <w:b/>
          <w:bCs/>
          <w:sz w:val="28"/>
          <w:szCs w:val="28"/>
        </w:rPr>
        <w:t xml:space="preserve">第七章 附则</w:t>
      </w:r>
    </w:p>
    <w:p>
      <w:pPr>
        <w:spacing w:after="100" w:line="360"/>
        <w:jc w:val="both"/>
      </w:pPr>
      <w:r>
        <w:rPr>
          <w:rFonts w:ascii="宋体" w:cs="宋体" w:eastAsia="宋体" w:hAnsi="宋体"/>
          <w:b/>
          <w:bCs/>
          <w:sz w:val="21"/>
          <w:szCs w:val="21"/>
        </w:rPr>
        <w:t xml:space="preserve">第三十一条</w:t>
      </w:r>
      <w:r>
        <w:rPr>
          <w:rFonts w:ascii="宋体" w:cs="宋体" w:eastAsia="宋体" w:hAnsi="宋体"/>
          <w:sz w:val="21"/>
          <w:szCs w:val="21"/>
        </w:rPr>
        <w:t xml:space="preserve"> 本办法未尽事项，依照公司有效管理制度和有关法律法规执行。资产处置办负责日常解释和资料归集；重大争议或例外事项由领导小组研究决定。</w:t>
      </w:r>
    </w:p>
    <w:p>
      <w:pPr>
        <w:spacing w:after="100" w:line="360"/>
        <w:jc w:val="both"/>
      </w:pPr>
      <w:r>
        <w:rPr>
          <w:rFonts w:ascii="宋体" w:cs="宋体" w:eastAsia="宋体" w:hAnsi="宋体"/>
          <w:b/>
          <w:bCs/>
          <w:sz w:val="21"/>
          <w:szCs w:val="21"/>
        </w:rPr>
        <w:t xml:space="preserve">第三十二条</w:t>
      </w:r>
      <w:r>
        <w:rPr>
          <w:rFonts w:ascii="宋体" w:cs="宋体" w:eastAsia="宋体" w:hAnsi="宋体"/>
          <w:sz w:val="21"/>
          <w:szCs w:val="21"/>
        </w:rPr>
        <w:t xml:space="preserve"> 本办法自公司批准之日起执行，至专项资产全部完成结案且经领导小组确认后终止。终止后，原有常规废旧物资处置仍按公司有效制度执行。</w:t>
      </w:r>
    </w:p>
    <w:p>
      <w:pPr>
        <w:spacing w:after="80" w:before="80"/>
      </w:pPr>
    </w:p>
    <w:p>
      <w:pPr>
        <w:pStyle w:val="Heading1"/>
        <w:keepNext/>
        <w:spacing w:after="180" w:before="360" w:line="360"/>
        <w:jc w:val="left"/>
      </w:pPr>
      <w:r>
        <w:rPr>
          <w:rFonts w:ascii="黑体" w:cs="黑体" w:eastAsia="黑体" w:hAnsi="黑体"/>
          <w:b/>
          <w:bCs/>
          <w:sz w:val="32"/>
          <w:szCs w:val="32"/>
        </w:rPr>
        <w:t xml:space="preserve">四、专项启动与推进要求</w:t>
      </w:r>
    </w:p>
    <w:p>
      <w:pPr>
        <w:pStyle w:val="Heading2"/>
        <w:keepNext/>
        <w:spacing w:after="120" w:before="240" w:line="360"/>
        <w:jc w:val="left"/>
      </w:pPr>
      <w:r>
        <w:rPr>
          <w:rFonts w:ascii="黑体" w:cs="黑体" w:eastAsia="黑体" w:hAnsi="黑体"/>
          <w:b/>
          <w:bCs/>
          <w:sz w:val="28"/>
          <w:szCs w:val="28"/>
        </w:rPr>
        <w:t xml:space="preserve">4.1 首次领导小组会议应确认事项</w:t>
      </w:r>
    </w:p>
    <w:p>
      <w:pPr>
        <w:spacing w:after="100" w:line="360"/>
        <w:jc w:val="both"/>
      </w:pPr>
      <w:r>
        <w:rPr>
          <w:rFonts w:ascii="宋体" w:cs="宋体" w:eastAsia="宋体" w:hAnsi="宋体"/>
          <w:sz w:val="21"/>
          <w:szCs w:val="21"/>
        </w:rPr>
        <w:t xml:space="preserve">1. 批准领导小组和资产处置办的岗位名单、联系人和替补机制；</w:t>
      </w:r>
    </w:p>
    <w:p>
      <w:pPr>
        <w:spacing w:after="100" w:line="360"/>
        <w:jc w:val="both"/>
      </w:pPr>
      <w:r>
        <w:rPr>
          <w:rFonts w:ascii="宋体" w:cs="宋体" w:eastAsia="宋体" w:hAnsi="宋体"/>
          <w:sz w:val="21"/>
          <w:szCs w:val="21"/>
        </w:rPr>
        <w:t xml:space="preserve">2. 填写 A、B、C 类金额阈值，以及重大事项的有权审批层级；</w:t>
      </w:r>
    </w:p>
    <w:p>
      <w:pPr>
        <w:spacing w:after="100" w:line="360"/>
        <w:jc w:val="both"/>
      </w:pPr>
      <w:r>
        <w:rPr>
          <w:rFonts w:ascii="宋体" w:cs="宋体" w:eastAsia="宋体" w:hAnsi="宋体"/>
          <w:sz w:val="21"/>
          <w:szCs w:val="21"/>
        </w:rPr>
        <w:t xml:space="preserve">3. 确认临时保管区、现场封存区、出入库和放行管理方式；</w:t>
      </w:r>
    </w:p>
    <w:p>
      <w:pPr>
        <w:spacing w:after="100" w:line="360"/>
        <w:jc w:val="both"/>
      </w:pPr>
      <w:r>
        <w:rPr>
          <w:rFonts w:ascii="宋体" w:cs="宋体" w:eastAsia="宋体" w:hAnsi="宋体"/>
          <w:sz w:val="21"/>
          <w:szCs w:val="21"/>
        </w:rPr>
        <w:t xml:space="preserve">4. 审定资产编码规则、清查表、专项台账和首批处置清单；</w:t>
      </w:r>
    </w:p>
    <w:p>
      <w:pPr>
        <w:spacing w:after="100" w:line="360"/>
        <w:jc w:val="both"/>
      </w:pPr>
      <w:r>
        <w:rPr>
          <w:rFonts w:ascii="宋体" w:cs="宋体" w:eastAsia="宋体" w:hAnsi="宋体"/>
          <w:sz w:val="21"/>
          <w:szCs w:val="21"/>
        </w:rPr>
        <w:t xml:space="preserve">5. 确认公开征集渠道、询价有效期限、竞价或拍卖的适用条件；</w:t>
      </w:r>
    </w:p>
    <w:p>
      <w:pPr>
        <w:spacing w:after="100" w:line="360"/>
        <w:jc w:val="both"/>
      </w:pPr>
      <w:r>
        <w:rPr>
          <w:rFonts w:ascii="宋体" w:cs="宋体" w:eastAsia="宋体" w:hAnsi="宋体"/>
          <w:sz w:val="21"/>
          <w:szCs w:val="21"/>
        </w:rPr>
        <w:t xml:space="preserve">6. 确认监督见证人员、合同审查方式及特殊安环物资的外部服务资源；</w:t>
      </w:r>
    </w:p>
    <w:p>
      <w:pPr>
        <w:spacing w:after="100" w:line="360"/>
        <w:jc w:val="both"/>
      </w:pPr>
      <w:r>
        <w:rPr>
          <w:rFonts w:ascii="宋体" w:cs="宋体" w:eastAsia="宋体" w:hAnsi="宋体"/>
          <w:sz w:val="21"/>
          <w:szCs w:val="21"/>
        </w:rPr>
        <w:t xml:space="preserve">7. 明确月度进度报告的时间、内容和异常事项升级路径。</w:t>
      </w:r>
    </w:p>
    <w:p>
      <w:pPr>
        <w:pStyle w:val="Heading2"/>
        <w:keepNext/>
        <w:spacing w:after="120" w:before="240" w:line="360"/>
        <w:jc w:val="left"/>
      </w:pPr>
      <w:r>
        <w:rPr>
          <w:rFonts w:ascii="黑体" w:cs="黑体" w:eastAsia="黑体" w:hAnsi="黑体"/>
          <w:b/>
          <w:bCs/>
          <w:sz w:val="28"/>
          <w:szCs w:val="28"/>
        </w:rPr>
        <w:t xml:space="preserve">4.2 首 30 个工作日行动清单</w:t>
      </w:r>
    </w:p>
    <w:tbl>
      <w:tblPr>
        <w:tblW w:type="pct" w:w="100%"/>
        <w:tblBorders>
          <w:top w:val="single" w:color="666666" w:sz="4"/>
          <w:left w:val="single" w:color="666666" w:sz="4"/>
          <w:bottom w:val="single" w:color="666666" w:sz="4"/>
          <w:right w:val="single" w:color="666666" w:sz="4"/>
          <w:insideH w:val="single" w:color="666666" w:sz="4"/>
          <w:insideV w:val="single" w:color="666666" w:sz="4"/>
        </w:tblBorders>
        <w:tblLayout w:type="autofit"/>
      </w:tblPr>
      <w:tblGrid>
        <w:gridCol w:w="100"/>
        <w:gridCol w:w="100"/>
        <w:gridCol w:w="100"/>
        <w:gridCol w:w="100"/>
      </w:tblGrid>
      <w:tr>
        <w:trPr>
          <w:cantSplit/>
          <w:tblHeader/>
        </w:trPr>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时限</w:t>
            </w:r>
          </w:p>
        </w:tc>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交付物</w:t>
            </w:r>
          </w:p>
        </w:tc>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牵头岗位</w:t>
            </w:r>
          </w:p>
        </w:tc>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验收要点</w:t>
            </w:r>
          </w:p>
        </w:tc>
      </w:tr>
      <w:tr>
        <w:trPr>
          <w:cantSplit/>
          <w:tblHeader w:val="false"/>
        </w:trPr>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T+3 个工作日</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专项组织名单、联络表和职责清单</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总经办</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责任到岗，监督角色独立。</w:t>
            </w:r>
          </w:p>
        </w:tc>
      </w:tr>
      <w:tr>
        <w:trPr>
          <w:cantSplit/>
          <w:tblHeader w:val="false"/>
        </w:trPr>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T+5 个工作日</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现场封存与临时保管方案</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设备生产、仓储、安全环保</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区域、标识、交接、巡查和放行规则明确。</w:t>
            </w:r>
          </w:p>
        </w:tc>
      </w:tr>
      <w:tr>
        <w:trPr>
          <w:cantSplit/>
          <w:tblHeader w:val="false"/>
        </w:trPr>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T+15 个工作日</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全量清查登记表和待核实清单</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资产处置办</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编码、影像、账卡、责任人与状态完整。</w:t>
            </w:r>
          </w:p>
        </w:tc>
      </w:tr>
      <w:tr>
        <w:trPr>
          <w:cantSplit/>
          <w:tblHeader w:val="false"/>
        </w:trPr>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T+20 个工作日</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分类鉴定、内部调剂和首批处置建议</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设备生产、使用部门、采购</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整机和高价值部件已单列，不与废料混报。</w:t>
            </w:r>
          </w:p>
        </w:tc>
      </w:tr>
      <w:tr>
        <w:trPr>
          <w:cantSplit/>
          <w:tblHeader w:val="false"/>
        </w:trPr>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T+25 个工作日</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首批处置方案、底价依据和市场征集计划</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资产处置办</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价格依据、审批路径、交易方式和风险控制齐全。</w:t>
            </w:r>
          </w:p>
        </w:tc>
      </w:tr>
      <w:tr>
        <w:trPr>
          <w:cantSplit/>
          <w:tblHeader w:val="false"/>
        </w:trPr>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T+30 个工作日</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首期进度报告和问题清单</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资产处置办</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领导小组已审阅并明确下一阶段任务。</w:t>
            </w:r>
          </w:p>
        </w:tc>
      </w:tr>
    </w:tbl>
    <w:p>
      <w:pPr>
        <w:spacing w:after="100"/>
      </w:pPr>
    </w:p>
    <w:p>
      <w:pPr>
        <w:pStyle w:val="Heading2"/>
        <w:keepNext/>
        <w:spacing w:after="120" w:before="240" w:line="360"/>
        <w:jc w:val="left"/>
      </w:pPr>
      <w:r>
        <w:rPr>
          <w:rFonts w:ascii="黑体" w:cs="黑体" w:eastAsia="黑体" w:hAnsi="黑体"/>
          <w:b/>
          <w:bCs/>
          <w:sz w:val="28"/>
          <w:szCs w:val="28"/>
        </w:rPr>
        <w:t xml:space="preserve">4.3 过程评价指标</w:t>
      </w:r>
    </w:p>
    <w:p>
      <w:pPr>
        <w:spacing w:after="100" w:line="360"/>
        <w:jc w:val="both"/>
      </w:pPr>
      <w:r>
        <w:rPr>
          <w:rFonts w:ascii="宋体" w:cs="宋体" w:eastAsia="宋体" w:hAnsi="宋体"/>
          <w:sz w:val="21"/>
          <w:szCs w:val="21"/>
        </w:rPr>
        <w:t xml:space="preserve">专项工作不应只以处置收入作为考核指标。领导小组应同时关注清查覆盖率、内部再利用率、整机或部件出售占比、底价以上成交率、款项到账率、账实相符率、结案资料完整率和安全环保违规次数等指标，防止为追求短期变现而损失可利用价值或放松合规要求。</w:t>
      </w:r>
    </w:p>
    <w:p>
      <w:pPr>
        <w:spacing w:after="80" w:before="80"/>
      </w:pPr>
    </w:p>
    <w:p>
      <w:pPr>
        <w:pStyle w:val="Heading1"/>
        <w:keepNext/>
        <w:spacing w:after="180" w:before="360" w:line="360"/>
        <w:jc w:val="left"/>
      </w:pPr>
      <w:r>
        <w:rPr>
          <w:rFonts w:ascii="黑体" w:cs="黑体" w:eastAsia="黑体" w:hAnsi="黑体"/>
          <w:b/>
          <w:bCs/>
          <w:sz w:val="32"/>
          <w:szCs w:val="32"/>
        </w:rPr>
        <w:t xml:space="preserve">五、附件表单字段（建议随正式文件配套使用）</w:t>
      </w:r>
    </w:p>
    <w:p>
      <w:pPr>
        <w:pStyle w:val="Heading2"/>
        <w:keepNext/>
        <w:spacing w:after="120" w:before="240" w:line="360"/>
        <w:jc w:val="left"/>
      </w:pPr>
      <w:r>
        <w:rPr>
          <w:rFonts w:ascii="黑体" w:cs="黑体" w:eastAsia="黑体" w:hAnsi="黑体"/>
          <w:b/>
          <w:bCs/>
          <w:sz w:val="28"/>
          <w:szCs w:val="28"/>
        </w:rPr>
        <w:t xml:space="preserve">附件 1：资产清查与分类登记表</w:t>
      </w:r>
    </w:p>
    <w:tbl>
      <w:tblPr>
        <w:tblW w:type="pct" w:w="100%"/>
        <w:tblBorders>
          <w:top w:val="single" w:color="666666" w:sz="4"/>
          <w:left w:val="single" w:color="666666" w:sz="4"/>
          <w:bottom w:val="single" w:color="666666" w:sz="4"/>
          <w:right w:val="single" w:color="666666" w:sz="4"/>
          <w:insideH w:val="single" w:color="666666" w:sz="4"/>
          <w:insideV w:val="single" w:color="666666" w:sz="4"/>
        </w:tblBorders>
        <w:tblLayout w:type="autofit"/>
      </w:tblPr>
      <w:tblGrid>
        <w:gridCol w:w="100"/>
        <w:gridCol w:w="100"/>
        <w:gridCol w:w="100"/>
        <w:gridCol w:w="100"/>
        <w:gridCol w:w="100"/>
        <w:gridCol w:w="100"/>
        <w:gridCol w:w="100"/>
        <w:gridCol w:w="100"/>
        <w:gridCol w:w="100"/>
        <w:gridCol w:w="100"/>
      </w:tblGrid>
      <w:tr>
        <w:trPr>
          <w:cantSplit/>
          <w:tblHeader/>
        </w:trPr>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资产编码</w:t>
            </w:r>
          </w:p>
        </w:tc>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名称/规格型号</w:t>
            </w:r>
          </w:p>
        </w:tc>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数量/单位</w:t>
            </w:r>
          </w:p>
        </w:tc>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原使用或保管部门</w:t>
            </w:r>
          </w:p>
        </w:tc>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存放位置</w:t>
            </w:r>
          </w:p>
        </w:tc>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账卡信息</w:t>
            </w:r>
          </w:p>
        </w:tc>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技术状态</w:t>
            </w:r>
          </w:p>
        </w:tc>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处置分类</w:t>
            </w:r>
          </w:p>
        </w:tc>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影像编号</w:t>
            </w:r>
          </w:p>
        </w:tc>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现场确认人</w:t>
            </w:r>
          </w:p>
        </w:tc>
      </w:tr>
    </w:tbl>
    <w:p>
      <w:pPr>
        <w:spacing w:after="100"/>
      </w:pPr>
    </w:p>
    <w:p>
      <w:pPr>
        <w:pStyle w:val="Heading2"/>
        <w:keepNext/>
        <w:spacing w:after="120" w:before="240" w:line="360"/>
        <w:jc w:val="left"/>
      </w:pPr>
      <w:r>
        <w:rPr>
          <w:rFonts w:ascii="黑体" w:cs="黑体" w:eastAsia="黑体" w:hAnsi="黑体"/>
          <w:b/>
          <w:bCs/>
          <w:sz w:val="28"/>
          <w:szCs w:val="28"/>
        </w:rPr>
        <w:t xml:space="preserve">附件 2：技术鉴定及处置方案审批表</w:t>
      </w:r>
    </w:p>
    <w:tbl>
      <w:tblPr>
        <w:tblW w:type="pct" w:w="100%"/>
        <w:tblBorders>
          <w:top w:val="single" w:color="666666" w:sz="4"/>
          <w:left w:val="single" w:color="666666" w:sz="4"/>
          <w:bottom w:val="single" w:color="666666" w:sz="4"/>
          <w:right w:val="single" w:color="666666" w:sz="4"/>
          <w:insideH w:val="single" w:color="666666" w:sz="4"/>
          <w:insideV w:val="single" w:color="666666" w:sz="4"/>
        </w:tblBorders>
        <w:tblLayout w:type="autofit"/>
      </w:tblPr>
      <w:tblGrid>
        <w:gridCol w:w="100"/>
        <w:gridCol w:w="100"/>
      </w:tblGrid>
      <w:tr>
        <w:trPr>
          <w:cantSplit/>
          <w:tblHeader/>
        </w:trPr>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项目</w:t>
            </w:r>
          </w:p>
        </w:tc>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填写内容</w:t>
            </w:r>
          </w:p>
        </w:tc>
      </w:tr>
      <w:tr>
        <w:trPr>
          <w:cantSplit/>
          <w:tblHeader w:val="false"/>
        </w:trPr>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批次名称及资产编码</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
            </w:r>
          </w:p>
        </w:tc>
      </w:tr>
      <w:tr>
        <w:trPr>
          <w:cantSplit/>
          <w:tblHeader w:val="false"/>
        </w:trPr>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清查与权属核验结论</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
            </w:r>
          </w:p>
        </w:tc>
      </w:tr>
      <w:tr>
        <w:trPr>
          <w:cantSplit/>
          <w:tblHeader w:val="false"/>
        </w:trPr>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技术状态、成套性及可拆分部件</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
            </w:r>
          </w:p>
        </w:tc>
      </w:tr>
      <w:tr>
        <w:trPr>
          <w:cantSplit/>
          <w:tblHeader w:val="false"/>
        </w:trPr>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内部调剂核验结果</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
            </w:r>
          </w:p>
        </w:tc>
      </w:tr>
      <w:tr>
        <w:trPr>
          <w:cantSplit/>
          <w:tblHeader w:val="false"/>
        </w:trPr>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建议处置方式及理由</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
            </w:r>
          </w:p>
        </w:tc>
      </w:tr>
      <w:tr>
        <w:trPr>
          <w:cantSplit/>
          <w:tblHeader w:val="false"/>
        </w:trPr>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价格依据、底价建议和有效期</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
            </w:r>
          </w:p>
        </w:tc>
      </w:tr>
      <w:tr>
        <w:trPr>
          <w:cantSplit/>
          <w:tblHeader w:val="false"/>
        </w:trPr>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交易方式、公告或询价安排</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
            </w:r>
          </w:p>
        </w:tc>
      </w:tr>
      <w:tr>
        <w:trPr>
          <w:cantSplit/>
          <w:tblHeader w:val="false"/>
        </w:trPr>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安全环保、合同及资金风险提示</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
            </w:r>
          </w:p>
        </w:tc>
      </w:tr>
      <w:tr>
        <w:trPr>
          <w:cantSplit/>
          <w:tblHeader w:val="false"/>
        </w:trPr>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使用/技术/仓储/采购/财务/监督会签</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
            </w:r>
          </w:p>
        </w:tc>
      </w:tr>
      <w:tr>
        <w:trPr>
          <w:cantSplit/>
          <w:tblHeader w:val="false"/>
        </w:trPr>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审批结论及审批人</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
            </w:r>
          </w:p>
        </w:tc>
      </w:tr>
    </w:tbl>
    <w:p>
      <w:pPr>
        <w:spacing w:after="100"/>
      </w:pPr>
    </w:p>
    <w:p>
      <w:pPr>
        <w:pStyle w:val="Heading2"/>
        <w:keepNext/>
        <w:spacing w:after="120" w:before="240" w:line="360"/>
        <w:jc w:val="left"/>
      </w:pPr>
      <w:r>
        <w:rPr>
          <w:rFonts w:ascii="黑体" w:cs="黑体" w:eastAsia="黑体" w:hAnsi="黑体"/>
          <w:b/>
          <w:bCs/>
          <w:sz w:val="28"/>
          <w:szCs w:val="28"/>
        </w:rPr>
        <w:t xml:space="preserve">附件 3：询价、竞价与成交记录表</w:t>
      </w:r>
    </w:p>
    <w:tbl>
      <w:tblPr>
        <w:tblW w:type="pct" w:w="100%"/>
        <w:tblBorders>
          <w:top w:val="single" w:color="666666" w:sz="4"/>
          <w:left w:val="single" w:color="666666" w:sz="4"/>
          <w:bottom w:val="single" w:color="666666" w:sz="4"/>
          <w:right w:val="single" w:color="666666" w:sz="4"/>
          <w:insideH w:val="single" w:color="666666" w:sz="4"/>
          <w:insideV w:val="single" w:color="666666" w:sz="4"/>
        </w:tblBorders>
        <w:tblLayout w:type="autofit"/>
      </w:tblPr>
      <w:tblGrid>
        <w:gridCol w:w="100"/>
        <w:gridCol w:w="100"/>
        <w:gridCol w:w="100"/>
        <w:gridCol w:w="100"/>
        <w:gridCol w:w="100"/>
        <w:gridCol w:w="100"/>
        <w:gridCol w:w="100"/>
        <w:gridCol w:w="100"/>
      </w:tblGrid>
      <w:tr>
        <w:trPr>
          <w:cantSplit/>
          <w:tblHeader/>
        </w:trPr>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批次名称</w:t>
            </w:r>
          </w:p>
        </w:tc>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信息发布渠道及日期</w:t>
            </w:r>
          </w:p>
        </w:tc>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参与单位</w:t>
            </w:r>
          </w:p>
        </w:tc>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报价金额/计价方式</w:t>
            </w:r>
          </w:p>
        </w:tc>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资格审查结果</w:t>
            </w:r>
          </w:p>
        </w:tc>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报价时间</w:t>
            </w:r>
          </w:p>
        </w:tc>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监督见证</w:t>
            </w:r>
          </w:p>
        </w:tc>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成交建议及理由</w:t>
            </w:r>
          </w:p>
        </w:tc>
      </w:tr>
    </w:tbl>
    <w:p>
      <w:pPr>
        <w:spacing w:after="100"/>
      </w:pPr>
    </w:p>
    <w:p>
      <w:pPr>
        <w:pStyle w:val="Heading2"/>
        <w:keepNext/>
        <w:spacing w:after="120" w:before="240" w:line="360"/>
        <w:jc w:val="left"/>
      </w:pPr>
      <w:r>
        <w:rPr>
          <w:rFonts w:ascii="黑体" w:cs="黑体" w:eastAsia="黑体" w:hAnsi="黑体"/>
          <w:b/>
          <w:bCs/>
          <w:sz w:val="28"/>
          <w:szCs w:val="28"/>
        </w:rPr>
        <w:t xml:space="preserve">附件 4：资产交割确认单</w:t>
      </w:r>
    </w:p>
    <w:tbl>
      <w:tblPr>
        <w:tblW w:type="pct" w:w="100%"/>
        <w:tblBorders>
          <w:top w:val="single" w:color="666666" w:sz="4"/>
          <w:left w:val="single" w:color="666666" w:sz="4"/>
          <w:bottom w:val="single" w:color="666666" w:sz="4"/>
          <w:right w:val="single" w:color="666666" w:sz="4"/>
          <w:insideH w:val="single" w:color="666666" w:sz="4"/>
          <w:insideV w:val="single" w:color="666666" w:sz="4"/>
        </w:tblBorders>
        <w:tblLayout w:type="autofit"/>
      </w:tblPr>
      <w:tblGrid>
        <w:gridCol w:w="100"/>
        <w:gridCol w:w="100"/>
      </w:tblGrid>
      <w:tr>
        <w:trPr>
          <w:cantSplit/>
          <w:tblHeader/>
        </w:trPr>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项目</w:t>
            </w:r>
          </w:p>
        </w:tc>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填写内容</w:t>
            </w:r>
          </w:p>
        </w:tc>
      </w:tr>
      <w:tr>
        <w:trPr>
          <w:cantSplit/>
          <w:tblHeader w:val="false"/>
        </w:trPr>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合同编号、买方及交割日期</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
            </w:r>
          </w:p>
        </w:tc>
      </w:tr>
      <w:tr>
        <w:trPr>
          <w:cantSplit/>
          <w:tblHeader w:val="false"/>
        </w:trPr>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资产编码、名称、数量、状态及附件</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
            </w:r>
          </w:p>
        </w:tc>
      </w:tr>
      <w:tr>
        <w:trPr>
          <w:cantSplit/>
          <w:tblHeader w:val="false"/>
        </w:trPr>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收款到账或履约保障核验</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
            </w:r>
          </w:p>
        </w:tc>
      </w:tr>
      <w:tr>
        <w:trPr>
          <w:cantSplit/>
          <w:tblHeader w:val="false"/>
        </w:trPr>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磅单、装车、影像和出入库记录编号</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
            </w:r>
          </w:p>
        </w:tc>
      </w:tr>
      <w:tr>
        <w:trPr>
          <w:cantSplit/>
          <w:tblHeader w:val="false"/>
        </w:trPr>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安全环保作业条件确认</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
            </w:r>
          </w:p>
        </w:tc>
      </w:tr>
      <w:tr>
        <w:trPr>
          <w:cantSplit/>
          <w:tblHeader w:val="false"/>
        </w:trPr>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买方签收人</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
            </w:r>
          </w:p>
        </w:tc>
      </w:tr>
      <w:tr>
        <w:trPr>
          <w:cantSplit/>
          <w:tblHeader w:val="false"/>
        </w:trPr>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公司交割人、仓储/现场保管人、财务、监督见证人</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
            </w:r>
          </w:p>
        </w:tc>
      </w:tr>
      <w:tr>
        <w:trPr>
          <w:cantSplit/>
          <w:tblHeader w:val="false"/>
        </w:trPr>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异常事项及处理结论</w:t>
            </w:r>
          </w:p>
        </w:tc>
        <w:tc>
          <w:tcP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
            </w:r>
          </w:p>
        </w:tc>
      </w:tr>
    </w:tbl>
    <w:p>
      <w:pPr>
        <w:spacing w:after="100"/>
      </w:pPr>
    </w:p>
    <w:p>
      <w:pPr>
        <w:pStyle w:val="Heading2"/>
        <w:keepNext/>
        <w:spacing w:after="120" w:before="240" w:line="360"/>
        <w:jc w:val="left"/>
      </w:pPr>
      <w:r>
        <w:rPr>
          <w:rFonts w:ascii="黑体" w:cs="黑体" w:eastAsia="黑体" w:hAnsi="黑体"/>
          <w:b/>
          <w:bCs/>
          <w:sz w:val="28"/>
          <w:szCs w:val="28"/>
        </w:rPr>
        <w:t xml:space="preserve">附件 5：专项处置台账</w:t>
      </w:r>
    </w:p>
    <w:tbl>
      <w:tblPr>
        <w:tblW w:type="pct" w:w="100%"/>
        <w:tblBorders>
          <w:top w:val="single" w:color="666666" w:sz="4"/>
          <w:left w:val="single" w:color="666666" w:sz="4"/>
          <w:bottom w:val="single" w:color="666666" w:sz="4"/>
          <w:right w:val="single" w:color="666666" w:sz="4"/>
          <w:insideH w:val="single" w:color="666666" w:sz="4"/>
          <w:insideV w:val="single" w:color="666666" w:sz="4"/>
        </w:tblBorders>
        <w:tblLayout w:type="autofit"/>
      </w:tblPr>
      <w:tblGrid>
        <w:gridCol w:w="100"/>
        <w:gridCol w:w="100"/>
        <w:gridCol w:w="100"/>
        <w:gridCol w:w="100"/>
        <w:gridCol w:w="100"/>
        <w:gridCol w:w="100"/>
        <w:gridCol w:w="100"/>
        <w:gridCol w:w="100"/>
        <w:gridCol w:w="100"/>
        <w:gridCol w:w="100"/>
        <w:gridCol w:w="100"/>
        <w:gridCol w:w="100"/>
        <w:gridCol w:w="100"/>
      </w:tblGrid>
      <w:tr>
        <w:trPr>
          <w:cantSplit/>
          <w:tblHeader/>
        </w:trPr>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批次编号</w:t>
            </w:r>
          </w:p>
        </w:tc>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资产范围</w:t>
            </w:r>
          </w:p>
        </w:tc>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分类</w:t>
            </w:r>
          </w:p>
        </w:tc>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方案批准日期</w:t>
            </w:r>
          </w:p>
        </w:tc>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交易方式</w:t>
            </w:r>
          </w:p>
        </w:tc>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底价</w:t>
            </w:r>
          </w:p>
        </w:tc>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成交价</w:t>
            </w:r>
          </w:p>
        </w:tc>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买方</w:t>
            </w:r>
          </w:p>
        </w:tc>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收款日期</w:t>
            </w:r>
          </w:p>
        </w:tc>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交割日期</w:t>
            </w:r>
          </w:p>
        </w:tc>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账务处理日期</w:t>
            </w:r>
          </w:p>
        </w:tc>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档案位置</w:t>
            </w:r>
          </w:p>
        </w:tc>
        <w:tc>
          <w:tcPr>
            <w:shd w:fill="E6E6E6" w:color="auto" w:val="clear"/>
            <w:tcMar>
              <w:top w:type="dxa" w:w="80"/>
              <w:left w:type="dxa" w:w="80"/>
              <w:bottom w:type="dxa" w:w="80"/>
              <w:right w:type="dxa" w:w="80"/>
            </w:tcMar>
            <w:vAlign w:val="center"/>
          </w:tcPr>
          <w:p>
            <w:pPr>
              <w:spacing w:after="0" w:line="280"/>
              <w:jc w:val="left"/>
            </w:pPr>
            <w:r>
              <w:rPr>
                <w:rFonts w:ascii="宋体" w:cs="宋体" w:eastAsia="宋体" w:hAnsi="宋体"/>
                <w:sz w:val="17"/>
                <w:szCs w:val="17"/>
              </w:rPr>
              <w:t xml:space="preserve">结案状态</w:t>
            </w:r>
          </w:p>
        </w:tc>
      </w:tr>
    </w:tbl>
    <w:p>
      <w:pPr>
        <w:spacing w:after="100"/>
      </w:pPr>
    </w:p>
    <w:p>
      <w:pPr>
        <w:spacing w:after="80" w:before="80"/>
      </w:pPr>
    </w:p>
    <w:p>
      <w:pPr>
        <w:spacing w:after="100" w:line="360"/>
        <w:jc w:val="both"/>
      </w:pPr>
      <w:r>
        <w:rPr>
          <w:rFonts w:ascii="宋体" w:cs="宋体" w:eastAsia="宋体" w:hAnsi="宋体"/>
          <w:b/>
          <w:bCs/>
          <w:sz w:val="21"/>
          <w:szCs w:val="21"/>
        </w:rPr>
        <w:t xml:space="preserve">拟制说明</w:t>
      </w:r>
      <w:r>
        <w:rPr>
          <w:rFonts w:ascii="宋体" w:cs="宋体" w:eastAsia="宋体" w:hAnsi="宋体"/>
          <w:sz w:val="21"/>
          <w:szCs w:val="21"/>
        </w:rPr>
        <w:t xml:space="preserve">：本草案已对照公司 2024 年废旧物资管理办法保留“统一管理、合理利用、集中处置”以及生产、仓储、采购、财务、人资行政协同监督的基本框架；新增内容仅用于适配老厂搬迁专项的成套设备价值识别、集体决策、职责分离、竞价留痕、先款后货、安环交割和结案复核要求。具体金额阈值、岗位名单和审批层级须由公司正式审定后填入。</w:t>
      </w:r>
    </w:p>
    <w:sectPr>
      <w:footerReference w:type="default" r:id="rId7"/>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cs="宋体" w:eastAsia="宋体" w:hAnsi="宋体"/>
        <w:sz w:val="18"/>
        <w:szCs w:val="18"/>
      </w:rPr>
      <w:t xml:space="preserve">江西柯美纸业有限公司   </w:t>
    </w:r>
    <w:r>
      <w:rPr>
        <w:rFonts w:ascii="宋体" w:cs="宋体" w:eastAsia="宋体" w:hAnsi="宋体"/>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2026-09-02T03:13:18.137Z</dcterms:created>
  <dcterms:modified xsi:type="dcterms:W3CDTF">2026-09-02T03:13:18.138Z</dcterms:modified>
</cp:coreProperties>
</file>

<file path=docProps/custom.xml><?xml version="1.0" encoding="utf-8"?>
<Properties xmlns="http://schemas.openxmlformats.org/officeDocument/2006/custom-properties" xmlns:vt="http://schemas.openxmlformats.org/officeDocument/2006/docPropsVTypes"/>
</file>