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D0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柯美给水、消防水、生产用水、照明安装</w:t>
      </w:r>
    </w:p>
    <w:p w14:paraId="4E444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工程施工合同</w:t>
      </w:r>
    </w:p>
    <w:p w14:paraId="42AD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031F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583" w:firstLineChars="310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合同编号：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MH20260630-001</w:t>
      </w:r>
    </w:p>
    <w:p w14:paraId="5A652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5583" w:firstLineChars="3100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合同签订地：江西萍乡莲花</w:t>
      </w:r>
    </w:p>
    <w:p w14:paraId="70225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C78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发包方（甲方）：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江西铭和建设工程有限公司莲花分公司</w:t>
      </w:r>
    </w:p>
    <w:p w14:paraId="304E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承包方（乙方）：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芦溪县芦溪镇运通建材水电安装经营部</w:t>
      </w:r>
    </w:p>
    <w:p w14:paraId="424B7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745C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根据《中华人民共和国民法典》《中华人民共和国建筑法》及相关法律法规，甲乙双方本着平等自愿、公平公正、诚实信用的原则，就甲方柯美给水、消防水、生产用水、照明安装工程事宜达成如下协议，双方共同严格遵守。</w:t>
      </w:r>
    </w:p>
    <w:p w14:paraId="48B79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6208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24"/>
          <w:szCs w:val="24"/>
        </w:rPr>
        <w:t>条 工程概况</w:t>
      </w:r>
    </w:p>
    <w:p w14:paraId="25190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59F3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工程名称：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室外</w:t>
      </w:r>
      <w:r>
        <w:rPr>
          <w:rFonts w:hint="eastAsia" w:ascii="微软雅黑" w:hAnsi="微软雅黑" w:eastAsia="微软雅黑" w:cs="微软雅黑"/>
          <w:sz w:val="24"/>
          <w:szCs w:val="24"/>
        </w:rPr>
        <w:t>柯美给水、消防水、生产用水、照明安装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z w:val="24"/>
          <w:szCs w:val="24"/>
        </w:rPr>
        <w:t>工程</w:t>
      </w:r>
    </w:p>
    <w:p w14:paraId="77D62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工程地点：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柯美纸业莲花项目部</w:t>
      </w:r>
    </w:p>
    <w:p w14:paraId="79879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工程内容：</w:t>
      </w:r>
    </w:p>
    <w:p w14:paraId="5FEA5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负责完成本工程范围内的给水管道安装、消防水系统安装、生产用水管道安装、照明系统安装等全部工作，具体施工内容、材料规格、单价标准详见本合同附件《柯美给水、消防水、生产用水、照明安装报价清单》。</w:t>
      </w:r>
    </w:p>
    <w:p w14:paraId="0DA15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本工程报价包含：材料二次运输费、管道打压费、安装施工费、3%增值税专用发票税费；不含管沟开挖、回填及土方外运工作，阀门井需严格按照甲方提供的图纸标准施工。</w:t>
      </w:r>
    </w:p>
    <w:p w14:paraId="56CEF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承包方式：乙方采用包人工、包安装、包质量、包安全、包税费的全包方式承包本工程。</w:t>
      </w:r>
    </w:p>
    <w:p w14:paraId="5B91C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1FA2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sz w:val="24"/>
          <w:szCs w:val="24"/>
        </w:rPr>
        <w:t>条 合同总价与结算方式</w:t>
      </w:r>
    </w:p>
    <w:p w14:paraId="6BF88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067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合同单价：本工程所有项目单价严格按照附件《柯美给水、消防水、生产用水、照明安装报价清单》执行，单价为固定单价，施工期间不作调整。</w:t>
      </w:r>
    </w:p>
    <w:p w14:paraId="4CD1E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2. 结算方式：本工程按实际完成的合格工程量乘以对应固定单价进行最终结算。 </w:t>
      </w:r>
    </w:p>
    <w:p w14:paraId="723F1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条 付款方式 </w:t>
      </w:r>
    </w:p>
    <w:p w14:paraId="4341A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8711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本工程所有款项均采用银行电汇方式支付，甲方付款前乙方需按要求提供合法有效的票据，具体付款节点如下：</w:t>
      </w:r>
    </w:p>
    <w:p w14:paraId="620FB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1EC5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进度款（合同总价60%）：乙方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每月上报已完工程量资料，经甲方确认后</w:t>
      </w:r>
      <w:r>
        <w:rPr>
          <w:rFonts w:hint="eastAsia" w:ascii="微软雅黑" w:hAnsi="微软雅黑" w:eastAsia="微软雅黑" w:cs="微软雅黑"/>
          <w:sz w:val="24"/>
          <w:szCs w:val="24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按月已完</w:t>
      </w:r>
      <w:r>
        <w:rPr>
          <w:rFonts w:hint="eastAsia" w:ascii="微软雅黑" w:hAnsi="微软雅黑" w:eastAsia="微软雅黑" w:cs="微软雅黑"/>
          <w:sz w:val="24"/>
          <w:szCs w:val="24"/>
        </w:rPr>
        <w:t>合格工程量对应总价的60%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支付</w:t>
      </w:r>
      <w:r>
        <w:rPr>
          <w:rFonts w:hint="eastAsia" w:ascii="微软雅黑" w:hAnsi="微软雅黑" w:eastAsia="微软雅黑" w:cs="微软雅黑"/>
          <w:sz w:val="24"/>
          <w:szCs w:val="24"/>
        </w:rPr>
        <w:t>工程进度款。</w:t>
      </w:r>
    </w:p>
    <w:p w14:paraId="2E8ED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验收款（合同总价40%）：本工程全部内容竣工验收合格，双方完成最终结算后，甲方支付至最终结算总价的100%。</w:t>
      </w:r>
    </w:p>
    <w:p w14:paraId="58E06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发票要求：乙方需在甲方支付每笔款项前，向甲方提供对应金额的3%增值税专用发票，否则甲方有权顺延付款，且不承担任何违约责任。</w:t>
      </w:r>
    </w:p>
    <w:p w14:paraId="5E38F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26F1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sz w:val="24"/>
          <w:szCs w:val="24"/>
        </w:rPr>
        <w:t>条 工期</w:t>
      </w:r>
    </w:p>
    <w:p w14:paraId="5ECF9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7090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本工程总工期为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90</w:t>
      </w:r>
      <w:r>
        <w:rPr>
          <w:rFonts w:hint="eastAsia" w:ascii="微软雅黑" w:hAnsi="微软雅黑" w:eastAsia="微软雅黑" w:cs="微软雅黑"/>
          <w:sz w:val="24"/>
          <w:szCs w:val="24"/>
        </w:rPr>
        <w:t>历天，自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日起至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2026</w:t>
      </w:r>
      <w:r>
        <w:rPr>
          <w:rFonts w:hint="eastAsia" w:ascii="微软雅黑" w:hAnsi="微软雅黑" w:eastAsia="微软雅黑" w:cs="微软雅黑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sz w:val="24"/>
          <w:szCs w:val="24"/>
        </w:rPr>
        <w:t>月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30</w:t>
      </w:r>
      <w:r>
        <w:rPr>
          <w:rFonts w:hint="eastAsia" w:ascii="微软雅黑" w:hAnsi="微软雅黑" w:eastAsia="微软雅黑" w:cs="微软雅黑"/>
          <w:sz w:val="24"/>
          <w:szCs w:val="24"/>
        </w:rPr>
        <w:t>日止。</w:t>
      </w:r>
    </w:p>
    <w:p w14:paraId="4EB1E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因甲方原因或不可抗力导致工期延误的，工期相应顺延；因乙方原因导致工期延误的，由乙方承担违约责任。</w:t>
      </w:r>
    </w:p>
    <w:p w14:paraId="01144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CC53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sz w:val="24"/>
          <w:szCs w:val="24"/>
        </w:rPr>
        <w:t>条 双方责任</w:t>
      </w:r>
    </w:p>
    <w:p w14:paraId="3B27C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6A36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（一）甲方责任</w:t>
      </w:r>
    </w:p>
    <w:p w14:paraId="2990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提供施工所需的场地，确保施工期间场地具备施工条件；</w:t>
      </w:r>
    </w:p>
    <w:p w14:paraId="4B222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提供施工所需的图纸、技术交底，协调现场施工相关事宜；</w:t>
      </w:r>
    </w:p>
    <w:p w14:paraId="541A5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按本合同约定按时支付工程款项；</w:t>
      </w:r>
    </w:p>
    <w:p w14:paraId="4D004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及时组织工程竣工验收，不得无故拖延验收流程。</w:t>
      </w:r>
    </w:p>
    <w:p w14:paraId="091F8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9FCE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（二）乙方责任</w:t>
      </w:r>
    </w:p>
    <w:p w14:paraId="1DB4F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严格按照合同约定、图纸及国家现行施工规范、标准施工，确保工程质量符合验收标准；</w:t>
      </w:r>
    </w:p>
    <w:p w14:paraId="40718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严格遵守施工现场安全管理规定，承担施工期间的全部安全责任，如发生安全事故，全部责任及损失由乙方承担；</w:t>
      </w:r>
    </w:p>
    <w:p w14:paraId="01E3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确保按期完工，做好施工过程中的成品保护工作；</w:t>
      </w:r>
    </w:p>
    <w:p w14:paraId="17A27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负责提供竣工验收所需的全部技术资料，配合甲方完成竣工验收工作；</w:t>
      </w:r>
    </w:p>
    <w:p w14:paraId="21629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 负责本工程质保期内的免费维修、整改工作，质保期为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年，自工程竣工验收合格之日起计算。</w:t>
      </w:r>
    </w:p>
    <w:p w14:paraId="30683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7DA4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sz w:val="24"/>
          <w:szCs w:val="24"/>
        </w:rPr>
        <w:t>条 工程验收</w:t>
      </w:r>
    </w:p>
    <w:p w14:paraId="318AA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7674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工程完工后，乙方提交完工验收申请，甲方需在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 w:val="24"/>
          <w:szCs w:val="24"/>
        </w:rPr>
        <w:t>个工作日内组织相关人员进行竣工验收；</w:t>
      </w:r>
    </w:p>
    <w:p w14:paraId="0C405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竣工验收标准：本工程需符合国家现行《建筑给水排水及采暖工程施工质量验收规范》《建筑电气工程施工质量验收规范》《消防给水及消火栓系统技术规范》等相关标准，确保工程通过相关部门验收；</w:t>
      </w:r>
    </w:p>
    <w:p w14:paraId="2B76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验收不合格的，乙方需按甲方要求限期整改，整改费用由乙方承担，工期不予顺延；整改后仍不合格的，乙方需承担相应的违约责任。</w:t>
      </w:r>
    </w:p>
    <w:p w14:paraId="02926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F325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24"/>
          <w:szCs w:val="24"/>
        </w:rPr>
        <w:t>条 违约责任</w:t>
      </w:r>
    </w:p>
    <w:p w14:paraId="4ECA6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313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乙方未按合同约定工期完工的，每逾期一日，按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500元/天</w:t>
      </w:r>
      <w:r>
        <w:rPr>
          <w:rFonts w:hint="eastAsia" w:ascii="微软雅黑" w:hAnsi="微软雅黑" w:eastAsia="微软雅黑" w:cs="微软雅黑"/>
          <w:sz w:val="24"/>
          <w:szCs w:val="24"/>
        </w:rPr>
        <w:t>向甲方支付违约金；逾期超过15日的，甲方有权解除合同，乙方需退还甲方已支付的全部款项，并承担合同暂定总价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sz w:val="24"/>
          <w:szCs w:val="24"/>
        </w:rPr>
        <w:t>%的违约金；</w:t>
      </w:r>
    </w:p>
    <w:p w14:paraId="103F4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 乙方施工质量不符合合同约定及规范标准的，乙方需无偿返修、重做，直至达到验收标准，并承担由此给甲方造成的全部损失；</w:t>
      </w:r>
    </w:p>
    <w:p w14:paraId="2430F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 任何一方违反本合同其他约定的，需赔偿给对方造成的全部经济损失。</w:t>
      </w:r>
    </w:p>
    <w:p w14:paraId="63611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09B2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sz w:val="24"/>
          <w:szCs w:val="24"/>
        </w:rPr>
        <w:t>条 不可抗力</w:t>
      </w:r>
    </w:p>
    <w:p w14:paraId="5AE64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1BB7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因不可抗力导致本合同无法履行的，遭遇不可抗力一方需在24小时内通知对方，并提供相关证明文件，双方可根据不可抗力影响程度，协商解除合同、部分免除责任或顺延工期。</w:t>
      </w:r>
    </w:p>
    <w:p w14:paraId="31744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456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sz w:val="24"/>
          <w:szCs w:val="24"/>
        </w:rPr>
        <w:t>条 争议解决</w:t>
      </w:r>
    </w:p>
    <w:p w14:paraId="2E606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9542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本合同履行过程中发生争议的，双方应友好协商解决；协商不成的，任何一方均有权向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合同签订所</w:t>
      </w:r>
      <w:r>
        <w:rPr>
          <w:rFonts w:hint="eastAsia" w:ascii="微软雅黑" w:hAnsi="微软雅黑" w:eastAsia="微软雅黑" w:cs="微软雅黑"/>
          <w:sz w:val="24"/>
          <w:szCs w:val="24"/>
        </w:rPr>
        <w:t>在地有管辖权的人民法院提起诉讼。</w:t>
      </w:r>
    </w:p>
    <w:p w14:paraId="0861A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DF80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第十条 其他约定</w:t>
      </w:r>
    </w:p>
    <w:p w14:paraId="7C992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6FBB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 本合同附件《柯美给水、消防水、生产用水、照明安装报价清单》为本合同不可分割的组成部分，与本合同具有同等法律效力；</w:t>
      </w:r>
    </w:p>
    <w:p w14:paraId="16077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 本合同未尽事宜，双方可另行签订补充协议，补充协议与本合同具有同等法律效力；</w:t>
      </w:r>
    </w:p>
    <w:p w14:paraId="2E21C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3.乙方食宿自理，甲方不承担任何费用。</w:t>
      </w:r>
    </w:p>
    <w:p w14:paraId="4463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4"/>
          <w:szCs w:val="24"/>
        </w:rPr>
        <w:t>. 本合同一式肆份，甲方执贰份，乙方执贰份，自双方签字盖章之日起生效，具有同等法律效力。</w:t>
      </w:r>
    </w:p>
    <w:p w14:paraId="5C63E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8450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（以下无正文）</w:t>
      </w:r>
    </w:p>
    <w:p w14:paraId="19ADF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E1D4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甲方（盖章）：_______________________</w:t>
      </w:r>
    </w:p>
    <w:p w14:paraId="7C7EA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法定代表人/授权代表人（签字）：_______</w:t>
      </w:r>
    </w:p>
    <w:p w14:paraId="192BE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日期：______年____月____日</w:t>
      </w:r>
    </w:p>
    <w:p w14:paraId="02F7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104E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CC6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66AC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EF3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乙方（盖章）：_______________________</w:t>
      </w:r>
    </w:p>
    <w:p w14:paraId="07DF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法定代表人/授权代表人（签字）：_______</w:t>
      </w:r>
    </w:p>
    <w:p w14:paraId="2680B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日期：______年____月____日</w:t>
      </w:r>
    </w:p>
    <w:p w14:paraId="56594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E3D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AA07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D711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11C66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E4E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D4C9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EA77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25BD4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74291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3433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tbl>
      <w:tblPr>
        <w:tblStyle w:val="5"/>
        <w:tblpPr w:leftFromText="180" w:rightFromText="180" w:vertAnchor="text" w:horzAnchor="page" w:tblpX="1340" w:tblpY="640"/>
        <w:tblOverlap w:val="never"/>
        <w:tblW w:w="83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123"/>
        <w:gridCol w:w="1575"/>
        <w:gridCol w:w="997"/>
        <w:gridCol w:w="954"/>
        <w:gridCol w:w="1941"/>
      </w:tblGrid>
      <w:tr w14:paraId="51CBF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0C5C6AD5">
            <w:pPr>
              <w:pStyle w:val="4"/>
              <w:spacing w:before="166" w:line="221" w:lineRule="auto"/>
              <w:ind w:left="114"/>
              <w:jc w:val="center"/>
            </w:pPr>
            <w:r>
              <w:rPr>
                <w:spacing w:val="7"/>
              </w:rPr>
              <w:t>序号</w:t>
            </w:r>
          </w:p>
        </w:tc>
        <w:tc>
          <w:tcPr>
            <w:tcW w:w="2123" w:type="dxa"/>
            <w:vAlign w:val="top"/>
          </w:tcPr>
          <w:p w14:paraId="6218F59D">
            <w:pPr>
              <w:pStyle w:val="4"/>
              <w:spacing w:before="168" w:line="221" w:lineRule="auto"/>
              <w:jc w:val="center"/>
            </w:pPr>
            <w:r>
              <w:rPr>
                <w:spacing w:val="6"/>
              </w:rPr>
              <w:t>名称</w:t>
            </w:r>
          </w:p>
        </w:tc>
        <w:tc>
          <w:tcPr>
            <w:tcW w:w="1575" w:type="dxa"/>
            <w:vAlign w:val="top"/>
          </w:tcPr>
          <w:p w14:paraId="0CE18FCA">
            <w:pPr>
              <w:pStyle w:val="4"/>
              <w:spacing w:before="165" w:line="219" w:lineRule="auto"/>
              <w:ind w:left="524"/>
              <w:jc w:val="both"/>
            </w:pPr>
            <w:r>
              <w:rPr>
                <w:spacing w:val="5"/>
              </w:rPr>
              <w:t>规格</w:t>
            </w:r>
          </w:p>
        </w:tc>
        <w:tc>
          <w:tcPr>
            <w:tcW w:w="997" w:type="dxa"/>
            <w:vAlign w:val="top"/>
          </w:tcPr>
          <w:p w14:paraId="215E444A">
            <w:pPr>
              <w:pStyle w:val="4"/>
              <w:spacing w:before="165" w:line="220" w:lineRule="auto"/>
              <w:ind w:left="116"/>
              <w:jc w:val="center"/>
            </w:pPr>
            <w:r>
              <w:rPr>
                <w:spacing w:val="4"/>
              </w:rPr>
              <w:t>单位</w:t>
            </w:r>
          </w:p>
        </w:tc>
        <w:tc>
          <w:tcPr>
            <w:tcW w:w="954" w:type="dxa"/>
            <w:vAlign w:val="top"/>
          </w:tcPr>
          <w:p w14:paraId="351D6D09">
            <w:pPr>
              <w:pStyle w:val="4"/>
              <w:spacing w:before="162" w:line="218" w:lineRule="auto"/>
              <w:ind w:left="97"/>
              <w:jc w:val="center"/>
            </w:pPr>
            <w:r>
              <w:rPr>
                <w:spacing w:val="2"/>
              </w:rPr>
              <w:t>单价/元</w:t>
            </w:r>
          </w:p>
        </w:tc>
        <w:tc>
          <w:tcPr>
            <w:tcW w:w="1941" w:type="dxa"/>
            <w:vAlign w:val="top"/>
          </w:tcPr>
          <w:p w14:paraId="1159B4AE">
            <w:pPr>
              <w:pStyle w:val="4"/>
              <w:spacing w:before="166" w:line="221" w:lineRule="auto"/>
              <w:ind w:firstLine="1008" w:firstLineChars="400"/>
              <w:jc w:val="both"/>
            </w:pPr>
            <w:bookmarkStart w:id="0" w:name="_GoBack"/>
            <w:bookmarkEnd w:id="0"/>
            <w:r>
              <w:rPr>
                <w:spacing w:val="6"/>
              </w:rPr>
              <w:t>备注</w:t>
            </w:r>
          </w:p>
        </w:tc>
      </w:tr>
      <w:tr w14:paraId="2D9A2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0A103BDD">
            <w:pPr>
              <w:pStyle w:val="4"/>
              <w:spacing w:before="183" w:line="241" w:lineRule="auto"/>
              <w:ind w:left="294"/>
              <w:jc w:val="both"/>
            </w:pPr>
            <w:r>
              <w:t>1</w:t>
            </w:r>
          </w:p>
        </w:tc>
        <w:tc>
          <w:tcPr>
            <w:tcW w:w="2123" w:type="dxa"/>
            <w:vAlign w:val="top"/>
          </w:tcPr>
          <w:p w14:paraId="0956D634">
            <w:pPr>
              <w:pStyle w:val="4"/>
              <w:spacing w:before="160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0DE06C54">
            <w:pPr>
              <w:pStyle w:val="4"/>
              <w:spacing w:before="221" w:line="183" w:lineRule="auto"/>
              <w:ind w:left="464"/>
              <w:jc w:val="both"/>
            </w:pPr>
            <w:r>
              <w:rPr>
                <w:spacing w:val="-1"/>
              </w:rPr>
              <w:t>DN300</w:t>
            </w:r>
          </w:p>
        </w:tc>
        <w:tc>
          <w:tcPr>
            <w:tcW w:w="997" w:type="dxa"/>
            <w:vAlign w:val="top"/>
          </w:tcPr>
          <w:p w14:paraId="0547FF38">
            <w:pPr>
              <w:pStyle w:val="4"/>
              <w:spacing w:before="160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0A3C9833">
            <w:pPr>
              <w:pStyle w:val="4"/>
              <w:spacing w:before="183"/>
              <w:ind w:left="397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35</w:t>
            </w:r>
          </w:p>
        </w:tc>
        <w:tc>
          <w:tcPr>
            <w:tcW w:w="1941" w:type="dxa"/>
            <w:vMerge w:val="restart"/>
            <w:tcBorders>
              <w:bottom w:val="nil"/>
            </w:tcBorders>
            <w:vAlign w:val="top"/>
          </w:tcPr>
          <w:p w14:paraId="49C9926A">
            <w:pPr>
              <w:jc w:val="center"/>
              <w:rPr>
                <w:rFonts w:ascii="Arial"/>
                <w:sz w:val="21"/>
              </w:rPr>
            </w:pPr>
          </w:p>
          <w:p w14:paraId="5B31B60B">
            <w:pPr>
              <w:spacing w:line="241" w:lineRule="auto"/>
              <w:jc w:val="both"/>
              <w:rPr>
                <w:rFonts w:ascii="Arial"/>
                <w:sz w:val="21"/>
              </w:rPr>
            </w:pPr>
          </w:p>
          <w:p w14:paraId="0F81CF77">
            <w:pPr>
              <w:pStyle w:val="4"/>
              <w:spacing w:before="78" w:line="219" w:lineRule="auto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spacing w:val="2"/>
              </w:rPr>
              <w:t>材料放在指定地点</w:t>
            </w:r>
            <w:r>
              <w:rPr>
                <w:rFonts w:hint="eastAsia"/>
                <w:spacing w:val="2"/>
                <w:lang w:eastAsia="zh-CN"/>
              </w:rPr>
              <w:t>，</w:t>
            </w:r>
            <w:r>
              <w:rPr>
                <w:spacing w:val="1"/>
              </w:rPr>
              <w:t>二次运输由安装单位负责</w:t>
            </w:r>
            <w:r>
              <w:rPr>
                <w:rFonts w:hint="eastAsia"/>
                <w:spacing w:val="1"/>
                <w:lang w:eastAsia="zh-CN"/>
              </w:rPr>
              <w:t>，</w:t>
            </w:r>
            <w:r>
              <w:rPr>
                <w:spacing w:val="1"/>
              </w:rPr>
              <w:t>本安装</w:t>
            </w:r>
            <w:r>
              <w:rPr>
                <w:spacing w:val="-1"/>
              </w:rPr>
              <w:t>报价清单包含二次</w:t>
            </w:r>
            <w:r>
              <w:rPr>
                <w:spacing w:val="5"/>
              </w:rPr>
              <w:t>运输的费用</w:t>
            </w:r>
            <w:r>
              <w:rPr>
                <w:rFonts w:hint="eastAsia"/>
                <w:spacing w:val="5"/>
                <w:lang w:val="en-US" w:eastAsia="zh-CN"/>
              </w:rPr>
              <w:t>、</w:t>
            </w:r>
            <w:r>
              <w:rPr>
                <w:spacing w:val="4"/>
              </w:rPr>
              <w:t>管道打压费用</w:t>
            </w:r>
            <w:r>
              <w:rPr>
                <w:rFonts w:hint="eastAsia"/>
                <w:spacing w:val="4"/>
                <w:lang w:val="en-US" w:eastAsia="zh-CN"/>
              </w:rPr>
              <w:t>、</w:t>
            </w:r>
            <w:r>
              <w:rPr>
                <w:spacing w:val="3"/>
              </w:rPr>
              <w:t>不含管沟开挖和回</w:t>
            </w:r>
            <w:r>
              <w:rPr>
                <w:spacing w:val="1"/>
              </w:rPr>
              <w:t>填，每个阀门井必须按照图纸施工</w:t>
            </w:r>
            <w:r>
              <w:rPr>
                <w:rFonts w:hint="eastAsia"/>
                <w:spacing w:val="1"/>
                <w:lang w:eastAsia="zh-CN"/>
              </w:rPr>
              <w:t>，</w:t>
            </w:r>
            <w:r>
              <w:rPr>
                <w:spacing w:val="1"/>
              </w:rPr>
              <w:t>本报价</w:t>
            </w:r>
            <w:r>
              <w:rPr>
                <w:rFonts w:hint="eastAsia"/>
                <w:spacing w:val="1"/>
                <w:lang w:val="en-US" w:eastAsia="zh-CN"/>
              </w:rPr>
              <w:t>含3%增值税专用发票。</w:t>
            </w:r>
          </w:p>
        </w:tc>
      </w:tr>
      <w:tr w14:paraId="6A729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18D25B70">
            <w:pPr>
              <w:pStyle w:val="4"/>
              <w:spacing w:before="194" w:line="241" w:lineRule="auto"/>
              <w:ind w:left="294"/>
              <w:jc w:val="both"/>
            </w:pPr>
            <w:r>
              <w:t>2</w:t>
            </w:r>
          </w:p>
        </w:tc>
        <w:tc>
          <w:tcPr>
            <w:tcW w:w="2123" w:type="dxa"/>
            <w:vAlign w:val="top"/>
          </w:tcPr>
          <w:p w14:paraId="5FA66206">
            <w:pPr>
              <w:pStyle w:val="4"/>
              <w:spacing w:before="170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6239EFFA">
            <w:pPr>
              <w:pStyle w:val="4"/>
              <w:spacing w:before="232" w:line="183" w:lineRule="auto"/>
              <w:ind w:left="464"/>
              <w:jc w:val="both"/>
            </w:pPr>
            <w:r>
              <w:rPr>
                <w:spacing w:val="-1"/>
              </w:rPr>
              <w:t>DN250</w:t>
            </w:r>
          </w:p>
        </w:tc>
        <w:tc>
          <w:tcPr>
            <w:tcW w:w="997" w:type="dxa"/>
            <w:vAlign w:val="top"/>
          </w:tcPr>
          <w:p w14:paraId="0950DD3F">
            <w:pPr>
              <w:pStyle w:val="4"/>
              <w:spacing w:before="170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43182102">
            <w:pPr>
              <w:pStyle w:val="4"/>
              <w:spacing w:before="194"/>
              <w:ind w:left="397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30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6C3C0560">
            <w:pPr>
              <w:jc w:val="center"/>
              <w:rPr>
                <w:rFonts w:ascii="Arial"/>
                <w:sz w:val="21"/>
              </w:rPr>
            </w:pPr>
          </w:p>
        </w:tc>
      </w:tr>
      <w:tr w14:paraId="7CAB4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3808A694">
            <w:pPr>
              <w:pStyle w:val="4"/>
              <w:spacing w:before="184"/>
              <w:ind w:left="294"/>
              <w:jc w:val="both"/>
            </w:pPr>
            <w:r>
              <w:t>3</w:t>
            </w:r>
          </w:p>
        </w:tc>
        <w:tc>
          <w:tcPr>
            <w:tcW w:w="2123" w:type="dxa"/>
            <w:vAlign w:val="top"/>
          </w:tcPr>
          <w:p w14:paraId="78C8C589">
            <w:pPr>
              <w:pStyle w:val="4"/>
              <w:spacing w:before="161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5343B2F8">
            <w:pPr>
              <w:pStyle w:val="4"/>
              <w:spacing w:before="222" w:line="183" w:lineRule="auto"/>
              <w:ind w:left="464"/>
              <w:jc w:val="both"/>
            </w:pPr>
            <w:r>
              <w:rPr>
                <w:spacing w:val="-1"/>
              </w:rPr>
              <w:t>DN200</w:t>
            </w:r>
          </w:p>
        </w:tc>
        <w:tc>
          <w:tcPr>
            <w:tcW w:w="997" w:type="dxa"/>
            <w:vAlign w:val="top"/>
          </w:tcPr>
          <w:p w14:paraId="35FCA87A">
            <w:pPr>
              <w:pStyle w:val="4"/>
              <w:spacing w:before="161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0A996608">
            <w:pPr>
              <w:pStyle w:val="4"/>
              <w:spacing w:before="184"/>
              <w:ind w:left="397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25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D7493C4">
            <w:pPr>
              <w:jc w:val="center"/>
              <w:rPr>
                <w:rFonts w:ascii="Arial"/>
                <w:sz w:val="21"/>
              </w:rPr>
            </w:pPr>
          </w:p>
        </w:tc>
      </w:tr>
      <w:tr w14:paraId="47BAA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0" w:hRule="atLeast"/>
        </w:trPr>
        <w:tc>
          <w:tcPr>
            <w:tcW w:w="730" w:type="dxa"/>
            <w:vAlign w:val="top"/>
          </w:tcPr>
          <w:p w14:paraId="5F706E34">
            <w:pPr>
              <w:pStyle w:val="4"/>
              <w:spacing w:before="184" w:line="241" w:lineRule="auto"/>
              <w:ind w:left="294"/>
              <w:jc w:val="both"/>
            </w:pPr>
            <w:r>
              <w:t>4</w:t>
            </w:r>
          </w:p>
        </w:tc>
        <w:tc>
          <w:tcPr>
            <w:tcW w:w="2123" w:type="dxa"/>
            <w:vAlign w:val="top"/>
          </w:tcPr>
          <w:p w14:paraId="728CA525">
            <w:pPr>
              <w:pStyle w:val="4"/>
              <w:spacing w:before="161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225D65B8">
            <w:pPr>
              <w:pStyle w:val="4"/>
              <w:spacing w:before="221" w:line="184" w:lineRule="auto"/>
              <w:ind w:left="464"/>
              <w:jc w:val="both"/>
            </w:pPr>
            <w:r>
              <w:rPr>
                <w:spacing w:val="-1"/>
              </w:rPr>
              <w:t>DN150</w:t>
            </w:r>
          </w:p>
        </w:tc>
        <w:tc>
          <w:tcPr>
            <w:tcW w:w="997" w:type="dxa"/>
            <w:vAlign w:val="top"/>
          </w:tcPr>
          <w:p w14:paraId="4C844F85">
            <w:pPr>
              <w:pStyle w:val="4"/>
              <w:spacing w:before="161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40B9A5C1">
            <w:pPr>
              <w:pStyle w:val="4"/>
              <w:spacing w:before="184"/>
              <w:ind w:left="397"/>
              <w:jc w:val="both"/>
            </w:pPr>
            <w:r>
              <w:rPr>
                <w:spacing w:val="-4"/>
              </w:rPr>
              <w:t>2</w:t>
            </w:r>
            <w:r>
              <w:rPr>
                <w:rFonts w:hint="eastAsia"/>
                <w:spacing w:val="-4"/>
                <w:lang w:val="en-US" w:eastAsia="zh-CN"/>
              </w:rPr>
              <w:t>3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0EC85CBB">
            <w:pPr>
              <w:jc w:val="center"/>
              <w:rPr>
                <w:rFonts w:ascii="Arial"/>
                <w:sz w:val="21"/>
              </w:rPr>
            </w:pPr>
          </w:p>
        </w:tc>
      </w:tr>
      <w:tr w14:paraId="1A0C1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90" w:hRule="atLeast"/>
        </w:trPr>
        <w:tc>
          <w:tcPr>
            <w:tcW w:w="730" w:type="dxa"/>
            <w:vAlign w:val="top"/>
          </w:tcPr>
          <w:p w14:paraId="56CD0914">
            <w:pPr>
              <w:pStyle w:val="4"/>
              <w:spacing w:before="195"/>
              <w:ind w:left="294"/>
              <w:jc w:val="both"/>
            </w:pPr>
            <w:r>
              <w:t>5</w:t>
            </w:r>
          </w:p>
        </w:tc>
        <w:tc>
          <w:tcPr>
            <w:tcW w:w="2123" w:type="dxa"/>
            <w:vAlign w:val="top"/>
          </w:tcPr>
          <w:p w14:paraId="155AE604">
            <w:pPr>
              <w:pStyle w:val="4"/>
              <w:spacing w:before="172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4277CA6F">
            <w:pPr>
              <w:pStyle w:val="4"/>
              <w:spacing w:before="232" w:line="184" w:lineRule="auto"/>
              <w:ind w:left="464"/>
              <w:jc w:val="both"/>
            </w:pPr>
            <w:r>
              <w:rPr>
                <w:spacing w:val="-1"/>
              </w:rPr>
              <w:t>DN100</w:t>
            </w:r>
          </w:p>
        </w:tc>
        <w:tc>
          <w:tcPr>
            <w:tcW w:w="997" w:type="dxa"/>
            <w:vAlign w:val="top"/>
          </w:tcPr>
          <w:p w14:paraId="733F344D">
            <w:pPr>
              <w:pStyle w:val="4"/>
              <w:spacing w:before="172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0453E495">
            <w:pPr>
              <w:pStyle w:val="4"/>
              <w:spacing w:before="195" w:line="241" w:lineRule="auto"/>
              <w:ind w:left="397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18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8C59111">
            <w:pPr>
              <w:jc w:val="center"/>
              <w:rPr>
                <w:rFonts w:ascii="Arial"/>
                <w:sz w:val="21"/>
              </w:rPr>
            </w:pPr>
          </w:p>
        </w:tc>
      </w:tr>
      <w:tr w14:paraId="147C6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574A46F6">
            <w:pPr>
              <w:pStyle w:val="4"/>
              <w:spacing w:before="185"/>
              <w:ind w:left="294"/>
              <w:jc w:val="both"/>
            </w:pPr>
            <w:r>
              <w:t>6</w:t>
            </w:r>
          </w:p>
        </w:tc>
        <w:tc>
          <w:tcPr>
            <w:tcW w:w="2123" w:type="dxa"/>
            <w:vAlign w:val="top"/>
          </w:tcPr>
          <w:p w14:paraId="10D73BDA">
            <w:pPr>
              <w:pStyle w:val="4"/>
              <w:spacing w:before="162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34E99D8F">
            <w:pPr>
              <w:pStyle w:val="4"/>
              <w:spacing w:before="223" w:line="183" w:lineRule="auto"/>
              <w:ind w:left="524"/>
              <w:jc w:val="both"/>
            </w:pPr>
            <w:r>
              <w:rPr>
                <w:spacing w:val="-1"/>
              </w:rPr>
              <w:t>DN65</w:t>
            </w:r>
          </w:p>
        </w:tc>
        <w:tc>
          <w:tcPr>
            <w:tcW w:w="997" w:type="dxa"/>
            <w:vAlign w:val="top"/>
          </w:tcPr>
          <w:p w14:paraId="15DE170A">
            <w:pPr>
              <w:pStyle w:val="4"/>
              <w:spacing w:before="162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7F9C1B79">
            <w:pPr>
              <w:pStyle w:val="4"/>
              <w:spacing w:before="185"/>
              <w:ind w:left="397"/>
              <w:jc w:val="both"/>
            </w:pPr>
            <w:r>
              <w:rPr>
                <w:spacing w:val="-7"/>
              </w:rPr>
              <w:t>15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6A7EB563">
            <w:pPr>
              <w:jc w:val="center"/>
              <w:rPr>
                <w:rFonts w:ascii="Arial"/>
                <w:sz w:val="21"/>
              </w:rPr>
            </w:pPr>
          </w:p>
        </w:tc>
      </w:tr>
      <w:tr w14:paraId="39477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01050429">
            <w:pPr>
              <w:pStyle w:val="4"/>
              <w:spacing w:before="186"/>
              <w:ind w:left="294"/>
              <w:jc w:val="both"/>
            </w:pPr>
            <w:r>
              <w:t>7</w:t>
            </w:r>
          </w:p>
        </w:tc>
        <w:tc>
          <w:tcPr>
            <w:tcW w:w="2123" w:type="dxa"/>
            <w:vAlign w:val="top"/>
          </w:tcPr>
          <w:p w14:paraId="7E6A498E">
            <w:pPr>
              <w:pStyle w:val="4"/>
              <w:spacing w:before="163" w:line="219" w:lineRule="auto"/>
              <w:jc w:val="center"/>
            </w:pPr>
            <w:r>
              <w:rPr>
                <w:spacing w:val="-1"/>
              </w:rPr>
              <w:t>PE钢丝骨架管</w:t>
            </w:r>
          </w:p>
        </w:tc>
        <w:tc>
          <w:tcPr>
            <w:tcW w:w="1575" w:type="dxa"/>
            <w:vAlign w:val="top"/>
          </w:tcPr>
          <w:p w14:paraId="2118261F">
            <w:pPr>
              <w:pStyle w:val="4"/>
              <w:spacing w:before="224" w:line="183" w:lineRule="auto"/>
              <w:ind w:left="584"/>
              <w:jc w:val="both"/>
            </w:pPr>
            <w:r>
              <w:rPr>
                <w:rFonts w:hint="eastAsia"/>
                <w:spacing w:val="-2"/>
                <w:lang w:eastAsia="zh-CN"/>
              </w:rPr>
              <w:t>DN50</w:t>
            </w:r>
          </w:p>
        </w:tc>
        <w:tc>
          <w:tcPr>
            <w:tcW w:w="997" w:type="dxa"/>
            <w:vAlign w:val="top"/>
          </w:tcPr>
          <w:p w14:paraId="2B6D9562">
            <w:pPr>
              <w:pStyle w:val="4"/>
              <w:spacing w:before="163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237D4D48">
            <w:pPr>
              <w:pStyle w:val="4"/>
              <w:spacing w:before="186" w:line="241" w:lineRule="auto"/>
              <w:ind w:left="397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6BAFB34C">
            <w:pPr>
              <w:jc w:val="center"/>
              <w:rPr>
                <w:rFonts w:ascii="Arial"/>
                <w:sz w:val="21"/>
              </w:rPr>
            </w:pPr>
          </w:p>
        </w:tc>
      </w:tr>
      <w:tr w14:paraId="1010F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68B3BE9A">
            <w:pPr>
              <w:pStyle w:val="4"/>
              <w:spacing w:before="196"/>
              <w:ind w:left="294"/>
              <w:jc w:val="both"/>
            </w:pPr>
            <w:r>
              <w:t>8</w:t>
            </w:r>
          </w:p>
        </w:tc>
        <w:tc>
          <w:tcPr>
            <w:tcW w:w="2123" w:type="dxa"/>
            <w:vAlign w:val="top"/>
          </w:tcPr>
          <w:p w14:paraId="197EB4E3">
            <w:pPr>
              <w:pStyle w:val="4"/>
              <w:spacing w:before="173" w:line="220" w:lineRule="auto"/>
              <w:jc w:val="center"/>
            </w:pPr>
            <w:r>
              <w:rPr>
                <w:spacing w:val="2"/>
              </w:rPr>
              <w:t>室外地上栓</w:t>
            </w:r>
          </w:p>
        </w:tc>
        <w:tc>
          <w:tcPr>
            <w:tcW w:w="1575" w:type="dxa"/>
            <w:vAlign w:val="top"/>
          </w:tcPr>
          <w:p w14:paraId="7C5AC8D8">
            <w:pPr>
              <w:pStyle w:val="4"/>
              <w:spacing w:before="233" w:line="184" w:lineRule="auto"/>
              <w:ind w:left="404"/>
              <w:jc w:val="both"/>
            </w:pPr>
            <w:r>
              <w:rPr>
                <w:spacing w:val="-2"/>
              </w:rPr>
              <w:t>SSF100</w:t>
            </w:r>
          </w:p>
        </w:tc>
        <w:tc>
          <w:tcPr>
            <w:tcW w:w="997" w:type="dxa"/>
            <w:vAlign w:val="top"/>
          </w:tcPr>
          <w:p w14:paraId="72B08177">
            <w:pPr>
              <w:pStyle w:val="4"/>
              <w:spacing w:before="173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1B2B4427">
            <w:pPr>
              <w:pStyle w:val="4"/>
              <w:spacing w:before="196"/>
              <w:ind w:left="337"/>
              <w:jc w:val="both"/>
            </w:pPr>
            <w:r>
              <w:rPr>
                <w:spacing w:val="-7"/>
              </w:rPr>
              <w:t>180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2726D6CC">
            <w:pPr>
              <w:jc w:val="center"/>
              <w:rPr>
                <w:rFonts w:ascii="Arial"/>
                <w:sz w:val="21"/>
              </w:rPr>
            </w:pPr>
          </w:p>
        </w:tc>
      </w:tr>
      <w:tr w14:paraId="38FA1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4769B7BF">
            <w:pPr>
              <w:pStyle w:val="4"/>
              <w:spacing w:before="186"/>
              <w:ind w:left="294"/>
              <w:jc w:val="both"/>
            </w:pPr>
            <w:r>
              <w:t>9</w:t>
            </w:r>
          </w:p>
        </w:tc>
        <w:tc>
          <w:tcPr>
            <w:tcW w:w="2123" w:type="dxa"/>
            <w:vAlign w:val="top"/>
          </w:tcPr>
          <w:p w14:paraId="5E3E2E10">
            <w:pPr>
              <w:pStyle w:val="4"/>
              <w:spacing w:before="163" w:line="219" w:lineRule="auto"/>
              <w:jc w:val="center"/>
            </w:pPr>
            <w:r>
              <w:rPr>
                <w:rFonts w:hint="eastAsia"/>
                <w:spacing w:val="2"/>
                <w:lang w:eastAsia="zh-CN"/>
              </w:rPr>
              <w:t>水泵接合器</w:t>
            </w:r>
          </w:p>
        </w:tc>
        <w:tc>
          <w:tcPr>
            <w:tcW w:w="1575" w:type="dxa"/>
            <w:vAlign w:val="top"/>
          </w:tcPr>
          <w:p w14:paraId="565C1864">
            <w:pPr>
              <w:pStyle w:val="4"/>
              <w:spacing w:before="223" w:line="184" w:lineRule="auto"/>
              <w:ind w:left="464"/>
              <w:jc w:val="both"/>
            </w:pPr>
            <w:r>
              <w:rPr>
                <w:spacing w:val="-1"/>
              </w:rPr>
              <w:t>DN100</w:t>
            </w:r>
          </w:p>
        </w:tc>
        <w:tc>
          <w:tcPr>
            <w:tcW w:w="997" w:type="dxa"/>
            <w:vAlign w:val="top"/>
          </w:tcPr>
          <w:p w14:paraId="7AD8FA72">
            <w:pPr>
              <w:pStyle w:val="4"/>
              <w:spacing w:before="163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376C81D5">
            <w:pPr>
              <w:pStyle w:val="4"/>
              <w:spacing w:before="186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37C824EF">
            <w:pPr>
              <w:jc w:val="center"/>
              <w:rPr>
                <w:rFonts w:ascii="Arial"/>
                <w:sz w:val="21"/>
              </w:rPr>
            </w:pPr>
          </w:p>
        </w:tc>
      </w:tr>
      <w:tr w14:paraId="543593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1F594376">
            <w:pPr>
              <w:pStyle w:val="4"/>
              <w:spacing w:before="197"/>
              <w:ind w:left="234"/>
              <w:jc w:val="both"/>
            </w:pPr>
            <w:r>
              <w:rPr>
                <w:spacing w:val="-7"/>
              </w:rPr>
              <w:t>10</w:t>
            </w:r>
          </w:p>
        </w:tc>
        <w:tc>
          <w:tcPr>
            <w:tcW w:w="2123" w:type="dxa"/>
            <w:vAlign w:val="top"/>
          </w:tcPr>
          <w:p w14:paraId="6F911093">
            <w:pPr>
              <w:pStyle w:val="4"/>
              <w:spacing w:before="174" w:line="220" w:lineRule="auto"/>
              <w:jc w:val="center"/>
            </w:pPr>
            <w:r>
              <w:rPr>
                <w:spacing w:val="4"/>
              </w:rPr>
              <w:t>闸阀</w:t>
            </w:r>
            <w:r>
              <w:rPr>
                <w:rFonts w:hint="eastAsia"/>
                <w:spacing w:val="4"/>
                <w:lang w:eastAsia="zh-CN"/>
              </w:rPr>
              <w:t>蝶阀</w:t>
            </w:r>
          </w:p>
        </w:tc>
        <w:tc>
          <w:tcPr>
            <w:tcW w:w="1575" w:type="dxa"/>
            <w:vAlign w:val="top"/>
          </w:tcPr>
          <w:p w14:paraId="63A1B0FA">
            <w:pPr>
              <w:pStyle w:val="4"/>
              <w:spacing w:before="235" w:line="183" w:lineRule="auto"/>
              <w:ind w:left="464"/>
              <w:jc w:val="both"/>
            </w:pPr>
            <w:r>
              <w:rPr>
                <w:spacing w:val="-1"/>
              </w:rPr>
              <w:t>DN300</w:t>
            </w:r>
          </w:p>
        </w:tc>
        <w:tc>
          <w:tcPr>
            <w:tcW w:w="997" w:type="dxa"/>
            <w:vAlign w:val="top"/>
          </w:tcPr>
          <w:p w14:paraId="6FD7334F">
            <w:pPr>
              <w:pStyle w:val="4"/>
              <w:spacing w:before="174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105F9BC8">
            <w:pPr>
              <w:pStyle w:val="4"/>
              <w:spacing w:before="197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6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114F425">
            <w:pPr>
              <w:jc w:val="center"/>
              <w:rPr>
                <w:rFonts w:ascii="Arial"/>
                <w:sz w:val="21"/>
              </w:rPr>
            </w:pPr>
          </w:p>
        </w:tc>
      </w:tr>
      <w:tr w14:paraId="7845E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7B260619">
            <w:pPr>
              <w:pStyle w:val="4"/>
              <w:spacing w:before="187" w:line="241" w:lineRule="auto"/>
              <w:ind w:left="234"/>
              <w:jc w:val="both"/>
            </w:pPr>
            <w:r>
              <w:rPr>
                <w:spacing w:val="-7"/>
              </w:rPr>
              <w:t>11</w:t>
            </w:r>
          </w:p>
        </w:tc>
        <w:tc>
          <w:tcPr>
            <w:tcW w:w="2123" w:type="dxa"/>
            <w:vAlign w:val="top"/>
          </w:tcPr>
          <w:p w14:paraId="396BCB84">
            <w:pPr>
              <w:pStyle w:val="4"/>
              <w:spacing w:before="164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1FDB244D">
            <w:pPr>
              <w:pStyle w:val="4"/>
              <w:spacing w:before="225" w:line="183" w:lineRule="auto"/>
              <w:ind w:left="464"/>
              <w:jc w:val="both"/>
            </w:pPr>
            <w:r>
              <w:rPr>
                <w:spacing w:val="-1"/>
              </w:rPr>
              <w:t>DN250</w:t>
            </w:r>
          </w:p>
        </w:tc>
        <w:tc>
          <w:tcPr>
            <w:tcW w:w="997" w:type="dxa"/>
            <w:vAlign w:val="top"/>
          </w:tcPr>
          <w:p w14:paraId="1E9952B9">
            <w:pPr>
              <w:pStyle w:val="4"/>
              <w:spacing w:before="164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5570AF05">
            <w:pPr>
              <w:pStyle w:val="4"/>
              <w:spacing w:before="187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4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5B52DB0F">
            <w:pPr>
              <w:jc w:val="center"/>
              <w:rPr>
                <w:rFonts w:ascii="Arial"/>
                <w:sz w:val="21"/>
              </w:rPr>
            </w:pPr>
          </w:p>
        </w:tc>
      </w:tr>
      <w:tr w14:paraId="088F5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2C394ABE">
            <w:pPr>
              <w:pStyle w:val="4"/>
              <w:spacing w:before="198" w:line="241" w:lineRule="auto"/>
              <w:ind w:left="234"/>
              <w:jc w:val="both"/>
            </w:pPr>
            <w:r>
              <w:rPr>
                <w:spacing w:val="-7"/>
              </w:rPr>
              <w:t>12</w:t>
            </w:r>
          </w:p>
        </w:tc>
        <w:tc>
          <w:tcPr>
            <w:tcW w:w="2123" w:type="dxa"/>
            <w:vAlign w:val="top"/>
          </w:tcPr>
          <w:p w14:paraId="60751429">
            <w:pPr>
              <w:pStyle w:val="4"/>
              <w:spacing w:before="175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29BBD04E">
            <w:pPr>
              <w:pStyle w:val="4"/>
              <w:spacing w:before="236" w:line="183" w:lineRule="auto"/>
              <w:ind w:left="464"/>
              <w:jc w:val="both"/>
            </w:pPr>
            <w:r>
              <w:rPr>
                <w:spacing w:val="-1"/>
              </w:rPr>
              <w:t>DN200</w:t>
            </w:r>
          </w:p>
        </w:tc>
        <w:tc>
          <w:tcPr>
            <w:tcW w:w="997" w:type="dxa"/>
            <w:vAlign w:val="top"/>
          </w:tcPr>
          <w:p w14:paraId="151E8783">
            <w:pPr>
              <w:pStyle w:val="4"/>
              <w:spacing w:before="174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37E025D4">
            <w:pPr>
              <w:pStyle w:val="4"/>
              <w:spacing w:before="198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2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48BC49D2">
            <w:pPr>
              <w:jc w:val="center"/>
              <w:rPr>
                <w:rFonts w:ascii="Arial"/>
                <w:sz w:val="21"/>
              </w:rPr>
            </w:pPr>
          </w:p>
        </w:tc>
      </w:tr>
      <w:tr w14:paraId="6DE03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6B35126E">
            <w:pPr>
              <w:pStyle w:val="4"/>
              <w:spacing w:before="198"/>
              <w:ind w:left="234"/>
              <w:jc w:val="both"/>
            </w:pPr>
            <w:r>
              <w:rPr>
                <w:spacing w:val="-7"/>
              </w:rPr>
              <w:t>13</w:t>
            </w:r>
          </w:p>
        </w:tc>
        <w:tc>
          <w:tcPr>
            <w:tcW w:w="2123" w:type="dxa"/>
            <w:vAlign w:val="top"/>
          </w:tcPr>
          <w:p w14:paraId="3803DC09">
            <w:pPr>
              <w:pStyle w:val="4"/>
              <w:spacing w:before="175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1B23914E">
            <w:pPr>
              <w:pStyle w:val="4"/>
              <w:spacing w:before="235" w:line="184" w:lineRule="auto"/>
              <w:ind w:left="464"/>
              <w:jc w:val="both"/>
            </w:pPr>
            <w:r>
              <w:rPr>
                <w:spacing w:val="-1"/>
              </w:rPr>
              <w:t>DN150</w:t>
            </w:r>
          </w:p>
        </w:tc>
        <w:tc>
          <w:tcPr>
            <w:tcW w:w="997" w:type="dxa"/>
            <w:vAlign w:val="top"/>
          </w:tcPr>
          <w:p w14:paraId="14645187">
            <w:pPr>
              <w:pStyle w:val="4"/>
              <w:spacing w:before="174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25DFE475">
            <w:pPr>
              <w:pStyle w:val="4"/>
              <w:spacing w:before="198"/>
              <w:ind w:left="337"/>
              <w:jc w:val="both"/>
            </w:pPr>
            <w:r>
              <w:rPr>
                <w:spacing w:val="-7"/>
              </w:rPr>
              <w:t>100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3FEB9192">
            <w:pPr>
              <w:jc w:val="center"/>
              <w:rPr>
                <w:rFonts w:ascii="Arial"/>
                <w:sz w:val="21"/>
              </w:rPr>
            </w:pPr>
          </w:p>
        </w:tc>
      </w:tr>
      <w:tr w14:paraId="2693A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415CB727">
            <w:pPr>
              <w:pStyle w:val="4"/>
              <w:spacing w:before="189" w:line="241" w:lineRule="auto"/>
              <w:ind w:left="234"/>
              <w:jc w:val="both"/>
            </w:pPr>
            <w:r>
              <w:rPr>
                <w:spacing w:val="-7"/>
              </w:rPr>
              <w:t>14</w:t>
            </w:r>
          </w:p>
        </w:tc>
        <w:tc>
          <w:tcPr>
            <w:tcW w:w="2123" w:type="dxa"/>
            <w:vAlign w:val="top"/>
          </w:tcPr>
          <w:p w14:paraId="7204C54B">
            <w:pPr>
              <w:pStyle w:val="4"/>
              <w:spacing w:before="166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78999FE2">
            <w:pPr>
              <w:pStyle w:val="4"/>
              <w:spacing w:before="226" w:line="184" w:lineRule="auto"/>
              <w:ind w:left="464"/>
              <w:jc w:val="both"/>
            </w:pPr>
            <w:r>
              <w:rPr>
                <w:spacing w:val="-1"/>
              </w:rPr>
              <w:t>DN100</w:t>
            </w:r>
          </w:p>
        </w:tc>
        <w:tc>
          <w:tcPr>
            <w:tcW w:w="997" w:type="dxa"/>
            <w:vAlign w:val="top"/>
          </w:tcPr>
          <w:p w14:paraId="44405621">
            <w:pPr>
              <w:pStyle w:val="4"/>
              <w:spacing w:before="165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48AD055B">
            <w:pPr>
              <w:pStyle w:val="4"/>
              <w:spacing w:before="189"/>
              <w:ind w:left="397"/>
              <w:jc w:val="both"/>
            </w:pPr>
            <w:r>
              <w:rPr>
                <w:spacing w:val="-3"/>
              </w:rPr>
              <w:t>80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1B019C4">
            <w:pPr>
              <w:jc w:val="center"/>
              <w:rPr>
                <w:rFonts w:ascii="Arial"/>
                <w:sz w:val="21"/>
              </w:rPr>
            </w:pPr>
          </w:p>
        </w:tc>
      </w:tr>
      <w:tr w14:paraId="0FE08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1EEF77DC">
            <w:pPr>
              <w:pStyle w:val="4"/>
              <w:spacing w:before="199"/>
              <w:ind w:left="234"/>
              <w:jc w:val="both"/>
            </w:pPr>
            <w:r>
              <w:rPr>
                <w:spacing w:val="-7"/>
              </w:rPr>
              <w:t>15</w:t>
            </w:r>
          </w:p>
        </w:tc>
        <w:tc>
          <w:tcPr>
            <w:tcW w:w="2123" w:type="dxa"/>
            <w:vAlign w:val="top"/>
          </w:tcPr>
          <w:p w14:paraId="5BFCFDA2">
            <w:pPr>
              <w:pStyle w:val="4"/>
              <w:spacing w:before="176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67FC7D10">
            <w:pPr>
              <w:pStyle w:val="4"/>
              <w:spacing w:before="237" w:line="183" w:lineRule="auto"/>
              <w:ind w:left="524"/>
              <w:jc w:val="both"/>
            </w:pPr>
            <w:r>
              <w:rPr>
                <w:spacing w:val="-1"/>
              </w:rPr>
              <w:t>DN65</w:t>
            </w:r>
          </w:p>
        </w:tc>
        <w:tc>
          <w:tcPr>
            <w:tcW w:w="997" w:type="dxa"/>
            <w:vAlign w:val="top"/>
          </w:tcPr>
          <w:p w14:paraId="71D1C04C">
            <w:pPr>
              <w:pStyle w:val="4"/>
              <w:spacing w:before="175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36A143A8">
            <w:pPr>
              <w:pStyle w:val="4"/>
              <w:spacing w:before="199"/>
              <w:ind w:left="397"/>
              <w:jc w:val="both"/>
            </w:pPr>
            <w:r>
              <w:rPr>
                <w:spacing w:val="-3"/>
              </w:rPr>
              <w:t>60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59848EEE">
            <w:pPr>
              <w:jc w:val="center"/>
              <w:rPr>
                <w:rFonts w:ascii="Arial"/>
                <w:sz w:val="21"/>
              </w:rPr>
            </w:pPr>
          </w:p>
        </w:tc>
      </w:tr>
      <w:tr w14:paraId="3DA98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037A415E">
            <w:pPr>
              <w:pStyle w:val="4"/>
              <w:spacing w:before="200"/>
              <w:ind w:left="234"/>
              <w:jc w:val="both"/>
            </w:pPr>
            <w:r>
              <w:rPr>
                <w:spacing w:val="-7"/>
              </w:rPr>
              <w:t>16</w:t>
            </w:r>
          </w:p>
        </w:tc>
        <w:tc>
          <w:tcPr>
            <w:tcW w:w="2123" w:type="dxa"/>
            <w:vAlign w:val="top"/>
          </w:tcPr>
          <w:p w14:paraId="46B73D94">
            <w:pPr>
              <w:pStyle w:val="4"/>
              <w:spacing w:before="177" w:line="220" w:lineRule="auto"/>
              <w:jc w:val="center"/>
            </w:pPr>
            <w:r>
              <w:rPr>
                <w:spacing w:val="4"/>
              </w:rPr>
              <w:t>闸阀蝶阀</w:t>
            </w:r>
          </w:p>
        </w:tc>
        <w:tc>
          <w:tcPr>
            <w:tcW w:w="1575" w:type="dxa"/>
            <w:vAlign w:val="top"/>
          </w:tcPr>
          <w:p w14:paraId="45CC1E8F">
            <w:pPr>
              <w:pStyle w:val="4"/>
              <w:spacing w:before="238" w:line="183" w:lineRule="auto"/>
              <w:ind w:left="524"/>
              <w:jc w:val="both"/>
            </w:pPr>
            <w:r>
              <w:rPr>
                <w:spacing w:val="-1"/>
              </w:rPr>
              <w:t>DN50</w:t>
            </w:r>
          </w:p>
        </w:tc>
        <w:tc>
          <w:tcPr>
            <w:tcW w:w="997" w:type="dxa"/>
            <w:vAlign w:val="top"/>
          </w:tcPr>
          <w:p w14:paraId="426F6E21">
            <w:pPr>
              <w:pStyle w:val="4"/>
              <w:spacing w:before="177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6291200A">
            <w:pPr>
              <w:pStyle w:val="4"/>
              <w:spacing w:before="200"/>
              <w:ind w:left="397"/>
              <w:jc w:val="both"/>
            </w:pPr>
            <w:r>
              <w:rPr>
                <w:spacing w:val="-4"/>
              </w:rPr>
              <w:t>50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3D136A84">
            <w:pPr>
              <w:jc w:val="center"/>
              <w:rPr>
                <w:rFonts w:ascii="Arial"/>
                <w:sz w:val="21"/>
              </w:rPr>
            </w:pPr>
          </w:p>
        </w:tc>
      </w:tr>
      <w:tr w14:paraId="6650A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39AC093C">
            <w:pPr>
              <w:pStyle w:val="4"/>
              <w:spacing w:before="191"/>
              <w:ind w:left="234"/>
              <w:jc w:val="both"/>
            </w:pPr>
            <w:r>
              <w:rPr>
                <w:spacing w:val="-7"/>
              </w:rPr>
              <w:t>17</w:t>
            </w:r>
          </w:p>
        </w:tc>
        <w:tc>
          <w:tcPr>
            <w:tcW w:w="2123" w:type="dxa"/>
            <w:vAlign w:val="top"/>
          </w:tcPr>
          <w:p w14:paraId="08332EA5">
            <w:pPr>
              <w:pStyle w:val="4"/>
              <w:spacing w:before="168" w:line="219" w:lineRule="auto"/>
              <w:jc w:val="center"/>
            </w:pPr>
            <w:r>
              <w:rPr>
                <w:spacing w:val="5"/>
              </w:rPr>
              <w:t>水表</w:t>
            </w:r>
          </w:p>
        </w:tc>
        <w:tc>
          <w:tcPr>
            <w:tcW w:w="1575" w:type="dxa"/>
            <w:vAlign w:val="top"/>
          </w:tcPr>
          <w:p w14:paraId="08AFA321">
            <w:pPr>
              <w:pStyle w:val="4"/>
              <w:spacing w:before="228" w:line="184" w:lineRule="auto"/>
              <w:ind w:left="464"/>
              <w:jc w:val="both"/>
            </w:pPr>
            <w:r>
              <w:rPr>
                <w:spacing w:val="-1"/>
              </w:rPr>
              <w:t>DN150</w:t>
            </w:r>
          </w:p>
        </w:tc>
        <w:tc>
          <w:tcPr>
            <w:tcW w:w="997" w:type="dxa"/>
            <w:vAlign w:val="top"/>
          </w:tcPr>
          <w:p w14:paraId="2767F2FF">
            <w:pPr>
              <w:pStyle w:val="4"/>
              <w:spacing w:before="168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0292BCD9">
            <w:pPr>
              <w:pStyle w:val="4"/>
              <w:spacing w:before="191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59B0C8B">
            <w:pPr>
              <w:jc w:val="center"/>
              <w:rPr>
                <w:rFonts w:ascii="Arial"/>
                <w:sz w:val="21"/>
              </w:rPr>
            </w:pPr>
          </w:p>
        </w:tc>
      </w:tr>
      <w:tr w14:paraId="0BB24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4B48AB7B">
            <w:pPr>
              <w:pStyle w:val="4"/>
              <w:spacing w:before="201"/>
              <w:ind w:left="234"/>
              <w:jc w:val="both"/>
            </w:pPr>
            <w:r>
              <w:rPr>
                <w:spacing w:val="-7"/>
              </w:rPr>
              <w:t>18</w:t>
            </w:r>
          </w:p>
        </w:tc>
        <w:tc>
          <w:tcPr>
            <w:tcW w:w="2123" w:type="dxa"/>
            <w:vAlign w:val="top"/>
          </w:tcPr>
          <w:p w14:paraId="780EE493">
            <w:pPr>
              <w:pStyle w:val="4"/>
              <w:spacing w:before="178" w:line="220" w:lineRule="auto"/>
              <w:jc w:val="center"/>
            </w:pPr>
            <w:r>
              <w:rPr>
                <w:spacing w:val="2"/>
              </w:rPr>
              <w:t>倒流防止器</w:t>
            </w:r>
          </w:p>
        </w:tc>
        <w:tc>
          <w:tcPr>
            <w:tcW w:w="1575" w:type="dxa"/>
            <w:vAlign w:val="top"/>
          </w:tcPr>
          <w:p w14:paraId="464FA4C3">
            <w:pPr>
              <w:pStyle w:val="4"/>
              <w:spacing w:before="238" w:line="184" w:lineRule="auto"/>
              <w:ind w:left="464"/>
              <w:jc w:val="both"/>
            </w:pPr>
            <w:r>
              <w:rPr>
                <w:spacing w:val="-1"/>
              </w:rPr>
              <w:t>DN150</w:t>
            </w:r>
          </w:p>
        </w:tc>
        <w:tc>
          <w:tcPr>
            <w:tcW w:w="997" w:type="dxa"/>
            <w:vAlign w:val="top"/>
          </w:tcPr>
          <w:p w14:paraId="6B1AC317">
            <w:pPr>
              <w:pStyle w:val="4"/>
              <w:spacing w:before="178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763BE9B8">
            <w:pPr>
              <w:pStyle w:val="4"/>
              <w:spacing w:before="201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196E8DE8">
            <w:pPr>
              <w:jc w:val="center"/>
              <w:rPr>
                <w:rFonts w:ascii="Arial"/>
                <w:sz w:val="21"/>
              </w:rPr>
            </w:pPr>
          </w:p>
        </w:tc>
      </w:tr>
      <w:tr w14:paraId="184FF4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42F001EE">
            <w:pPr>
              <w:pStyle w:val="4"/>
              <w:spacing w:before="202"/>
              <w:ind w:left="234"/>
              <w:jc w:val="both"/>
            </w:pPr>
            <w:r>
              <w:rPr>
                <w:spacing w:val="-7"/>
              </w:rPr>
              <w:t>19</w:t>
            </w:r>
          </w:p>
        </w:tc>
        <w:tc>
          <w:tcPr>
            <w:tcW w:w="2123" w:type="dxa"/>
            <w:vAlign w:val="top"/>
          </w:tcPr>
          <w:p w14:paraId="5B25728F">
            <w:pPr>
              <w:pStyle w:val="4"/>
              <w:spacing w:before="182" w:line="221" w:lineRule="auto"/>
              <w:jc w:val="center"/>
            </w:pPr>
            <w:r>
              <w:rPr>
                <w:spacing w:val="3"/>
              </w:rPr>
              <w:t>过滤器</w:t>
            </w:r>
          </w:p>
        </w:tc>
        <w:tc>
          <w:tcPr>
            <w:tcW w:w="1575" w:type="dxa"/>
            <w:vAlign w:val="top"/>
          </w:tcPr>
          <w:p w14:paraId="198D9654">
            <w:pPr>
              <w:pStyle w:val="4"/>
              <w:spacing w:before="239" w:line="184" w:lineRule="auto"/>
              <w:ind w:left="464"/>
              <w:jc w:val="both"/>
            </w:pPr>
            <w:r>
              <w:rPr>
                <w:spacing w:val="-1"/>
              </w:rPr>
              <w:t>DN150</w:t>
            </w:r>
          </w:p>
        </w:tc>
        <w:tc>
          <w:tcPr>
            <w:tcW w:w="997" w:type="dxa"/>
            <w:vAlign w:val="top"/>
          </w:tcPr>
          <w:p w14:paraId="0C03F4A0">
            <w:pPr>
              <w:pStyle w:val="4"/>
              <w:spacing w:before="178" w:line="219" w:lineRule="auto"/>
              <w:ind w:left="236"/>
              <w:jc w:val="center"/>
            </w:pPr>
            <w:r>
              <w:t>个</w:t>
            </w:r>
          </w:p>
        </w:tc>
        <w:tc>
          <w:tcPr>
            <w:tcW w:w="954" w:type="dxa"/>
            <w:vAlign w:val="top"/>
          </w:tcPr>
          <w:p w14:paraId="29E5E399">
            <w:pPr>
              <w:pStyle w:val="4"/>
              <w:spacing w:before="202"/>
              <w:ind w:left="337"/>
              <w:jc w:val="both"/>
            </w:pPr>
            <w:r>
              <w:rPr>
                <w:spacing w:val="-7"/>
              </w:rPr>
              <w:t>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  <w:r>
              <w:rPr>
                <w:spacing w:val="-7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590F9E43">
            <w:pPr>
              <w:jc w:val="center"/>
              <w:rPr>
                <w:rFonts w:ascii="Arial"/>
                <w:sz w:val="21"/>
              </w:rPr>
            </w:pPr>
          </w:p>
        </w:tc>
      </w:tr>
      <w:tr w14:paraId="7A434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30" w:type="dxa"/>
            <w:vAlign w:val="top"/>
          </w:tcPr>
          <w:p w14:paraId="0BFEEE4D">
            <w:pPr>
              <w:pStyle w:val="4"/>
              <w:spacing w:before="202"/>
              <w:ind w:left="234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4"/>
              </w:rPr>
              <w:t>20</w:t>
            </w:r>
          </w:p>
        </w:tc>
        <w:tc>
          <w:tcPr>
            <w:tcW w:w="2123" w:type="dxa"/>
            <w:vAlign w:val="top"/>
          </w:tcPr>
          <w:p w14:paraId="05B31320">
            <w:pPr>
              <w:pStyle w:val="4"/>
              <w:spacing w:before="178" w:line="219" w:lineRule="auto"/>
              <w:jc w:val="center"/>
            </w:pPr>
            <w:r>
              <w:rPr>
                <w:spacing w:val="2"/>
              </w:rPr>
              <w:t>照明安装</w:t>
            </w:r>
          </w:p>
        </w:tc>
        <w:tc>
          <w:tcPr>
            <w:tcW w:w="1575" w:type="dxa"/>
            <w:vAlign w:val="top"/>
          </w:tcPr>
          <w:p w14:paraId="4EDC6694">
            <w:pPr>
              <w:jc w:val="center"/>
              <w:rPr>
                <w:rFonts w:ascii="Arial"/>
                <w:sz w:val="21"/>
              </w:rPr>
            </w:pPr>
          </w:p>
        </w:tc>
        <w:tc>
          <w:tcPr>
            <w:tcW w:w="997" w:type="dxa"/>
            <w:vAlign w:val="top"/>
          </w:tcPr>
          <w:p w14:paraId="47554226">
            <w:pPr>
              <w:pStyle w:val="4"/>
              <w:spacing w:before="49" w:line="196" w:lineRule="auto"/>
              <w:ind w:left="215" w:right="120" w:hanging="99"/>
              <w:jc w:val="center"/>
            </w:pPr>
            <w:r>
              <w:rPr>
                <w:spacing w:val="-5"/>
              </w:rPr>
              <w:t>平方</w:t>
            </w:r>
            <w:r>
              <w:t xml:space="preserve"> 米</w:t>
            </w:r>
          </w:p>
        </w:tc>
        <w:tc>
          <w:tcPr>
            <w:tcW w:w="954" w:type="dxa"/>
            <w:vAlign w:val="top"/>
          </w:tcPr>
          <w:p w14:paraId="6AB8760A">
            <w:pPr>
              <w:pStyle w:val="4"/>
              <w:spacing w:before="202"/>
              <w:ind w:left="397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18</w:t>
            </w:r>
          </w:p>
        </w:tc>
        <w:tc>
          <w:tcPr>
            <w:tcW w:w="1941" w:type="dxa"/>
            <w:vMerge w:val="continue"/>
            <w:tcBorders>
              <w:top w:val="nil"/>
              <w:bottom w:val="nil"/>
            </w:tcBorders>
            <w:vAlign w:val="top"/>
          </w:tcPr>
          <w:p w14:paraId="22A18DD5">
            <w:pPr>
              <w:jc w:val="center"/>
              <w:rPr>
                <w:rFonts w:ascii="Arial"/>
                <w:sz w:val="21"/>
              </w:rPr>
            </w:pPr>
          </w:p>
        </w:tc>
      </w:tr>
      <w:tr w14:paraId="66DFB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30" w:type="dxa"/>
            <w:vAlign w:val="top"/>
          </w:tcPr>
          <w:p w14:paraId="2C6F8FA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2123" w:type="dxa"/>
            <w:vAlign w:val="top"/>
          </w:tcPr>
          <w:p w14:paraId="0A663505">
            <w:pPr>
              <w:pStyle w:val="4"/>
              <w:spacing w:before="169" w:line="219" w:lineRule="auto"/>
              <w:jc w:val="center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PE管</w:t>
            </w:r>
          </w:p>
        </w:tc>
        <w:tc>
          <w:tcPr>
            <w:tcW w:w="1575" w:type="dxa"/>
            <w:vAlign w:val="top"/>
          </w:tcPr>
          <w:p w14:paraId="684E0303">
            <w:pPr>
              <w:pStyle w:val="4"/>
              <w:spacing w:before="231" w:line="183" w:lineRule="auto"/>
              <w:ind w:left="464"/>
              <w:jc w:val="both"/>
            </w:pPr>
            <w:r>
              <w:rPr>
                <w:spacing w:val="-1"/>
              </w:rPr>
              <w:t>DN600</w:t>
            </w:r>
          </w:p>
        </w:tc>
        <w:tc>
          <w:tcPr>
            <w:tcW w:w="997" w:type="dxa"/>
            <w:vAlign w:val="top"/>
          </w:tcPr>
          <w:p w14:paraId="660AC5C4">
            <w:pPr>
              <w:pStyle w:val="4"/>
              <w:spacing w:before="169" w:line="219" w:lineRule="auto"/>
              <w:ind w:left="236"/>
              <w:jc w:val="center"/>
            </w:pPr>
            <w:r>
              <w:t>米</w:t>
            </w:r>
          </w:p>
        </w:tc>
        <w:tc>
          <w:tcPr>
            <w:tcW w:w="954" w:type="dxa"/>
            <w:vAlign w:val="top"/>
          </w:tcPr>
          <w:p w14:paraId="0A701FFF">
            <w:pPr>
              <w:pStyle w:val="4"/>
              <w:spacing w:before="193"/>
              <w:ind w:left="337"/>
              <w:jc w:val="both"/>
              <w:rPr>
                <w:rFonts w:hint="eastAsia" w:eastAsia="宋体"/>
                <w:lang w:eastAsia="zh-CN"/>
              </w:rPr>
            </w:pPr>
            <w:r>
              <w:rPr>
                <w:spacing w:val="-7"/>
              </w:rPr>
              <w:t>11</w:t>
            </w:r>
            <w:r>
              <w:rPr>
                <w:rFonts w:hint="eastAsia"/>
                <w:spacing w:val="-7"/>
                <w:lang w:val="en-US" w:eastAsia="zh-CN"/>
              </w:rPr>
              <w:t>0</w:t>
            </w:r>
          </w:p>
        </w:tc>
        <w:tc>
          <w:tcPr>
            <w:tcW w:w="1941" w:type="dxa"/>
            <w:vMerge w:val="continue"/>
            <w:tcBorders>
              <w:top w:val="nil"/>
            </w:tcBorders>
            <w:vAlign w:val="top"/>
          </w:tcPr>
          <w:p w14:paraId="77ED7C31">
            <w:pPr>
              <w:jc w:val="center"/>
              <w:rPr>
                <w:rFonts w:ascii="Arial"/>
                <w:sz w:val="21"/>
              </w:rPr>
            </w:pPr>
          </w:p>
        </w:tc>
      </w:tr>
    </w:tbl>
    <w:p w14:paraId="1852D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附件：《柯美给水、消防水、生产用水、照明安装报价清单》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93739"/>
    <w:rsid w:val="04BF0077"/>
    <w:rsid w:val="2A177488"/>
    <w:rsid w:val="36A93739"/>
    <w:rsid w:val="42417305"/>
    <w:rsid w:val="463830C3"/>
    <w:rsid w:val="50140FED"/>
    <w:rsid w:val="53A16AB5"/>
    <w:rsid w:val="5B3D17AC"/>
    <w:rsid w:val="71CD3E62"/>
    <w:rsid w:val="73F9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2251</Words>
  <Characters>2526</Characters>
  <Lines>0</Lines>
  <Paragraphs>0</Paragraphs>
  <TotalTime>17</TotalTime>
  <ScaleCrop>false</ScaleCrop>
  <LinksUpToDate>false</LinksUpToDate>
  <CharactersWithSpaces>2595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2026-06-29T23:48:00Z</dcterms:created>
  <dc:creator>chen-ke</dc:creator>
  <cp:lastModifiedBy>chen-ke</cp:lastModifiedBy>
  <cp:lastPrinted>2026-06-30T01:17:00Z</cp:lastPrinted>
  <dcterms:modified xsi:type="dcterms:W3CDTF">2026-07-08T03:40:47Z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1FA4731965C8435288275A7DF2C92F32_11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