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3E219B">
      <w:pPr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门窗采购合同</w:t>
      </w:r>
    </w:p>
    <w:p w14:paraId="4EA97572">
      <w:pPr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/>
        </w:rPr>
        <w:t xml:space="preserve"> 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                                                            合同编号：MH20260406-001</w:t>
      </w:r>
    </w:p>
    <w:p w14:paraId="2C2007B9">
      <w:pPr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                                                             合同签订地：江西萍乡莲花</w:t>
      </w:r>
    </w:p>
    <w:p w14:paraId="70D543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甲方（采购方）：</w:t>
      </w:r>
      <w:r>
        <w:rPr>
          <w:rFonts w:hint="eastAsia" w:ascii="微软雅黑" w:hAnsi="微软雅黑" w:eastAsia="微软雅黑" w:cs="微软雅黑"/>
          <w:lang w:val="en-US" w:eastAsia="zh-CN"/>
        </w:rPr>
        <w:t>江西铭和建设工程有限公司莲花分公司</w:t>
      </w:r>
    </w:p>
    <w:p w14:paraId="10B062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统一社会信用代码：</w:t>
      </w:r>
      <w:r>
        <w:rPr>
          <w:rFonts w:hint="eastAsia" w:ascii="微软雅黑" w:hAnsi="微软雅黑" w:eastAsia="微软雅黑" w:cs="微软雅黑"/>
          <w:lang w:val="en-US" w:eastAsia="zh-CN"/>
        </w:rPr>
        <w:t>91360321MADGLRNW1N</w:t>
      </w:r>
    </w:p>
    <w:p w14:paraId="534E9A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</w:p>
    <w:p w14:paraId="4824DA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乙方（供应方）：萍乡经济技术开发区邦杰智能门窗店</w:t>
      </w:r>
    </w:p>
    <w:p w14:paraId="7AF82B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统一社会信用代码：</w:t>
      </w:r>
      <w:r>
        <w:rPr>
          <w:rFonts w:hint="eastAsia" w:ascii="微软雅黑" w:hAnsi="微软雅黑" w:eastAsia="微软雅黑" w:cs="微软雅黑"/>
          <w:lang w:val="en-US" w:eastAsia="zh-CN"/>
        </w:rPr>
        <w:t>92360301MA35PYAY89</w:t>
      </w:r>
    </w:p>
    <w:p w14:paraId="0CA2CA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</w:p>
    <w:p w14:paraId="70D6BBB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合同标的</w:t>
      </w:r>
    </w:p>
    <w:p w14:paraId="17D7FC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</w:p>
    <w:p w14:paraId="6228DD5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 甲方向乙方采购门窗产品，产品材质、规格、技术参数、单价严格按照</w:t>
      </w:r>
      <w:r>
        <w:rPr>
          <w:rFonts w:hint="eastAsia" w:ascii="微软雅黑" w:hAnsi="微软雅黑" w:eastAsia="微软雅黑" w:cs="微软雅黑"/>
          <w:lang w:val="en-US" w:eastAsia="zh-CN"/>
        </w:rPr>
        <w:t>下面条款</w:t>
      </w:r>
      <w:r>
        <w:rPr>
          <w:rFonts w:hint="eastAsia" w:ascii="微软雅黑" w:hAnsi="微软雅黑" w:eastAsia="微软雅黑" w:cs="微软雅黑"/>
        </w:rPr>
        <w:t>执行，具体产品明细如下：</w:t>
      </w:r>
    </w:p>
    <w:tbl>
      <w:tblPr>
        <w:tblStyle w:val="4"/>
        <w:tblpPr w:leftFromText="180" w:rightFromText="180" w:vertAnchor="text" w:horzAnchor="page" w:tblpX="1339" w:tblpY="325"/>
        <w:tblOverlap w:val="never"/>
        <w:tblW w:w="9731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72"/>
        <w:gridCol w:w="1391"/>
        <w:gridCol w:w="1111"/>
        <w:gridCol w:w="641"/>
        <w:gridCol w:w="1473"/>
        <w:gridCol w:w="934"/>
        <w:gridCol w:w="1084"/>
        <w:gridCol w:w="989"/>
        <w:gridCol w:w="1536"/>
      </w:tblGrid>
      <w:tr w14:paraId="01703D5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703" w:hRule="atLeast"/>
        </w:trPr>
        <w:tc>
          <w:tcPr>
            <w:tcW w:w="572" w:type="dxa"/>
            <w:vAlign w:val="top"/>
          </w:tcPr>
          <w:p w14:paraId="4EB3E0B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9" w:line="0" w:lineRule="atLeast"/>
              <w:ind w:left="117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sz w:val="21"/>
                <w:szCs w:val="21"/>
              </w:rPr>
              <w:t>序号</w:t>
            </w:r>
          </w:p>
        </w:tc>
        <w:tc>
          <w:tcPr>
            <w:tcW w:w="1391" w:type="dxa"/>
            <w:vAlign w:val="top"/>
          </w:tcPr>
          <w:p w14:paraId="765C74FC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9" w:line="0" w:lineRule="atLeast"/>
              <w:ind w:left="369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pacing w:val="-1"/>
                <w:sz w:val="21"/>
                <w:szCs w:val="21"/>
              </w:rPr>
              <w:t>产品名称</w:t>
            </w:r>
          </w:p>
        </w:tc>
        <w:tc>
          <w:tcPr>
            <w:tcW w:w="1111" w:type="dxa"/>
            <w:vAlign w:val="top"/>
          </w:tcPr>
          <w:p w14:paraId="24AC04FA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9" w:line="0" w:lineRule="atLeast"/>
              <w:ind w:left="284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sz w:val="21"/>
                <w:szCs w:val="21"/>
              </w:rPr>
              <w:t>位置</w:t>
            </w:r>
          </w:p>
        </w:tc>
        <w:tc>
          <w:tcPr>
            <w:tcW w:w="641" w:type="dxa"/>
            <w:vAlign w:val="top"/>
          </w:tcPr>
          <w:p w14:paraId="1B739220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9" w:line="0" w:lineRule="atLeast"/>
              <w:ind w:left="75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pacing w:val="-3"/>
                <w:sz w:val="21"/>
                <w:szCs w:val="21"/>
              </w:rPr>
              <w:t>型材壁厚</w:t>
            </w:r>
          </w:p>
        </w:tc>
        <w:tc>
          <w:tcPr>
            <w:tcW w:w="1473" w:type="dxa"/>
            <w:vAlign w:val="top"/>
          </w:tcPr>
          <w:p w14:paraId="3F38D55A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0" w:line="0" w:lineRule="atLeast"/>
              <w:ind w:left="54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pacing w:val="-3"/>
                <w:sz w:val="21"/>
                <w:szCs w:val="21"/>
              </w:rPr>
              <w:t>玻璃</w:t>
            </w:r>
          </w:p>
        </w:tc>
        <w:tc>
          <w:tcPr>
            <w:tcW w:w="934" w:type="dxa"/>
            <w:vAlign w:val="top"/>
          </w:tcPr>
          <w:p w14:paraId="16B84F00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9" w:line="0" w:lineRule="atLeast"/>
              <w:ind w:firstLine="206" w:firstLineChars="100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sz w:val="21"/>
                <w:szCs w:val="21"/>
              </w:rPr>
              <w:t>颜色</w:t>
            </w:r>
          </w:p>
        </w:tc>
        <w:tc>
          <w:tcPr>
            <w:tcW w:w="1084" w:type="dxa"/>
            <w:vAlign w:val="top"/>
          </w:tcPr>
          <w:p w14:paraId="55F551B5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9" w:line="0" w:lineRule="atLeast"/>
              <w:ind w:left="81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sz w:val="21"/>
                <w:szCs w:val="21"/>
                <w:lang w:val="en-US" w:eastAsia="zh-CN"/>
              </w:rPr>
              <w:t>数量（m²）</w:t>
            </w:r>
          </w:p>
        </w:tc>
        <w:tc>
          <w:tcPr>
            <w:tcW w:w="989" w:type="dxa"/>
            <w:vAlign w:val="top"/>
          </w:tcPr>
          <w:p w14:paraId="51A488F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9"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spacing w:val="-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sz w:val="21"/>
                <w:szCs w:val="21"/>
                <w:lang w:val="en-US" w:eastAsia="zh-CN"/>
              </w:rPr>
              <w:t>振升牌</w:t>
            </w:r>
          </w:p>
          <w:p w14:paraId="36E2E3C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9"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sz w:val="21"/>
                <w:szCs w:val="21"/>
              </w:rPr>
              <w:t>单价</w:t>
            </w:r>
            <w:r>
              <w:rPr>
                <w:rFonts w:hint="eastAsia" w:ascii="微软雅黑" w:hAnsi="微软雅黑" w:eastAsia="微软雅黑" w:cs="微软雅黑"/>
                <w:spacing w:val="-2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spacing w:val="-2"/>
                <w:sz w:val="21"/>
                <w:szCs w:val="21"/>
                <w:lang w:val="en-US" w:eastAsia="zh-CN"/>
              </w:rPr>
              <w:t>元</w:t>
            </w:r>
            <w:r>
              <w:rPr>
                <w:rFonts w:hint="eastAsia" w:ascii="微软雅黑" w:hAnsi="微软雅黑" w:eastAsia="微软雅黑" w:cs="微软雅黑"/>
                <w:spacing w:val="-2"/>
                <w:sz w:val="21"/>
                <w:szCs w:val="21"/>
                <w:lang w:eastAsia="zh-CN"/>
              </w:rPr>
              <w:t>）</w:t>
            </w:r>
          </w:p>
        </w:tc>
        <w:tc>
          <w:tcPr>
            <w:tcW w:w="1536" w:type="dxa"/>
            <w:vAlign w:val="top"/>
          </w:tcPr>
          <w:p w14:paraId="2C9B1F6A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5" w:line="0" w:lineRule="atLeast"/>
              <w:ind w:left="399" w:right="243" w:hanging="112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pacing w:val="-3"/>
                <w:sz w:val="21"/>
                <w:szCs w:val="21"/>
                <w:lang w:val="en-US" w:eastAsia="zh-CN"/>
              </w:rPr>
              <w:t>总</w:t>
            </w:r>
            <w:r>
              <w:rPr>
                <w:rFonts w:hint="eastAsia" w:ascii="微软雅黑" w:hAnsi="微软雅黑" w:eastAsia="微软雅黑" w:cs="微软雅黑"/>
                <w:spacing w:val="-3"/>
                <w:sz w:val="21"/>
                <w:szCs w:val="21"/>
              </w:rPr>
              <w:t>金额</w:t>
            </w:r>
            <w:r>
              <w:rPr>
                <w:rFonts w:hint="eastAsia" w:ascii="微软雅黑" w:hAnsi="微软雅黑" w:eastAsia="微软雅黑" w:cs="微软雅黑"/>
                <w:spacing w:val="-7"/>
                <w:sz w:val="21"/>
                <w:szCs w:val="21"/>
              </w:rPr>
              <w:t>（元）</w:t>
            </w:r>
          </w:p>
        </w:tc>
      </w:tr>
      <w:tr w14:paraId="1C8CBF8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572" w:type="dxa"/>
            <w:vAlign w:val="top"/>
          </w:tcPr>
          <w:p w14:paraId="65F41BCA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6"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pacing w:val="-24"/>
                <w:position w:val="1"/>
                <w:sz w:val="21"/>
                <w:szCs w:val="21"/>
              </w:rPr>
              <w:t>1</w:t>
            </w:r>
          </w:p>
        </w:tc>
        <w:tc>
          <w:tcPr>
            <w:tcW w:w="1391" w:type="dxa"/>
            <w:vAlign w:val="top"/>
          </w:tcPr>
          <w:p w14:paraId="11C74FC7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8" w:line="0" w:lineRule="atLeast"/>
              <w:ind w:left="38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pacing w:val="5"/>
                <w:sz w:val="21"/>
                <w:szCs w:val="21"/>
              </w:rPr>
              <w:t>50平开窗</w:t>
            </w:r>
          </w:p>
        </w:tc>
        <w:tc>
          <w:tcPr>
            <w:tcW w:w="1111" w:type="dxa"/>
            <w:vAlign w:val="top"/>
          </w:tcPr>
          <w:p w14:paraId="11D4ADF7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8" w:line="0" w:lineRule="atLeas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pacing w:val="5"/>
                <w:sz w:val="21"/>
                <w:szCs w:val="21"/>
              </w:rPr>
              <w:t>560</w:t>
            </w:r>
            <w:r>
              <w:rPr>
                <w:rFonts w:hint="eastAsia" w:ascii="微软雅黑" w:hAnsi="微软雅黑" w:eastAsia="微软雅黑" w:cs="微软雅黑"/>
                <w:spacing w:val="5"/>
                <w:sz w:val="21"/>
                <w:szCs w:val="21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spacing w:val="5"/>
                <w:sz w:val="21"/>
                <w:szCs w:val="21"/>
              </w:rPr>
              <w:t>厂房</w:t>
            </w:r>
          </w:p>
        </w:tc>
        <w:tc>
          <w:tcPr>
            <w:tcW w:w="641" w:type="dxa"/>
            <w:vAlign w:val="top"/>
          </w:tcPr>
          <w:p w14:paraId="19D61E20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9"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position w:val="1"/>
                <w:sz w:val="21"/>
                <w:szCs w:val="21"/>
              </w:rPr>
              <w:t>1.4</w:t>
            </w:r>
          </w:p>
        </w:tc>
        <w:tc>
          <w:tcPr>
            <w:tcW w:w="1473" w:type="dxa"/>
            <w:vAlign w:val="top"/>
          </w:tcPr>
          <w:p w14:paraId="7156EC05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0" w:line="0" w:lineRule="atLeast"/>
              <w:ind w:left="125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pacing w:val="-1"/>
                <w:sz w:val="21"/>
                <w:szCs w:val="21"/>
              </w:rPr>
              <w:t>5+12+5白玻</w:t>
            </w:r>
          </w:p>
        </w:tc>
        <w:tc>
          <w:tcPr>
            <w:tcW w:w="934" w:type="dxa"/>
            <w:vAlign w:val="top"/>
          </w:tcPr>
          <w:p w14:paraId="5D0C33D7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79" w:line="0" w:lineRule="atLeast"/>
              <w:ind w:left="189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sz w:val="21"/>
                <w:szCs w:val="21"/>
              </w:rPr>
              <w:t>金属灰</w:t>
            </w:r>
          </w:p>
        </w:tc>
        <w:tc>
          <w:tcPr>
            <w:tcW w:w="1084" w:type="dxa"/>
            <w:vAlign w:val="top"/>
          </w:tcPr>
          <w:p w14:paraId="570213F1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0" w:line="0" w:lineRule="atLeast"/>
              <w:ind w:left="62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sz w:val="21"/>
                <w:szCs w:val="21"/>
              </w:rPr>
              <w:t>357.3</w:t>
            </w:r>
          </w:p>
        </w:tc>
        <w:tc>
          <w:tcPr>
            <w:tcW w:w="989" w:type="dxa"/>
            <w:vAlign w:val="top"/>
          </w:tcPr>
          <w:p w14:paraId="21F48E06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0" w:line="0" w:lineRule="atLeast"/>
              <w:ind w:left="199"/>
              <w:jc w:val="center"/>
              <w:textAlignment w:val="auto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sz w:val="21"/>
                <w:szCs w:val="21"/>
                <w:lang w:val="en-US" w:eastAsia="zh-CN"/>
              </w:rPr>
              <w:t>700</w:t>
            </w:r>
          </w:p>
        </w:tc>
        <w:tc>
          <w:tcPr>
            <w:tcW w:w="1536" w:type="dxa"/>
            <w:shd w:val="clear" w:color="auto" w:fill="auto"/>
            <w:vAlign w:val="center"/>
          </w:tcPr>
          <w:p w14:paraId="0E3F4E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250110</w:t>
            </w:r>
          </w:p>
        </w:tc>
      </w:tr>
      <w:tr w14:paraId="06A1EC7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572" w:type="dxa"/>
            <w:vAlign w:val="top"/>
          </w:tcPr>
          <w:p w14:paraId="57F1175C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6" w:line="0" w:lineRule="atLeast"/>
              <w:ind w:right="7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position w:val="1"/>
                <w:sz w:val="21"/>
                <w:szCs w:val="21"/>
              </w:rPr>
              <w:t>2</w:t>
            </w:r>
          </w:p>
        </w:tc>
        <w:tc>
          <w:tcPr>
            <w:tcW w:w="1391" w:type="dxa"/>
            <w:vAlign w:val="top"/>
          </w:tcPr>
          <w:p w14:paraId="2AC7833A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9" w:line="0" w:lineRule="atLeast"/>
              <w:ind w:left="38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pacing w:val="5"/>
                <w:sz w:val="21"/>
                <w:szCs w:val="21"/>
              </w:rPr>
              <w:t>50平开窗</w:t>
            </w:r>
          </w:p>
        </w:tc>
        <w:tc>
          <w:tcPr>
            <w:tcW w:w="1111" w:type="dxa"/>
            <w:vAlign w:val="top"/>
          </w:tcPr>
          <w:p w14:paraId="45DCB3CA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9" w:line="0" w:lineRule="atLeas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pacing w:val="6"/>
                <w:sz w:val="21"/>
                <w:szCs w:val="21"/>
              </w:rPr>
              <w:t>主厂房</w:t>
            </w:r>
          </w:p>
        </w:tc>
        <w:tc>
          <w:tcPr>
            <w:tcW w:w="641" w:type="dxa"/>
            <w:vAlign w:val="top"/>
          </w:tcPr>
          <w:p w14:paraId="5733BFE7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9"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position w:val="1"/>
                <w:sz w:val="21"/>
                <w:szCs w:val="21"/>
              </w:rPr>
              <w:t>1.4</w:t>
            </w:r>
          </w:p>
        </w:tc>
        <w:tc>
          <w:tcPr>
            <w:tcW w:w="1473" w:type="dxa"/>
            <w:vAlign w:val="top"/>
          </w:tcPr>
          <w:p w14:paraId="71A768EC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line="0" w:lineRule="atLeast"/>
              <w:ind w:left="291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sz w:val="21"/>
                <w:szCs w:val="21"/>
              </w:rPr>
              <w:t>5mm白玻</w:t>
            </w:r>
          </w:p>
        </w:tc>
        <w:tc>
          <w:tcPr>
            <w:tcW w:w="934" w:type="dxa"/>
            <w:vAlign w:val="top"/>
          </w:tcPr>
          <w:p w14:paraId="58B68A26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0" w:line="0" w:lineRule="atLeast"/>
              <w:ind w:left="189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sz w:val="21"/>
                <w:szCs w:val="21"/>
              </w:rPr>
              <w:t>金属灰</w:t>
            </w:r>
          </w:p>
        </w:tc>
        <w:tc>
          <w:tcPr>
            <w:tcW w:w="1084" w:type="dxa"/>
            <w:vAlign w:val="top"/>
          </w:tcPr>
          <w:p w14:paraId="09A3BAEB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0" w:line="0" w:lineRule="atLeast"/>
              <w:ind w:left="56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pacing w:val="-1"/>
                <w:sz w:val="21"/>
                <w:szCs w:val="21"/>
              </w:rPr>
              <w:t>412.08</w:t>
            </w:r>
          </w:p>
        </w:tc>
        <w:tc>
          <w:tcPr>
            <w:tcW w:w="989" w:type="dxa"/>
            <w:vAlign w:val="top"/>
          </w:tcPr>
          <w:p w14:paraId="624ED38A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0" w:line="0" w:lineRule="atLeast"/>
              <w:ind w:left="199"/>
              <w:jc w:val="center"/>
              <w:textAlignment w:val="auto"/>
              <w:rPr>
                <w:rFonts w:hint="default" w:ascii="微软雅黑" w:hAnsi="微软雅黑" w:eastAsia="微软雅黑" w:cs="微软雅黑"/>
                <w:sz w:val="21"/>
                <w:szCs w:val="21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sz w:val="21"/>
                <w:szCs w:val="21"/>
                <w:lang w:val="en-US" w:eastAsia="zh-CN"/>
              </w:rPr>
              <w:t>640</w:t>
            </w:r>
          </w:p>
        </w:tc>
        <w:tc>
          <w:tcPr>
            <w:tcW w:w="1536" w:type="dxa"/>
            <w:vAlign w:val="top"/>
          </w:tcPr>
          <w:p w14:paraId="3542D2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97" w:line="0" w:lineRule="atLeast"/>
              <w:ind w:left="300"/>
              <w:jc w:val="both"/>
              <w:textAlignment w:val="auto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263731.2</w:t>
            </w:r>
          </w:p>
        </w:tc>
      </w:tr>
      <w:tr w14:paraId="36174A7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6" w:hRule="atLeast"/>
        </w:trPr>
        <w:tc>
          <w:tcPr>
            <w:tcW w:w="572" w:type="dxa"/>
            <w:vAlign w:val="top"/>
          </w:tcPr>
          <w:p w14:paraId="61CDE77A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6" w:line="0" w:lineRule="atLeast"/>
              <w:ind w:right="5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3</w:t>
            </w:r>
          </w:p>
        </w:tc>
        <w:tc>
          <w:tcPr>
            <w:tcW w:w="1391" w:type="dxa"/>
            <w:vAlign w:val="top"/>
          </w:tcPr>
          <w:p w14:paraId="59EFB268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11" w:line="0" w:lineRule="atLeast"/>
              <w:ind w:left="35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pacing w:val="6"/>
                <w:sz w:val="21"/>
                <w:szCs w:val="21"/>
              </w:rPr>
              <w:t>90推拉窗</w:t>
            </w:r>
          </w:p>
        </w:tc>
        <w:tc>
          <w:tcPr>
            <w:tcW w:w="1111" w:type="dxa"/>
            <w:vAlign w:val="top"/>
          </w:tcPr>
          <w:p w14:paraId="410947C4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11" w:line="0" w:lineRule="atLeas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pacing w:val="5"/>
                <w:sz w:val="21"/>
                <w:szCs w:val="21"/>
              </w:rPr>
              <w:t>5600厂房</w:t>
            </w:r>
          </w:p>
        </w:tc>
        <w:tc>
          <w:tcPr>
            <w:tcW w:w="641" w:type="dxa"/>
            <w:vAlign w:val="top"/>
          </w:tcPr>
          <w:p w14:paraId="347D583E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12"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position w:val="1"/>
                <w:sz w:val="21"/>
                <w:szCs w:val="21"/>
              </w:rPr>
              <w:t>1.4</w:t>
            </w:r>
          </w:p>
        </w:tc>
        <w:tc>
          <w:tcPr>
            <w:tcW w:w="1473" w:type="dxa"/>
            <w:vAlign w:val="top"/>
          </w:tcPr>
          <w:p w14:paraId="7BF4FF3E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0" w:lineRule="atLeast"/>
              <w:ind w:left="125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pacing w:val="-1"/>
                <w:sz w:val="21"/>
                <w:szCs w:val="21"/>
              </w:rPr>
              <w:t>5+12+5白玻</w:t>
            </w:r>
          </w:p>
        </w:tc>
        <w:tc>
          <w:tcPr>
            <w:tcW w:w="934" w:type="dxa"/>
            <w:vAlign w:val="top"/>
          </w:tcPr>
          <w:p w14:paraId="25842B65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2" w:line="0" w:lineRule="atLeast"/>
              <w:ind w:left="189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sz w:val="21"/>
                <w:szCs w:val="21"/>
              </w:rPr>
              <w:t>金属灰</w:t>
            </w:r>
          </w:p>
        </w:tc>
        <w:tc>
          <w:tcPr>
            <w:tcW w:w="1084" w:type="dxa"/>
            <w:vAlign w:val="top"/>
          </w:tcPr>
          <w:p w14:paraId="75A222BA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0" w:lineRule="atLeast"/>
              <w:ind w:left="59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sz w:val="21"/>
                <w:szCs w:val="21"/>
              </w:rPr>
              <w:t>698.4</w:t>
            </w:r>
          </w:p>
        </w:tc>
        <w:tc>
          <w:tcPr>
            <w:tcW w:w="989" w:type="dxa"/>
            <w:vAlign w:val="top"/>
          </w:tcPr>
          <w:p w14:paraId="1E263234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0" w:lineRule="atLeast"/>
              <w:ind w:left="199"/>
              <w:jc w:val="center"/>
              <w:textAlignment w:val="auto"/>
              <w:rPr>
                <w:rFonts w:hint="default" w:ascii="微软雅黑" w:hAnsi="微软雅黑" w:eastAsia="微软雅黑" w:cs="微软雅黑"/>
                <w:sz w:val="21"/>
                <w:szCs w:val="21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sz w:val="21"/>
                <w:szCs w:val="21"/>
                <w:lang w:val="en-US" w:eastAsia="zh-CN"/>
              </w:rPr>
              <w:t>600</w:t>
            </w:r>
          </w:p>
        </w:tc>
        <w:tc>
          <w:tcPr>
            <w:tcW w:w="1536" w:type="dxa"/>
            <w:vAlign w:val="top"/>
          </w:tcPr>
          <w:p w14:paraId="362F73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17" w:line="0" w:lineRule="atLeast"/>
              <w:ind w:left="283"/>
              <w:jc w:val="both"/>
              <w:textAlignment w:val="auto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419040</w:t>
            </w:r>
          </w:p>
        </w:tc>
      </w:tr>
      <w:tr w14:paraId="4BFE389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572" w:type="dxa"/>
            <w:vAlign w:val="top"/>
          </w:tcPr>
          <w:p w14:paraId="7A4E48E2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38" w:line="0" w:lineRule="atLeast"/>
              <w:ind w:left="285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position w:val="1"/>
                <w:sz w:val="21"/>
                <w:szCs w:val="21"/>
              </w:rPr>
              <w:t>4</w:t>
            </w:r>
          </w:p>
        </w:tc>
        <w:tc>
          <w:tcPr>
            <w:tcW w:w="1391" w:type="dxa"/>
            <w:vAlign w:val="top"/>
          </w:tcPr>
          <w:p w14:paraId="7AE78840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38" w:line="0" w:lineRule="atLeas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pacing w:val="-1"/>
                <w:sz w:val="21"/>
                <w:szCs w:val="21"/>
              </w:rPr>
              <w:t>钢质防火窗</w:t>
            </w:r>
          </w:p>
        </w:tc>
        <w:tc>
          <w:tcPr>
            <w:tcW w:w="1111" w:type="dxa"/>
            <w:vAlign w:val="top"/>
          </w:tcPr>
          <w:p w14:paraId="72FA35A9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38" w:line="0" w:lineRule="atLeas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sz w:val="21"/>
                <w:szCs w:val="21"/>
              </w:rPr>
              <w:t>5600厂房</w:t>
            </w:r>
          </w:p>
        </w:tc>
        <w:tc>
          <w:tcPr>
            <w:tcW w:w="641" w:type="dxa"/>
            <w:vAlign w:val="top"/>
          </w:tcPr>
          <w:p w14:paraId="33BA6352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39"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pacing w:val="-5"/>
                <w:sz w:val="21"/>
                <w:szCs w:val="21"/>
              </w:rPr>
              <w:t>1.4</w:t>
            </w:r>
          </w:p>
        </w:tc>
        <w:tc>
          <w:tcPr>
            <w:tcW w:w="1473" w:type="dxa"/>
            <w:vAlign w:val="top"/>
          </w:tcPr>
          <w:p w14:paraId="361A9017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38" w:line="0" w:lineRule="atLeast"/>
              <w:ind w:left="148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pacing w:val="-1"/>
                <w:sz w:val="21"/>
                <w:szCs w:val="21"/>
              </w:rPr>
              <w:t>5+12+</w:t>
            </w:r>
            <w:r>
              <w:rPr>
                <w:rFonts w:hint="eastAsia" w:ascii="微软雅黑" w:hAnsi="微软雅黑" w:eastAsia="微软雅黑" w:cs="微软雅黑"/>
                <w:spacing w:val="-1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微软雅黑" w:hAnsi="微软雅黑" w:eastAsia="微软雅黑" w:cs="微软雅黑"/>
                <w:spacing w:val="-1"/>
                <w:sz w:val="21"/>
                <w:szCs w:val="21"/>
              </w:rPr>
              <w:t>白玻</w:t>
            </w:r>
          </w:p>
        </w:tc>
        <w:tc>
          <w:tcPr>
            <w:tcW w:w="934" w:type="dxa"/>
            <w:vAlign w:val="top"/>
          </w:tcPr>
          <w:p w14:paraId="52FB01C4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38" w:line="0" w:lineRule="atLeast"/>
              <w:ind w:left="202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sz w:val="21"/>
                <w:szCs w:val="21"/>
              </w:rPr>
              <w:t>金属灰</w:t>
            </w:r>
          </w:p>
        </w:tc>
        <w:tc>
          <w:tcPr>
            <w:tcW w:w="1084" w:type="dxa"/>
            <w:vAlign w:val="top"/>
          </w:tcPr>
          <w:p w14:paraId="49B78219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39" w:line="0" w:lineRule="atLeast"/>
              <w:ind w:left="311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sz w:val="21"/>
                <w:szCs w:val="21"/>
              </w:rPr>
              <w:t>25.2</w:t>
            </w:r>
          </w:p>
        </w:tc>
        <w:tc>
          <w:tcPr>
            <w:tcW w:w="989" w:type="dxa"/>
            <w:vAlign w:val="top"/>
          </w:tcPr>
          <w:p w14:paraId="03AABC20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39" w:line="0" w:lineRule="atLeast"/>
              <w:ind w:left="366"/>
              <w:jc w:val="both"/>
              <w:textAlignment w:val="auto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sz w:val="21"/>
                <w:szCs w:val="21"/>
                <w:lang w:val="en-US" w:eastAsia="zh-CN"/>
              </w:rPr>
              <w:t>900</w:t>
            </w:r>
          </w:p>
        </w:tc>
        <w:tc>
          <w:tcPr>
            <w:tcW w:w="1536" w:type="dxa"/>
            <w:vAlign w:val="top"/>
          </w:tcPr>
          <w:p w14:paraId="0626C1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49" w:line="0" w:lineRule="atLeast"/>
              <w:ind w:left="357"/>
              <w:jc w:val="both"/>
              <w:textAlignment w:val="auto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22680</w:t>
            </w:r>
          </w:p>
        </w:tc>
      </w:tr>
      <w:tr w14:paraId="504059E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6" w:hRule="atLeast"/>
        </w:trPr>
        <w:tc>
          <w:tcPr>
            <w:tcW w:w="572" w:type="dxa"/>
            <w:vAlign w:val="top"/>
          </w:tcPr>
          <w:p w14:paraId="086AE22D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0" w:line="0" w:lineRule="atLeast"/>
              <w:ind w:left="290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5</w:t>
            </w:r>
          </w:p>
        </w:tc>
        <w:tc>
          <w:tcPr>
            <w:tcW w:w="1391" w:type="dxa"/>
            <w:vAlign w:val="top"/>
          </w:tcPr>
          <w:p w14:paraId="3EB33E6C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0" w:line="0" w:lineRule="atLeas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pacing w:val="-4"/>
                <w:sz w:val="21"/>
                <w:szCs w:val="21"/>
              </w:rPr>
              <w:t>防雨百叶</w:t>
            </w:r>
          </w:p>
        </w:tc>
        <w:tc>
          <w:tcPr>
            <w:tcW w:w="1111" w:type="dxa"/>
            <w:vAlign w:val="top"/>
          </w:tcPr>
          <w:p w14:paraId="3069B681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0" w:line="0" w:lineRule="atLeas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sz w:val="21"/>
                <w:szCs w:val="21"/>
              </w:rPr>
              <w:t>5600厂房</w:t>
            </w:r>
          </w:p>
        </w:tc>
        <w:tc>
          <w:tcPr>
            <w:tcW w:w="641" w:type="dxa"/>
            <w:vAlign w:val="top"/>
          </w:tcPr>
          <w:p w14:paraId="49FA34E7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pacing w:val="-5"/>
                <w:sz w:val="21"/>
                <w:szCs w:val="21"/>
              </w:rPr>
              <w:t>1.2</w:t>
            </w:r>
          </w:p>
        </w:tc>
        <w:tc>
          <w:tcPr>
            <w:tcW w:w="1473" w:type="dxa"/>
            <w:vAlign w:val="top"/>
          </w:tcPr>
          <w:p w14:paraId="6116F1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934" w:type="dxa"/>
            <w:vAlign w:val="top"/>
          </w:tcPr>
          <w:p w14:paraId="5FCCBDEC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0" w:line="0" w:lineRule="atLeast"/>
              <w:ind w:left="202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bookmarkStart w:id="0" w:name="_GoBack"/>
            <w:bookmarkEnd w:id="0"/>
            <w:r>
              <w:rPr>
                <w:rFonts w:hint="eastAsia" w:ascii="微软雅黑" w:hAnsi="微软雅黑" w:eastAsia="微软雅黑" w:cs="微软雅黑"/>
                <w:spacing w:val="-2"/>
                <w:sz w:val="21"/>
                <w:szCs w:val="21"/>
              </w:rPr>
              <w:t>金属灰</w:t>
            </w:r>
          </w:p>
        </w:tc>
        <w:tc>
          <w:tcPr>
            <w:tcW w:w="1084" w:type="dxa"/>
            <w:vAlign w:val="top"/>
          </w:tcPr>
          <w:p w14:paraId="72B952E0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line="0" w:lineRule="atLeast"/>
              <w:ind w:left="311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sz w:val="21"/>
                <w:szCs w:val="21"/>
              </w:rPr>
              <w:t>29.7</w:t>
            </w:r>
          </w:p>
        </w:tc>
        <w:tc>
          <w:tcPr>
            <w:tcW w:w="989" w:type="dxa"/>
            <w:vAlign w:val="top"/>
          </w:tcPr>
          <w:p w14:paraId="1448A25C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0" w:line="0" w:lineRule="atLeast"/>
              <w:ind w:left="369"/>
              <w:jc w:val="both"/>
              <w:textAlignment w:val="auto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sz w:val="21"/>
                <w:szCs w:val="21"/>
                <w:lang w:val="en-US" w:eastAsia="zh-CN"/>
              </w:rPr>
              <w:t>420</w:t>
            </w:r>
          </w:p>
        </w:tc>
        <w:tc>
          <w:tcPr>
            <w:tcW w:w="1536" w:type="dxa"/>
            <w:vAlign w:val="top"/>
          </w:tcPr>
          <w:p w14:paraId="386C32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91" w:line="0" w:lineRule="atLeast"/>
              <w:ind w:left="402"/>
              <w:jc w:val="both"/>
              <w:textAlignment w:val="auto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12474</w:t>
            </w:r>
          </w:p>
        </w:tc>
      </w:tr>
      <w:tr w14:paraId="1B5E682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" w:hRule="atLeast"/>
        </w:trPr>
        <w:tc>
          <w:tcPr>
            <w:tcW w:w="572" w:type="dxa"/>
            <w:vAlign w:val="top"/>
          </w:tcPr>
          <w:p w14:paraId="6C14D41C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51" w:line="0" w:lineRule="atLeast"/>
              <w:ind w:left="287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6</w:t>
            </w:r>
          </w:p>
        </w:tc>
        <w:tc>
          <w:tcPr>
            <w:tcW w:w="1391" w:type="dxa"/>
            <w:vAlign w:val="top"/>
          </w:tcPr>
          <w:p w14:paraId="51FF7295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51" w:line="0" w:lineRule="atLeas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pacing w:val="-1"/>
                <w:sz w:val="21"/>
                <w:szCs w:val="21"/>
              </w:rPr>
              <w:t>304不锈钢门</w:t>
            </w:r>
          </w:p>
        </w:tc>
        <w:tc>
          <w:tcPr>
            <w:tcW w:w="1111" w:type="dxa"/>
            <w:vAlign w:val="top"/>
          </w:tcPr>
          <w:p w14:paraId="75C43A91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51" w:line="0" w:lineRule="atLeas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sz w:val="21"/>
                <w:szCs w:val="21"/>
              </w:rPr>
              <w:t>主厂房</w:t>
            </w:r>
          </w:p>
        </w:tc>
        <w:tc>
          <w:tcPr>
            <w:tcW w:w="641" w:type="dxa"/>
            <w:vAlign w:val="top"/>
          </w:tcPr>
          <w:p w14:paraId="2A6541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473" w:type="dxa"/>
            <w:vAlign w:val="top"/>
          </w:tcPr>
          <w:p w14:paraId="79EDF8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934" w:type="dxa"/>
            <w:vAlign w:val="top"/>
          </w:tcPr>
          <w:p w14:paraId="46151E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084" w:type="dxa"/>
            <w:vAlign w:val="top"/>
          </w:tcPr>
          <w:p w14:paraId="092AC85F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52" w:line="0" w:lineRule="atLeast"/>
              <w:ind w:left="260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sz w:val="21"/>
                <w:szCs w:val="21"/>
              </w:rPr>
              <w:t>39.69</w:t>
            </w:r>
          </w:p>
        </w:tc>
        <w:tc>
          <w:tcPr>
            <w:tcW w:w="989" w:type="dxa"/>
            <w:vAlign w:val="top"/>
          </w:tcPr>
          <w:p w14:paraId="10BA1E2D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51" w:line="0" w:lineRule="atLeast"/>
              <w:ind w:left="366"/>
              <w:jc w:val="both"/>
              <w:textAlignment w:val="auto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sz w:val="21"/>
                <w:szCs w:val="21"/>
                <w:lang w:val="en-US" w:eastAsia="zh-CN"/>
              </w:rPr>
              <w:t>940</w:t>
            </w:r>
          </w:p>
        </w:tc>
        <w:tc>
          <w:tcPr>
            <w:tcW w:w="1536" w:type="dxa"/>
            <w:vAlign w:val="top"/>
          </w:tcPr>
          <w:p w14:paraId="5B9192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62" w:line="0" w:lineRule="atLeast"/>
              <w:ind w:left="357"/>
              <w:jc w:val="both"/>
              <w:textAlignment w:val="auto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37308.6</w:t>
            </w:r>
          </w:p>
        </w:tc>
      </w:tr>
      <w:tr w14:paraId="0D2D098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" w:hRule="atLeast"/>
        </w:trPr>
        <w:tc>
          <w:tcPr>
            <w:tcW w:w="572" w:type="dxa"/>
            <w:vAlign w:val="top"/>
          </w:tcPr>
          <w:p w14:paraId="3F40BFFB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53" w:line="0" w:lineRule="atLeast"/>
              <w:ind w:left="291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7</w:t>
            </w:r>
          </w:p>
        </w:tc>
        <w:tc>
          <w:tcPr>
            <w:tcW w:w="1391" w:type="dxa"/>
            <w:vAlign w:val="top"/>
          </w:tcPr>
          <w:p w14:paraId="4E1F37DA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3" w:line="0" w:lineRule="atLeast"/>
              <w:ind w:right="47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pacing w:val="-5"/>
                <w:sz w:val="18"/>
                <w:szCs w:val="18"/>
              </w:rPr>
              <w:t>旧门拆装含运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费</w:t>
            </w:r>
          </w:p>
        </w:tc>
        <w:tc>
          <w:tcPr>
            <w:tcW w:w="1111" w:type="dxa"/>
            <w:vAlign w:val="top"/>
          </w:tcPr>
          <w:p w14:paraId="4895B11E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52" w:line="0" w:lineRule="atLeas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sz w:val="21"/>
                <w:szCs w:val="21"/>
              </w:rPr>
              <w:t>主厂房</w:t>
            </w:r>
          </w:p>
        </w:tc>
        <w:tc>
          <w:tcPr>
            <w:tcW w:w="641" w:type="dxa"/>
            <w:vAlign w:val="top"/>
          </w:tcPr>
          <w:p w14:paraId="7BCD76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473" w:type="dxa"/>
            <w:vAlign w:val="top"/>
          </w:tcPr>
          <w:p w14:paraId="5DB88D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934" w:type="dxa"/>
            <w:vAlign w:val="top"/>
          </w:tcPr>
          <w:p w14:paraId="1CD938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084" w:type="dxa"/>
            <w:vAlign w:val="top"/>
          </w:tcPr>
          <w:p w14:paraId="7A1FD6D9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53" w:line="0" w:lineRule="atLeast"/>
              <w:ind w:left="419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pacing w:val="-3"/>
                <w:sz w:val="21"/>
                <w:szCs w:val="21"/>
              </w:rPr>
              <w:t>30</w:t>
            </w:r>
          </w:p>
        </w:tc>
        <w:tc>
          <w:tcPr>
            <w:tcW w:w="989" w:type="dxa"/>
            <w:vAlign w:val="top"/>
          </w:tcPr>
          <w:p w14:paraId="121B72BE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53" w:line="0" w:lineRule="atLeast"/>
              <w:ind w:left="383"/>
              <w:jc w:val="both"/>
              <w:textAlignment w:val="auto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-5"/>
                <w:sz w:val="21"/>
                <w:szCs w:val="21"/>
                <w:lang w:val="en-US" w:eastAsia="zh-CN"/>
              </w:rPr>
              <w:t>200</w:t>
            </w:r>
          </w:p>
        </w:tc>
        <w:tc>
          <w:tcPr>
            <w:tcW w:w="1536" w:type="dxa"/>
            <w:vAlign w:val="top"/>
          </w:tcPr>
          <w:p w14:paraId="391B78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64" w:line="0" w:lineRule="atLeast"/>
              <w:ind w:left="403"/>
              <w:jc w:val="both"/>
              <w:textAlignment w:val="auto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6000</w:t>
            </w:r>
          </w:p>
        </w:tc>
      </w:tr>
      <w:tr w14:paraId="5AF3B44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5" w:hRule="atLeast"/>
        </w:trPr>
        <w:tc>
          <w:tcPr>
            <w:tcW w:w="572" w:type="dxa"/>
            <w:vAlign w:val="top"/>
          </w:tcPr>
          <w:p w14:paraId="619AF31D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54" w:line="0" w:lineRule="atLeast"/>
              <w:ind w:left="287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8</w:t>
            </w:r>
          </w:p>
        </w:tc>
        <w:tc>
          <w:tcPr>
            <w:tcW w:w="1391" w:type="dxa"/>
            <w:vAlign w:val="top"/>
          </w:tcPr>
          <w:p w14:paraId="27389957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54" w:line="0" w:lineRule="atLeas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pacing w:val="-4"/>
                <w:sz w:val="21"/>
                <w:szCs w:val="21"/>
              </w:rPr>
              <w:t>防火门</w:t>
            </w:r>
          </w:p>
        </w:tc>
        <w:tc>
          <w:tcPr>
            <w:tcW w:w="1111" w:type="dxa"/>
            <w:vAlign w:val="top"/>
          </w:tcPr>
          <w:p w14:paraId="1B1FAAA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54" w:line="0" w:lineRule="atLeas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sz w:val="21"/>
                <w:szCs w:val="21"/>
              </w:rPr>
              <w:t>5600厂房</w:t>
            </w:r>
          </w:p>
        </w:tc>
        <w:tc>
          <w:tcPr>
            <w:tcW w:w="641" w:type="dxa"/>
            <w:vAlign w:val="top"/>
          </w:tcPr>
          <w:p w14:paraId="00F53D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473" w:type="dxa"/>
            <w:vAlign w:val="top"/>
          </w:tcPr>
          <w:p w14:paraId="23B1F2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934" w:type="dxa"/>
            <w:vAlign w:val="top"/>
          </w:tcPr>
          <w:p w14:paraId="3B416E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084" w:type="dxa"/>
            <w:vAlign w:val="top"/>
          </w:tcPr>
          <w:p w14:paraId="354C4EE2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54" w:line="0" w:lineRule="atLeast"/>
              <w:ind w:left="366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pacing w:val="-3"/>
                <w:sz w:val="21"/>
                <w:szCs w:val="21"/>
              </w:rPr>
              <w:t>300</w:t>
            </w:r>
          </w:p>
        </w:tc>
        <w:tc>
          <w:tcPr>
            <w:tcW w:w="989" w:type="dxa"/>
            <w:vAlign w:val="top"/>
          </w:tcPr>
          <w:p w14:paraId="0592A30C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54" w:line="0" w:lineRule="atLeast"/>
              <w:ind w:left="369"/>
              <w:jc w:val="both"/>
              <w:textAlignment w:val="auto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sz w:val="21"/>
                <w:szCs w:val="21"/>
                <w:lang w:val="en-US" w:eastAsia="zh-CN"/>
              </w:rPr>
              <w:t>540</w:t>
            </w:r>
          </w:p>
        </w:tc>
        <w:tc>
          <w:tcPr>
            <w:tcW w:w="1536" w:type="dxa"/>
            <w:vAlign w:val="top"/>
          </w:tcPr>
          <w:p w14:paraId="63C843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65" w:line="0" w:lineRule="atLeast"/>
              <w:ind w:left="343"/>
              <w:jc w:val="both"/>
              <w:textAlignment w:val="auto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162000</w:t>
            </w:r>
          </w:p>
        </w:tc>
      </w:tr>
      <w:tr w14:paraId="5B93621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5" w:hRule="atLeast"/>
        </w:trPr>
        <w:tc>
          <w:tcPr>
            <w:tcW w:w="572" w:type="dxa"/>
            <w:vAlign w:val="top"/>
          </w:tcPr>
          <w:p w14:paraId="3F74725C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56" w:line="0" w:lineRule="atLeast"/>
              <w:ind w:left="287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9</w:t>
            </w:r>
          </w:p>
        </w:tc>
        <w:tc>
          <w:tcPr>
            <w:tcW w:w="1391" w:type="dxa"/>
            <w:vAlign w:val="top"/>
          </w:tcPr>
          <w:p w14:paraId="63C2CD59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56" w:line="0" w:lineRule="atLeast"/>
              <w:ind w:left="197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pacing w:val="-5"/>
                <w:sz w:val="21"/>
                <w:szCs w:val="21"/>
              </w:rPr>
              <w:t>电动开启器</w:t>
            </w:r>
          </w:p>
        </w:tc>
        <w:tc>
          <w:tcPr>
            <w:tcW w:w="1111" w:type="dxa"/>
            <w:vAlign w:val="top"/>
          </w:tcPr>
          <w:p w14:paraId="5D4F93BB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56" w:line="0" w:lineRule="atLeas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sz w:val="21"/>
                <w:szCs w:val="21"/>
              </w:rPr>
              <w:t>5600厂房</w:t>
            </w:r>
          </w:p>
        </w:tc>
        <w:tc>
          <w:tcPr>
            <w:tcW w:w="3048" w:type="dxa"/>
            <w:gridSpan w:val="3"/>
            <w:vAlign w:val="top"/>
          </w:tcPr>
          <w:p w14:paraId="55225F4A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6" w:line="0" w:lineRule="atLeast"/>
              <w:ind w:left="816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含控制箱电线铺装</w:t>
            </w:r>
          </w:p>
        </w:tc>
        <w:tc>
          <w:tcPr>
            <w:tcW w:w="1084" w:type="dxa"/>
            <w:vAlign w:val="top"/>
          </w:tcPr>
          <w:p w14:paraId="56CA5ACD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56" w:line="0" w:lineRule="atLeast"/>
              <w:ind w:left="377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pacing w:val="-5"/>
                <w:sz w:val="21"/>
                <w:szCs w:val="21"/>
              </w:rPr>
              <w:t>150</w:t>
            </w:r>
          </w:p>
        </w:tc>
        <w:tc>
          <w:tcPr>
            <w:tcW w:w="989" w:type="dxa"/>
            <w:vAlign w:val="top"/>
          </w:tcPr>
          <w:p w14:paraId="1258D570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56" w:line="0" w:lineRule="atLeast"/>
              <w:ind w:left="369"/>
              <w:jc w:val="both"/>
              <w:textAlignment w:val="auto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-2"/>
                <w:sz w:val="21"/>
                <w:szCs w:val="21"/>
                <w:lang w:val="en-US" w:eastAsia="zh-CN"/>
              </w:rPr>
              <w:t>460</w:t>
            </w:r>
          </w:p>
        </w:tc>
        <w:tc>
          <w:tcPr>
            <w:tcW w:w="1536" w:type="dxa"/>
            <w:vAlign w:val="top"/>
          </w:tcPr>
          <w:p w14:paraId="5851CE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67" w:line="0" w:lineRule="atLeast"/>
              <w:ind w:left="343"/>
              <w:jc w:val="both"/>
              <w:textAlignment w:val="auto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69000</w:t>
            </w:r>
          </w:p>
        </w:tc>
      </w:tr>
      <w:tr w14:paraId="7B2294C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8195" w:type="dxa"/>
            <w:gridSpan w:val="8"/>
            <w:vAlign w:val="top"/>
          </w:tcPr>
          <w:p w14:paraId="3BA5F58D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33" w:line="0" w:lineRule="atLeast"/>
              <w:jc w:val="both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（以上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价格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含13%增值税专用发票）    </w:t>
            </w:r>
          </w:p>
        </w:tc>
        <w:tc>
          <w:tcPr>
            <w:tcW w:w="1536" w:type="dxa"/>
            <w:vAlign w:val="top"/>
          </w:tcPr>
          <w:p w14:paraId="109A1235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2" w:line="0" w:lineRule="atLeast"/>
              <w:ind w:left="63"/>
              <w:jc w:val="both"/>
              <w:textAlignment w:val="auto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1242343.8元</w:t>
            </w:r>
          </w:p>
        </w:tc>
      </w:tr>
      <w:tr w14:paraId="221DE6A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1" w:hRule="atLeast"/>
        </w:trPr>
        <w:tc>
          <w:tcPr>
            <w:tcW w:w="9731" w:type="dxa"/>
            <w:gridSpan w:val="9"/>
            <w:vAlign w:val="top"/>
          </w:tcPr>
          <w:p w14:paraId="46000275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44" w:line="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备注：50平开窗按3平方开一扇，超开部分按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0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元一扇计算</w:t>
            </w:r>
          </w:p>
        </w:tc>
      </w:tr>
    </w:tbl>
    <w:p w14:paraId="2E4601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注：</w:t>
      </w:r>
      <w:r>
        <w:rPr>
          <w:rFonts w:hint="eastAsia" w:ascii="微软雅黑" w:hAnsi="微软雅黑" w:eastAsia="微软雅黑" w:cs="微软雅黑"/>
        </w:rPr>
        <w:t>本合同单价为固定综合单价，包含产品制作、运输、安装、辅材、税费（13%增值税专用发票）、售后、成品保护等全部费用，甲方无需支付任何额外费用。</w:t>
      </w:r>
    </w:p>
    <w:p w14:paraId="342255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二、合同价款与支付</w:t>
      </w:r>
    </w:p>
    <w:p w14:paraId="05919B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</w:t>
      </w:r>
    </w:p>
    <w:p w14:paraId="7DA3DD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 本合同暂定总金额：人民币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1242343.8</w:t>
      </w:r>
      <w:r>
        <w:rPr>
          <w:rFonts w:hint="eastAsia" w:ascii="微软雅黑" w:hAnsi="微软雅黑" w:eastAsia="微软雅黑" w:cs="微软雅黑"/>
        </w:rPr>
        <w:t>元，最终结算金额以实际量尺工程量乘以本合同约定单价为准。</w:t>
      </w:r>
    </w:p>
    <w:p w14:paraId="5BBED9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 付款方式：</w:t>
      </w:r>
    </w:p>
    <w:p w14:paraId="2FE49A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（1）预付款：合同签订后</w:t>
      </w:r>
      <w:r>
        <w:rPr>
          <w:rFonts w:hint="eastAsia" w:ascii="微软雅黑" w:hAnsi="微软雅黑" w:eastAsia="微软雅黑" w:cs="微软雅黑"/>
          <w:lang w:val="en-US" w:eastAsia="zh-CN"/>
        </w:rPr>
        <w:t>10</w:t>
      </w:r>
      <w:r>
        <w:rPr>
          <w:rFonts w:hint="eastAsia" w:ascii="微软雅黑" w:hAnsi="微软雅黑" w:eastAsia="微软雅黑" w:cs="微软雅黑"/>
        </w:rPr>
        <w:t>个工作日内，甲方向乙方支付</w:t>
      </w:r>
      <w:r>
        <w:rPr>
          <w:rFonts w:hint="eastAsia" w:ascii="微软雅黑" w:hAnsi="微软雅黑" w:eastAsia="微软雅黑" w:cs="微软雅黑"/>
          <w:lang w:val="en-US" w:eastAsia="zh-CN"/>
        </w:rPr>
        <w:t>10万元</w:t>
      </w:r>
      <w:r>
        <w:rPr>
          <w:rFonts w:hint="eastAsia" w:ascii="微软雅黑" w:hAnsi="微软雅黑" w:eastAsia="微软雅黑" w:cs="微软雅黑"/>
        </w:rPr>
        <w:t>作为预付款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电汇</w:t>
      </w:r>
      <w:r>
        <w:rPr>
          <w:rFonts w:hint="eastAsia" w:ascii="微软雅黑" w:hAnsi="微软雅黑" w:eastAsia="微软雅黑" w:cs="微软雅黑"/>
          <w:lang w:eastAsia="zh-CN"/>
        </w:rPr>
        <w:t>）</w:t>
      </w:r>
      <w:r>
        <w:rPr>
          <w:rFonts w:hint="eastAsia" w:ascii="微软雅黑" w:hAnsi="微软雅黑" w:eastAsia="微软雅黑" w:cs="微软雅黑"/>
        </w:rPr>
        <w:t>；</w:t>
      </w:r>
    </w:p>
    <w:p w14:paraId="20215C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（2）进度款：产品全部制作完成并运抵施工现场、经甲方抽检合格后</w:t>
      </w:r>
      <w:r>
        <w:rPr>
          <w:rFonts w:hint="eastAsia" w:ascii="微软雅黑" w:hAnsi="微软雅黑" w:eastAsia="微软雅黑" w:cs="微软雅黑"/>
          <w:lang w:val="en-US" w:eastAsia="zh-CN"/>
        </w:rPr>
        <w:t>10</w:t>
      </w:r>
      <w:r>
        <w:rPr>
          <w:rFonts w:hint="eastAsia" w:ascii="微软雅黑" w:hAnsi="微软雅黑" w:eastAsia="微软雅黑" w:cs="微软雅黑"/>
        </w:rPr>
        <w:t>个工作日内，甲方向乙方支付</w:t>
      </w:r>
      <w:r>
        <w:rPr>
          <w:rFonts w:hint="eastAsia" w:ascii="微软雅黑" w:hAnsi="微软雅黑" w:eastAsia="微软雅黑" w:cs="微软雅黑"/>
          <w:lang w:val="en-US" w:eastAsia="zh-CN"/>
        </w:rPr>
        <w:t>20万元作为进度款</w:t>
      </w:r>
      <w:r>
        <w:rPr>
          <w:rFonts w:hint="eastAsia" w:ascii="微软雅黑" w:hAnsi="微软雅黑" w:eastAsia="微软雅黑" w:cs="微软雅黑"/>
        </w:rPr>
        <w:t>；</w:t>
      </w:r>
    </w:p>
    <w:p w14:paraId="5E3C21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（3）竣工结算款：全部产品安装调试完成、经甲方验收合格后</w:t>
      </w:r>
      <w:r>
        <w:rPr>
          <w:rFonts w:hint="eastAsia" w:ascii="微软雅黑" w:hAnsi="微软雅黑" w:eastAsia="微软雅黑" w:cs="微软雅黑"/>
          <w:lang w:val="en-US" w:eastAsia="zh-CN"/>
        </w:rPr>
        <w:t>10</w:t>
      </w:r>
      <w:r>
        <w:rPr>
          <w:rFonts w:hint="eastAsia" w:ascii="微软雅黑" w:hAnsi="微软雅黑" w:eastAsia="微软雅黑" w:cs="微软雅黑"/>
        </w:rPr>
        <w:t>个工作日内，双方完成实际工程量结算，甲方向乙方支付至结算总金额的9</w:t>
      </w:r>
      <w:r>
        <w:rPr>
          <w:rFonts w:hint="eastAsia" w:ascii="微软雅黑" w:hAnsi="微软雅黑" w:eastAsia="微软雅黑" w:cs="微软雅黑"/>
          <w:lang w:val="en-US" w:eastAsia="zh-CN"/>
        </w:rPr>
        <w:t>5</w:t>
      </w:r>
      <w:r>
        <w:rPr>
          <w:rFonts w:hint="eastAsia" w:ascii="微软雅黑" w:hAnsi="微软雅黑" w:eastAsia="微软雅黑" w:cs="微软雅黑"/>
        </w:rPr>
        <w:t>%；</w:t>
      </w:r>
    </w:p>
    <w:p w14:paraId="335098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（4）质保金：剩余</w:t>
      </w:r>
      <w:r>
        <w:rPr>
          <w:rFonts w:hint="eastAsia" w:ascii="微软雅黑" w:hAnsi="微软雅黑" w:eastAsia="微软雅黑" w:cs="微软雅黑"/>
          <w:lang w:val="en-US" w:eastAsia="zh-CN"/>
        </w:rPr>
        <w:t>5</w:t>
      </w:r>
      <w:r>
        <w:rPr>
          <w:rFonts w:hint="eastAsia" w:ascii="微软雅黑" w:hAnsi="微软雅黑" w:eastAsia="微软雅黑" w:cs="微软雅黑"/>
        </w:rPr>
        <w:t>%作为质保金，自验收合格之日起满2年无质量问题，甲方无息一次性付清。</w:t>
      </w:r>
    </w:p>
    <w:p w14:paraId="1ED9E6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 乙方应在甲方每笔付款前，向甲方开具符合国家规定的13%增值税专用发票，发票抬头、税号等信息以甲方要求为准；乙方未按要求开具发票的，甲方有权延迟付款，不承担任何违约责任。</w:t>
      </w:r>
    </w:p>
    <w:p w14:paraId="3A80AB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</w:t>
      </w:r>
    </w:p>
    <w:p w14:paraId="1AA5ED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三、工期要求</w:t>
      </w:r>
    </w:p>
    <w:p w14:paraId="4D77AE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</w:t>
      </w:r>
    </w:p>
    <w:p w14:paraId="14296B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 乙方应在合同签订、甲方确认图纸/现场量尺后30日历天内，完成全部产品的制作、运输、安装及调试，交付甲方验收。</w:t>
      </w:r>
    </w:p>
    <w:p w14:paraId="33D53A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 因甲方原因（如现场不具备施工条件、设计变更、指令停工等）导致工期延误的，工期相应顺延，乙方不承担违约责任；因乙方原因逾期完工的，每逾期一日，按合同暂定总金额的0.5‰向甲方支付违约金，逾期超过</w:t>
      </w:r>
      <w:r>
        <w:rPr>
          <w:rFonts w:hint="eastAsia" w:ascii="微软雅黑" w:hAnsi="微软雅黑" w:eastAsia="微软雅黑" w:cs="微软雅黑"/>
          <w:lang w:val="en-US" w:eastAsia="zh-CN"/>
        </w:rPr>
        <w:t>15</w:t>
      </w:r>
      <w:r>
        <w:rPr>
          <w:rFonts w:hint="eastAsia" w:ascii="微软雅黑" w:hAnsi="微软雅黑" w:eastAsia="微软雅黑" w:cs="微软雅黑"/>
        </w:rPr>
        <w:t>日，甲方有权单方解除合同，乙方需退还已收全部款项，并按合同暂定总金额的20%向甲方支付违约金，同时承担由此给甲方造成的全部损失（包括但不限于工期延误损失、第三方索赔等）。</w:t>
      </w:r>
    </w:p>
    <w:p w14:paraId="302979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</w:t>
      </w:r>
    </w:p>
    <w:p w14:paraId="1FD9A8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四、质量标准与验收</w:t>
      </w:r>
    </w:p>
    <w:p w14:paraId="29B52F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</w:t>
      </w:r>
    </w:p>
    <w:p w14:paraId="2A11E8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 乙方供应的产品必须符合《铝合金门窗工程技术规范》（JGJ 214）、《建筑用安全玻璃 第1部分：防火玻璃》（GB 15763.</w:t>
      </w:r>
      <w:r>
        <w:rPr>
          <w:rFonts w:hint="eastAsia" w:ascii="微软雅黑" w:hAnsi="微软雅黑" w:eastAsia="微软雅黑" w:cs="微软雅黑"/>
          <w:lang w:eastAsia="zh-CN"/>
        </w:rPr>
        <w:t>1）</w:t>
      </w:r>
      <w:r>
        <w:rPr>
          <w:rFonts w:hint="eastAsia" w:ascii="微软雅黑" w:hAnsi="微软雅黑" w:eastAsia="微软雅黑" w:cs="微软雅黑"/>
        </w:rPr>
        <w:t>《不锈钢门》（JG/T 416）等国家现行相关标准、行业规范，且严格按照报价单约定的</w:t>
      </w:r>
      <w:r>
        <w:rPr>
          <w:rFonts w:hint="eastAsia" w:ascii="微软雅黑" w:hAnsi="微软雅黑" w:eastAsia="微软雅黑" w:cs="微软雅黑"/>
          <w:lang w:val="en-US" w:eastAsia="zh-CN"/>
        </w:rPr>
        <w:t>品牌、</w:t>
      </w:r>
      <w:r>
        <w:rPr>
          <w:rFonts w:hint="eastAsia" w:ascii="微软雅黑" w:hAnsi="微软雅黑" w:eastAsia="微软雅黑" w:cs="微软雅黑"/>
        </w:rPr>
        <w:t>材质、规格制作，不得擅自更换材料、降低标准。</w:t>
      </w:r>
    </w:p>
    <w:p w14:paraId="50D35B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 产品安装完成后，乙方书面通知甲方验收，甲方应在收到通知后</w:t>
      </w:r>
      <w:r>
        <w:rPr>
          <w:rFonts w:hint="eastAsia" w:ascii="微软雅黑" w:hAnsi="微软雅黑" w:eastAsia="微软雅黑" w:cs="微软雅黑"/>
          <w:lang w:val="en-US" w:eastAsia="zh-CN"/>
        </w:rPr>
        <w:t>30</w:t>
      </w:r>
      <w:r>
        <w:rPr>
          <w:rFonts w:hint="eastAsia" w:ascii="微软雅黑" w:hAnsi="微软雅黑" w:eastAsia="微软雅黑" w:cs="微软雅黑"/>
        </w:rPr>
        <w:t>日内组织验收，验收合格的，双方签署《验收确认单》；验收不合格的，乙方应在7日内整改完毕并重新申请验收，整改费用由乙方承担，逾期整改的按逾期完工承担违约责任。</w:t>
      </w:r>
    </w:p>
    <w:p w14:paraId="577732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 甲方验收仅为外观、尺寸、数量、功能的初步验收，不免除乙方对产品质量的法定责任及质保期内的保修责任。</w:t>
      </w:r>
    </w:p>
    <w:p w14:paraId="513F15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</w:t>
      </w:r>
    </w:p>
    <w:p w14:paraId="075A36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b/>
          <w:bCs/>
        </w:rPr>
      </w:pPr>
    </w:p>
    <w:p w14:paraId="1F2CE4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五、双方责任</w:t>
      </w:r>
    </w:p>
    <w:p w14:paraId="2248FC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</w:t>
      </w:r>
    </w:p>
    <w:p w14:paraId="3060F0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（一）甲方责任</w:t>
      </w:r>
    </w:p>
    <w:p w14:paraId="1DB107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 为乙方安装施工提供必要的现场条件，协调现场施工相关事宜；</w:t>
      </w:r>
    </w:p>
    <w:p w14:paraId="39822E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 按合同约定及时支付款项；</w:t>
      </w:r>
    </w:p>
    <w:p w14:paraId="6C8D5A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 配合乙方完成现场量尺、验收等工作，及时确认相关图纸、方案。</w:t>
      </w:r>
    </w:p>
    <w:p w14:paraId="569083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</w:t>
      </w:r>
    </w:p>
    <w:p w14:paraId="03316F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（二）乙方责任</w:t>
      </w:r>
    </w:p>
    <w:p w14:paraId="741F93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 严格按照报价单</w:t>
      </w:r>
      <w:r>
        <w:rPr>
          <w:rFonts w:hint="eastAsia" w:ascii="微软雅黑" w:hAnsi="微软雅黑" w:eastAsia="微软雅黑" w:cs="微软雅黑"/>
          <w:lang w:val="en-US" w:eastAsia="zh-CN"/>
        </w:rPr>
        <w:t>品牌、</w:t>
      </w:r>
      <w:r>
        <w:rPr>
          <w:rFonts w:hint="eastAsia" w:ascii="微软雅黑" w:hAnsi="微软雅黑" w:eastAsia="微软雅黑" w:cs="微软雅黑"/>
        </w:rPr>
        <w:t>材质、国家规范制作、安装产品，确保产品质量合格；</w:t>
      </w:r>
    </w:p>
    <w:p w14:paraId="7C51B6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 负责产品运输、安装过程中的安全，承担施工期间的安全事故责任及全部费用，若造成甲方或第三方人身、财产损失的，由乙方全额赔偿；</w:t>
      </w:r>
    </w:p>
    <w:p w14:paraId="5702C8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 负责产品安装后的成品保护，直至甲方验收合格；</w:t>
      </w:r>
    </w:p>
    <w:p w14:paraId="6D5791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 按合同约定提供售后服务，及时处理质量问题；</w:t>
      </w:r>
    </w:p>
    <w:p w14:paraId="561395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 自行承担施工过程中产生的垃圾清运、现场清洁等费用。</w:t>
      </w:r>
    </w:p>
    <w:p w14:paraId="3F1A6E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 xml:space="preserve"> </w:t>
      </w:r>
    </w:p>
    <w:p w14:paraId="75C23D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六、质保期与售后服务</w:t>
      </w:r>
    </w:p>
    <w:p w14:paraId="43BF21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</w:t>
      </w:r>
    </w:p>
    <w:p w14:paraId="69146E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 本合同产品质保期为2年，自验收合格之日起计算；质保期内，因产品质量、安装问题导致的损坏、故障，乙方免费维修、更换；因甲方人为损坏、使用不当导致的，乙方可提供维修服务，费用由甲方承担。</w:t>
      </w:r>
    </w:p>
    <w:p w14:paraId="7FE634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 乙方接到甲方维修通知后，应在2小时内响应，</w:t>
      </w:r>
      <w:r>
        <w:rPr>
          <w:rFonts w:hint="eastAsia" w:ascii="微软雅黑" w:hAnsi="微软雅黑" w:eastAsia="微软雅黑" w:cs="微软雅黑"/>
          <w:lang w:val="en-US" w:eastAsia="zh-CN"/>
        </w:rPr>
        <w:t>12</w:t>
      </w:r>
      <w:r>
        <w:rPr>
          <w:rFonts w:hint="eastAsia" w:ascii="微软雅黑" w:hAnsi="微软雅黑" w:eastAsia="微软雅黑" w:cs="微软雅黑"/>
        </w:rPr>
        <w:t>小时内到场维修，逾期未到场的，甲方可委托第三方维修，费用由乙方承担，甲方有权从质保金中直接扣除，不足部分有权向乙方追偿。</w:t>
      </w:r>
    </w:p>
    <w:p w14:paraId="18DCEE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 质保期届满后，乙方仍需提供终身维修服务，仅收取材料成本费。</w:t>
      </w:r>
    </w:p>
    <w:p w14:paraId="5A34B9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 xml:space="preserve"> </w:t>
      </w:r>
    </w:p>
    <w:p w14:paraId="45D58F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七、违约责任</w:t>
      </w:r>
    </w:p>
    <w:p w14:paraId="706919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</w:t>
      </w:r>
    </w:p>
    <w:p w14:paraId="46A330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 乙方产品</w:t>
      </w:r>
      <w:r>
        <w:rPr>
          <w:rFonts w:hint="eastAsia" w:ascii="微软雅黑" w:hAnsi="微软雅黑" w:eastAsia="微软雅黑" w:cs="微软雅黑"/>
          <w:lang w:val="en-US" w:eastAsia="zh-CN"/>
        </w:rPr>
        <w:t>品牌、</w:t>
      </w:r>
      <w:r>
        <w:rPr>
          <w:rFonts w:hint="eastAsia" w:ascii="微软雅黑" w:hAnsi="微软雅黑" w:eastAsia="微软雅黑" w:cs="微软雅黑"/>
        </w:rPr>
        <w:t>材质、规格不符合报价单约定或国家规范的，甲方有权要求乙方无条件更换、退货，乙方承担由此造成的全部损失，并按该批次产品金额的20%向甲方支付违约金；若乙方拒绝更换，甲方有权解除合同，乙方退还全部已收款项，并按合同暂定总金额的30%支付违约金。</w:t>
      </w:r>
    </w:p>
    <w:p w14:paraId="716D97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2.  </w:t>
      </w:r>
      <w:r>
        <w:rPr>
          <w:rFonts w:hint="eastAsia" w:ascii="微软雅黑" w:hAnsi="微软雅黑" w:eastAsia="微软雅黑" w:cs="微软雅黑"/>
          <w:lang w:val="en-US" w:eastAsia="zh-CN"/>
        </w:rPr>
        <w:t>乙</w:t>
      </w:r>
      <w:r>
        <w:rPr>
          <w:rFonts w:hint="eastAsia" w:ascii="微软雅黑" w:hAnsi="微软雅黑" w:eastAsia="微软雅黑" w:cs="微软雅黑"/>
        </w:rPr>
        <w:t>方擅自解除合同的，应向</w:t>
      </w:r>
      <w:r>
        <w:rPr>
          <w:rFonts w:hint="eastAsia" w:ascii="微软雅黑" w:hAnsi="微软雅黑" w:eastAsia="微软雅黑" w:cs="微软雅黑"/>
          <w:lang w:val="en-US" w:eastAsia="zh-CN"/>
        </w:rPr>
        <w:t>甲</w:t>
      </w:r>
      <w:r>
        <w:rPr>
          <w:rFonts w:hint="eastAsia" w:ascii="微软雅黑" w:hAnsi="微软雅黑" w:eastAsia="微软雅黑" w:cs="微软雅黑"/>
        </w:rPr>
        <w:t>方支付合同暂定总金额20%的违约金。</w:t>
      </w:r>
    </w:p>
    <w:p w14:paraId="54A92F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3</w:t>
      </w:r>
      <w:r>
        <w:rPr>
          <w:rFonts w:hint="eastAsia" w:ascii="微软雅黑" w:hAnsi="微软雅黑" w:eastAsia="微软雅黑" w:cs="微软雅黑"/>
        </w:rPr>
        <w:t>. 乙方不得将本合同项下的权利义务转让、分包给第三方，否则甲方有权解除合同，乙方按合同暂定总金额的30%支付违约金。</w:t>
      </w:r>
    </w:p>
    <w:p w14:paraId="43072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</w:t>
      </w:r>
    </w:p>
    <w:p w14:paraId="408128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八、争议解决</w:t>
      </w:r>
    </w:p>
    <w:p w14:paraId="7C0D20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</w:rPr>
        <w:t>本合同履行过程中发生的争议，双方协商解决；协商不成的，向</w:t>
      </w:r>
      <w:r>
        <w:rPr>
          <w:rFonts w:hint="eastAsia" w:ascii="微软雅黑" w:hAnsi="微软雅黑" w:eastAsia="微软雅黑" w:cs="微软雅黑"/>
          <w:lang w:val="en-US" w:eastAsia="zh-CN"/>
        </w:rPr>
        <w:t>合同签订</w:t>
      </w:r>
      <w:r>
        <w:rPr>
          <w:rFonts w:hint="eastAsia" w:ascii="微软雅黑" w:hAnsi="微软雅黑" w:eastAsia="微软雅黑" w:cs="微软雅黑"/>
        </w:rPr>
        <w:t>所在地人民法院提起诉讼。</w:t>
      </w:r>
    </w:p>
    <w:p w14:paraId="0C7A41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九</w:t>
      </w:r>
      <w:r>
        <w:rPr>
          <w:rFonts w:hint="eastAsia" w:ascii="微软雅黑" w:hAnsi="微软雅黑" w:eastAsia="微软雅黑" w:cs="微软雅黑"/>
          <w:b/>
          <w:bCs/>
        </w:rPr>
        <w:t>、其他约定</w:t>
      </w:r>
    </w:p>
    <w:p w14:paraId="3DFBC0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</w:t>
      </w:r>
    </w:p>
    <w:p w14:paraId="0DA0B6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</w:t>
      </w:r>
      <w:r>
        <w:rPr>
          <w:rFonts w:hint="eastAsia" w:ascii="微软雅黑" w:hAnsi="微软雅黑" w:eastAsia="微软雅黑" w:cs="微软雅黑"/>
          <w:lang w:eastAsia="zh-CN"/>
        </w:rPr>
        <w:t>.</w:t>
      </w:r>
      <w:r>
        <w:rPr>
          <w:rFonts w:hint="eastAsia" w:ascii="微软雅黑" w:hAnsi="微软雅黑" w:eastAsia="微软雅黑" w:cs="微软雅黑"/>
        </w:rPr>
        <w:t>本合同自双方签字盖章之日起生效，一式肆份，甲乙双方各执贰份，具有同等法律效力；</w:t>
      </w:r>
    </w:p>
    <w:p w14:paraId="5219CD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2</w:t>
      </w:r>
      <w:r>
        <w:rPr>
          <w:rFonts w:hint="eastAsia" w:ascii="微软雅黑" w:hAnsi="微软雅黑" w:eastAsia="微软雅黑" w:cs="微软雅黑"/>
        </w:rPr>
        <w:t>. 本合同未尽事宜，双方可签订补充协议，补充协议与本合同具有同等法律效力。</w:t>
      </w:r>
    </w:p>
    <w:p w14:paraId="6165BE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</w:t>
      </w:r>
    </w:p>
    <w:p w14:paraId="0F463C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 </w:t>
      </w:r>
    </w:p>
    <w:p w14:paraId="4D7031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</w:t>
      </w:r>
    </w:p>
    <w:p w14:paraId="7A5222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甲方（签字/盖章）：</w:t>
      </w:r>
      <w:r>
        <w:rPr>
          <w:rFonts w:hint="eastAsia" w:ascii="微软雅黑" w:hAnsi="微软雅黑" w:eastAsia="微软雅黑" w:cs="微软雅黑"/>
          <w:lang w:val="en-US" w:eastAsia="zh-CN"/>
        </w:rPr>
        <w:t>江西铭和建设工程有限公司莲花分公司</w:t>
      </w:r>
    </w:p>
    <w:p w14:paraId="5CA8FE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日期：______年____月____日</w:t>
      </w:r>
    </w:p>
    <w:p w14:paraId="1FD162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</w:t>
      </w:r>
    </w:p>
    <w:p w14:paraId="1EA66E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</w:p>
    <w:p w14:paraId="596E1A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</w:p>
    <w:p w14:paraId="3D183D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</w:p>
    <w:p w14:paraId="142641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乙方（签字/盖章）：萍乡经济技术开发区邦杰智能门窗店</w:t>
      </w:r>
    </w:p>
    <w:p w14:paraId="0B8BDF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日期：______年____月____日</w:t>
      </w:r>
    </w:p>
    <w:p w14:paraId="04C10CAB">
      <w:pPr>
        <w:rPr>
          <w:rFonts w:hint="eastAsia"/>
        </w:rPr>
      </w:pPr>
      <w:r>
        <w:rPr>
          <w:rFonts w:hint="eastAsia"/>
        </w:rPr>
        <w:t xml:space="preserve"> </w:t>
      </w:r>
    </w:p>
    <w:p w14:paraId="619AB028">
      <w:r>
        <w:rPr>
          <w:rFonts w:hint="eastAsia"/>
        </w:rPr>
        <w:t> 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7DF67A"/>
    <w:multiLevelType w:val="singleLevel"/>
    <w:tmpl w:val="C67DF67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305D55FF"/>
    <w:multiLevelType w:val="singleLevel"/>
    <w:tmpl w:val="305D55F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79041C"/>
    <w:rsid w:val="10801618"/>
    <w:rsid w:val="10AE2F81"/>
    <w:rsid w:val="3279041C"/>
    <w:rsid w:val="4ADE4323"/>
    <w:rsid w:val="54FA7E46"/>
    <w:rsid w:val="5D2F3E66"/>
    <w:rsid w:val="61E74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2187</Words>
  <Characters>2485</Characters>
  <Lines>0</Lines>
  <Paragraphs>0</Paragraphs>
  <TotalTime>7</TotalTime>
  <ScaleCrop>false</ScaleCrop>
  <LinksUpToDate>false</LinksUpToDate>
  <CharactersWithSpaces>2662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2026-04-06T01:56:00Z</dcterms:created>
  <dc:creator>chen-ke</dc:creator>
  <cp:lastModifiedBy>chen-ke</cp:lastModifiedBy>
  <cp:lastPrinted>2026-04-07T07:02:54Z</cp:lastPrinted>
  <dcterms:modified xsi:type="dcterms:W3CDTF">2026-04-07T07:02:57Z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5E38C468DCD440919E982765E281145B_13</vt:lpwstr>
  </property>
  <property fmtid="{D5CDD505-2E9C-101B-9397-08002B2CF9AE}" pid="4" name="KSOTemplateDocerSaveRecord">
    <vt:lpwstr>eyJoZGlkIjoiOGM0YzI1ZmNiNzI4NzM5ZmVjZTk0ZmUzOGY2ZmIxNTMiLCJ1c2VySWQiOiI1NDk5ODAzMDAifQ==</vt:lpwstr>
  </property>
</Properties>
</file>