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F4861">
      <w:pPr>
        <w:spacing w:before="0" w:after="40"/>
      </w:pPr>
      <w:bookmarkStart w:id="0" w:name="_GoBack"/>
      <w:bookmarkEnd w:id="0"/>
      <w:r>
        <w:rPr>
          <w:rFonts w:ascii="微软雅黑" w:hAnsi="微软雅黑"/>
          <w:b/>
          <w:color w:val="1B365D"/>
          <w:sz w:val="24"/>
        </w:rPr>
        <w:t>江西柯美环保技术有限公司文件</w:t>
      </w:r>
    </w:p>
    <w:p w14:paraId="0DDAD71B">
      <w:pPr>
        <w:spacing w:after="240"/>
      </w:pPr>
      <w:r>
        <w:rPr>
          <w:rFonts w:ascii="微软雅黑" w:hAnsi="微软雅黑"/>
          <w:color w:val="666666"/>
          <w:sz w:val="20"/>
        </w:rPr>
        <w:t>江西柯美行字〔2024〕32号</w:t>
      </w:r>
    </w:p>
    <w:p w14:paraId="616D7CB2">
      <w:pPr>
        <w:spacing w:before="200" w:after="360"/>
        <w:jc w:val="center"/>
      </w:pPr>
      <w:r>
        <w:rPr>
          <w:rFonts w:ascii="微软雅黑" w:hAnsi="微软雅黑"/>
          <w:b/>
          <w:color w:val="1B365D"/>
          <w:sz w:val="36"/>
        </w:rPr>
        <w:t>《废旧物资处置管理办法》深度分析与解读报告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A905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3DF424">
            <w:pPr>
              <w:spacing w:after="80"/>
            </w:pPr>
            <w:r>
              <w:rPr>
                <w:b/>
                <w:color w:val="1B365D"/>
                <w:sz w:val="22"/>
              </w:rPr>
              <w:t>摘要与核心结论</w:t>
            </w:r>
          </w:p>
          <w:p w14:paraId="4C84ED6B">
            <w:pPr>
              <w:spacing w:after="0"/>
            </w:pPr>
            <w:r>
              <w:rPr>
                <w:color w:val="444444"/>
                <w:sz w:val="19"/>
              </w:rPr>
              <w:t>江西柯美环保技术有限公司于2024年9月9日印发《废旧物资处置管理办法》（江西柯美行字〔2024〕32号）。该文件旨在通过规范废旧物资处置管理流程，贯彻“统一管理、合理利用、集中处置”的基本原则，明确各部门权责，强化现场监管与考核，从而提升公司的综合经济效益。本报告对该管理办法进行了全维度的剖析与建言。</w:t>
            </w:r>
          </w:p>
        </w:tc>
      </w:tr>
    </w:tbl>
    <w:p w14:paraId="253E0E63">
      <w:pPr>
        <w:spacing w:after="240"/>
      </w:pPr>
    </w:p>
    <w:p w14:paraId="3BC24A49">
      <w:pPr>
        <w:keepNext/>
        <w:spacing w:before="320" w:after="160"/>
      </w:pPr>
      <w:r>
        <w:rPr>
          <w:rFonts w:ascii="微软雅黑" w:hAnsi="微软雅黑"/>
          <w:b/>
          <w:color w:val="1B365D"/>
          <w:sz w:val="28"/>
        </w:rPr>
        <w:t>一、 文件基本信息与立法背景</w:t>
      </w:r>
    </w:p>
    <w:p w14:paraId="7A03B7EE">
      <w:pPr>
        <w:spacing w:after="120"/>
      </w:pPr>
      <w:r>
        <w:rPr>
          <w:b/>
        </w:rPr>
        <w:t>1. 发文单位与文号：</w:t>
      </w:r>
      <w:r>
        <w:t>江西柯美环保技术有限公司（江西柯美行字〔2024〕32号）。</w:t>
      </w:r>
      <w:r>
        <w:br w:type="textWrapping"/>
      </w:r>
      <w:r>
        <w:rPr>
          <w:b/>
        </w:rPr>
        <w:t>2. 印发时间与主题：</w:t>
      </w:r>
      <w:r>
        <w:t>2024年9月9日印发，主题词为“物资 处置管理”。</w:t>
      </w:r>
      <w:r>
        <w:br w:type="textWrapping"/>
      </w:r>
      <w:r>
        <w:rPr>
          <w:b/>
        </w:rPr>
        <w:t>3. 核心定义：</w:t>
      </w:r>
      <w:r>
        <w:t>废旧物资明确界定为已办理报废手续的物资，以及已办理固定资产退仓手续但仍具备再利用价值的物资。</w:t>
      </w:r>
    </w:p>
    <w:p w14:paraId="3C5CC166">
      <w:pPr>
        <w:keepNext/>
        <w:spacing w:before="320" w:after="160"/>
      </w:pPr>
      <w:r>
        <w:rPr>
          <w:rFonts w:ascii="微软雅黑" w:hAnsi="微软雅黑"/>
          <w:b/>
          <w:color w:val="1B365D"/>
          <w:sz w:val="28"/>
        </w:rPr>
        <w:t>二、 核心处置原则与模式</w:t>
      </w:r>
    </w:p>
    <w:p w14:paraId="064777DA">
      <w:pPr>
        <w:spacing w:after="120"/>
      </w:pPr>
      <w:r>
        <w:rPr>
          <w:sz w:val="21"/>
        </w:rPr>
        <w:t>废旧物资处置坚持</w:t>
      </w:r>
      <w:r>
        <w:rPr>
          <w:b/>
          <w:color w:val="1B365D"/>
        </w:rPr>
        <w:t>“统一管理、合理利用、集中处置”</w:t>
      </w:r>
      <w:r>
        <w:t>三大原则，主要采取以下两种处置方式：</w:t>
      </w:r>
    </w:p>
    <w:p w14:paraId="59EED3F6">
      <w:pPr>
        <w:pStyle w:val="16"/>
        <w:spacing w:after="60"/>
      </w:pPr>
      <w:r>
        <w:rPr>
          <w:b/>
        </w:rPr>
        <w:t>再利用：</w:t>
      </w:r>
      <w:r>
        <w:t>优先内部调配和循环利用，降低公司生产采购成本。</w:t>
      </w:r>
    </w:p>
    <w:p w14:paraId="1DA82983">
      <w:pPr>
        <w:pStyle w:val="16"/>
        <w:spacing w:after="160"/>
      </w:pPr>
      <w:r>
        <w:rPr>
          <w:b/>
        </w:rPr>
        <w:t>报废变卖处理：</w:t>
      </w:r>
      <w:r>
        <w:t>对无法再次利用的物资，经批准后进行集中公开变卖或残值回收。</w:t>
      </w:r>
    </w:p>
    <w:p w14:paraId="0783E3CD">
      <w:pPr>
        <w:keepNext/>
        <w:spacing w:before="320" w:after="160"/>
      </w:pPr>
      <w:r>
        <w:rPr>
          <w:rFonts w:ascii="微软雅黑" w:hAnsi="微软雅黑"/>
          <w:b/>
          <w:color w:val="1B365D"/>
          <w:sz w:val="28"/>
        </w:rPr>
        <w:t>三、 部门职责分工与协作机制</w:t>
      </w:r>
    </w:p>
    <w:p w14:paraId="247F4977">
      <w:pPr>
        <w:spacing w:after="120"/>
      </w:pPr>
      <w:r>
        <w:t>办法建立了多部门协同、权责分明的全流程管理闭环，具体职责分配如下：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9756D64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389E2">
            <w:r>
              <w:rPr>
                <w:b/>
                <w:color w:val="FFFFFF"/>
                <w:sz w:val="20"/>
              </w:rPr>
              <w:t>部门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F8FE">
            <w:r>
              <w:rPr>
                <w:b/>
                <w:color w:val="FFFFFF"/>
                <w:sz w:val="20"/>
              </w:rPr>
              <w:t>核心职责分工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9153F">
            <w:r>
              <w:rPr>
                <w:b/>
                <w:color w:val="FFFFFF"/>
                <w:sz w:val="20"/>
              </w:rPr>
              <w:t>业务环节</w:t>
            </w:r>
          </w:p>
        </w:tc>
      </w:tr>
      <w:tr w14:paraId="0381A877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68A2E">
            <w:pPr>
              <w:spacing w:after="0"/>
            </w:pPr>
            <w:r>
              <w:rPr>
                <w:sz w:val="19"/>
              </w:rPr>
              <w:t>生产部门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2B6A4">
            <w:pPr>
              <w:spacing w:after="0"/>
            </w:pPr>
            <w:r>
              <w:rPr>
                <w:sz w:val="19"/>
              </w:rPr>
              <w:t>1. 报废申请与分类标识；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2. 可再利用物资的安排与使用；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3. 现场拆卸与现场管理；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4. 移交运送至五金仓库指定地点并办理交接。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74679">
            <w:pPr>
              <w:spacing w:after="0"/>
            </w:pPr>
            <w:r>
              <w:rPr>
                <w:sz w:val="19"/>
              </w:rPr>
              <w:t>源头拆解与申请</w:t>
            </w:r>
          </w:p>
        </w:tc>
      </w:tr>
      <w:tr w14:paraId="6A811610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10956">
            <w:pPr>
              <w:spacing w:after="0"/>
            </w:pPr>
            <w:r>
              <w:rPr>
                <w:sz w:val="19"/>
              </w:rPr>
              <w:t>五金仓库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69FC5">
            <w:pPr>
              <w:spacing w:after="0"/>
            </w:pPr>
            <w:r>
              <w:rPr>
                <w:sz w:val="19"/>
              </w:rPr>
              <w:t>1. 按类别分类存放已报废物资；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2. 现场实物数量管理；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3. 向采购部提交处置申请。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ABA3D">
            <w:pPr>
              <w:spacing w:after="0"/>
            </w:pPr>
            <w:r>
              <w:rPr>
                <w:sz w:val="19"/>
              </w:rPr>
              <w:t>仓储与数量管控</w:t>
            </w:r>
          </w:p>
        </w:tc>
      </w:tr>
      <w:tr w14:paraId="151B354E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888CB">
            <w:pPr>
              <w:spacing w:after="0"/>
            </w:pPr>
            <w:r>
              <w:rPr>
                <w:sz w:val="19"/>
              </w:rPr>
              <w:t>采购部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1074F">
            <w:pPr>
              <w:spacing w:after="0"/>
            </w:pPr>
            <w:r>
              <w:rPr>
                <w:sz w:val="19"/>
              </w:rPr>
              <w:t>1. 牵头建立/完善公司处置细则；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2. 收集汇总处置需求并制定细则；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3. 牵头负责经批准物资的变卖处置与招标。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4C8E9">
            <w:pPr>
              <w:spacing w:after="0"/>
            </w:pPr>
            <w:r>
              <w:rPr>
                <w:sz w:val="19"/>
              </w:rPr>
              <w:t>细则制定与变卖执行</w:t>
            </w:r>
          </w:p>
        </w:tc>
      </w:tr>
      <w:tr w14:paraId="3582534C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D17F5">
            <w:pPr>
              <w:spacing w:after="0"/>
            </w:pPr>
            <w:r>
              <w:rPr>
                <w:sz w:val="19"/>
              </w:rPr>
              <w:t>财务部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A3E97">
            <w:pPr>
              <w:spacing w:after="0"/>
            </w:pPr>
            <w:r>
              <w:rPr>
                <w:sz w:val="19"/>
              </w:rPr>
              <w:t>1. 负责报废物资过磅监督；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2. 负责处置款项的收缴与账务处理。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209D0">
            <w:pPr>
              <w:spacing w:after="0"/>
            </w:pPr>
            <w:r>
              <w:rPr>
                <w:sz w:val="19"/>
              </w:rPr>
              <w:t>过磅及收款财务监督</w:t>
            </w:r>
          </w:p>
        </w:tc>
      </w:tr>
      <w:tr w14:paraId="27CDE9A5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7E17C">
            <w:pPr>
              <w:spacing w:after="0"/>
            </w:pPr>
            <w:r>
              <w:rPr>
                <w:sz w:val="19"/>
              </w:rPr>
              <w:t>人资行政部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33626">
            <w:pPr>
              <w:spacing w:after="0"/>
            </w:pPr>
            <w:r>
              <w:rPr>
                <w:sz w:val="19"/>
              </w:rPr>
              <w:t>1. 全过程跟踪、监督与检查；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2. 参与市场报价比对与评估；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3. 监督现场履职情况，按《员工守则》进行考核。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BEAC7">
            <w:pPr>
              <w:spacing w:after="0"/>
            </w:pPr>
            <w:r>
              <w:rPr>
                <w:sz w:val="19"/>
              </w:rPr>
              <w:t>全程监督与合规考核</w:t>
            </w:r>
          </w:p>
        </w:tc>
      </w:tr>
    </w:tbl>
    <w:p w14:paraId="3E0B7E58">
      <w:pPr>
        <w:spacing w:after="200"/>
      </w:pPr>
    </w:p>
    <w:p w14:paraId="20E86FDE">
      <w:pPr>
        <w:keepNext/>
        <w:spacing w:before="320" w:after="160"/>
      </w:pPr>
      <w:r>
        <w:rPr>
          <w:rFonts w:ascii="微软雅黑" w:hAnsi="微软雅黑"/>
          <w:b/>
          <w:color w:val="1B365D"/>
          <w:sz w:val="28"/>
        </w:rPr>
        <w:t>四、 废旧物资分类管理架构</w:t>
      </w:r>
    </w:p>
    <w:p w14:paraId="58EDB0E9">
      <w:pPr>
        <w:spacing w:after="120"/>
      </w:pPr>
      <w:r>
        <w:t>规范明确将废旧物资细分为七大类别，以便于分类堆放、精准计价和效益最大化：</w:t>
      </w:r>
    </w:p>
    <w:p w14:paraId="408EAE61"/>
    <w:p w14:paraId="01B347CF">
      <w:pPr>
        <w:pStyle w:val="16"/>
        <w:spacing w:after="40"/>
      </w:pPr>
      <w:r>
        <w:rPr>
          <w:b/>
        </w:rPr>
        <w:t>铜类：</w:t>
      </w:r>
      <w:r>
        <w:t>高价值有色金属，重点防偷盗</w:t>
      </w:r>
    </w:p>
    <w:p w14:paraId="3D118CDE">
      <w:pPr>
        <w:pStyle w:val="16"/>
        <w:spacing w:after="40"/>
      </w:pPr>
      <w:r>
        <w:rPr>
          <w:b/>
        </w:rPr>
        <w:t>铝类：</w:t>
      </w:r>
      <w:r>
        <w:t>常见有色金属，规范分类</w:t>
      </w:r>
    </w:p>
    <w:p w14:paraId="515B0A6F">
      <w:pPr>
        <w:pStyle w:val="16"/>
        <w:spacing w:after="40"/>
      </w:pPr>
      <w:r>
        <w:rPr>
          <w:b/>
        </w:rPr>
        <w:t>不锈钢类：</w:t>
      </w:r>
      <w:r>
        <w:t>按材质区分堆放</w:t>
      </w:r>
    </w:p>
    <w:p w14:paraId="65542297">
      <w:pPr>
        <w:pStyle w:val="16"/>
        <w:spacing w:after="40"/>
      </w:pPr>
      <w:r>
        <w:rPr>
          <w:b/>
        </w:rPr>
        <w:t>废铁类：</w:t>
      </w:r>
      <w:r>
        <w:t>大宗黑色金属，计量过磅</w:t>
      </w:r>
    </w:p>
    <w:p w14:paraId="47B67278">
      <w:pPr>
        <w:pStyle w:val="16"/>
        <w:spacing w:after="40"/>
      </w:pPr>
      <w:r>
        <w:rPr>
          <w:b/>
        </w:rPr>
        <w:t>电气类：</w:t>
      </w:r>
      <w:r>
        <w:t>电缆、开关、控制柜等专业设备</w:t>
      </w:r>
    </w:p>
    <w:p w14:paraId="5AFCA6B6">
      <w:pPr>
        <w:pStyle w:val="16"/>
        <w:spacing w:after="40"/>
      </w:pPr>
      <w:r>
        <w:rPr>
          <w:b/>
        </w:rPr>
        <w:t>机械混合类：</w:t>
      </w:r>
      <w:r>
        <w:t>复杂机械组件</w:t>
      </w:r>
    </w:p>
    <w:p w14:paraId="7FD550D9">
      <w:pPr>
        <w:pStyle w:val="16"/>
        <w:spacing w:after="40"/>
      </w:pPr>
      <w:r>
        <w:rPr>
          <w:b/>
        </w:rPr>
        <w:t>废旧设备类：</w:t>
      </w:r>
      <w:r>
        <w:t>成套或单体固定资产设备</w:t>
      </w:r>
    </w:p>
    <w:p w14:paraId="4038A6BC">
      <w:pPr>
        <w:keepNext/>
        <w:spacing w:before="320" w:after="160"/>
      </w:pPr>
      <w:r>
        <w:rPr>
          <w:rFonts w:ascii="微软雅黑" w:hAnsi="微软雅黑"/>
          <w:b/>
          <w:color w:val="1B365D"/>
          <w:sz w:val="28"/>
        </w:rPr>
        <w:t>五、 制度亮点与综合评价</w:t>
      </w:r>
    </w:p>
    <w:p w14:paraId="1BA146B9">
      <w:pPr>
        <w:keepNext/>
        <w:spacing w:before="200" w:after="80"/>
      </w:pPr>
      <w:r>
        <w:rPr>
          <w:rFonts w:ascii="微软雅黑" w:hAnsi="微软雅黑"/>
          <w:b/>
          <w:color w:val="2B548A"/>
          <w:sz w:val="23"/>
        </w:rPr>
        <w:t>1. 亮点分析</w:t>
      </w:r>
    </w:p>
    <w:p w14:paraId="58E8C16F">
      <w:pPr>
        <w:spacing w:after="80"/>
      </w:pPr>
      <w:r>
        <w:rPr>
          <w:b/>
        </w:rPr>
        <w:t>• 职责界面清晰：</w:t>
      </w:r>
      <w:r>
        <w:t>贯穿了申请、拆卸、仓储、变卖、过磅收款到监督的全流程，形成了完整的权责闭环。</w:t>
      </w:r>
      <w:r>
        <w:br w:type="textWrapping"/>
      </w:r>
      <w:r>
        <w:rPr>
          <w:b/>
        </w:rPr>
        <w:t>• 业务交叉监督：</w:t>
      </w:r>
      <w:r>
        <w:t>采购负责处置，财务负责过磅与收款，人资行政负责全程监督与比价，有效防范内部舞弊与资产流失。</w:t>
      </w:r>
      <w:r>
        <w:br w:type="textWrapping"/>
      </w:r>
      <w:r>
        <w:rPr>
          <w:b/>
        </w:rPr>
        <w:t>• 考核机制明确：</w:t>
      </w:r>
      <w:r>
        <w:t>引入《员工守则》条款，对现场管理未尽职人员实施严格考核，确保制度落地执行。</w:t>
      </w:r>
    </w:p>
    <w:p w14:paraId="4979BA1D">
      <w:pPr>
        <w:keepNext/>
        <w:spacing w:before="200" w:after="80"/>
      </w:pPr>
      <w:r>
        <w:rPr>
          <w:rFonts w:ascii="微软雅黑" w:hAnsi="微软雅黑"/>
          <w:b/>
          <w:color w:val="2B548A"/>
          <w:sz w:val="23"/>
        </w:rPr>
        <w:t>2. 改进建言（优化建议）</w:t>
      </w:r>
    </w:p>
    <w:p w14:paraId="075FDBF1">
      <w:pPr>
        <w:spacing w:after="80"/>
      </w:pPr>
      <w:r>
        <w:rPr>
          <w:b/>
        </w:rPr>
        <w:t>• 完善定价机制：</w:t>
      </w:r>
      <w:r>
        <w:t>建议采购部在制定处置细则时，明确废旧物资公开竞价、多家竞比或参考市场大宗商品价格指数的定价标准。</w:t>
      </w:r>
      <w:r>
        <w:br w:type="textWrapping"/>
      </w:r>
      <w:r>
        <w:rPr>
          <w:b/>
        </w:rPr>
        <w:t>• 引入数字化管理：</w:t>
      </w:r>
      <w:r>
        <w:t>建立废旧物资台账电子化，过磅数据自动联锁，提高数据透明度与追溯能力。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55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1202</Words>
  <Characters>1240</Characters>
  <Lines>0</Lines>
  <Paragraphs>0</Paragraphs>
  <TotalTime>0</TotalTime>
  <ScaleCrop>false</ScaleCrop>
  <LinksUpToDate>false</LinksUpToDate>
  <CharactersWithSpaces>1271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mrseven</cp:lastModifiedBy>
  <dcterms:modified xsi:type="dcterms:W3CDTF">2026-09-02T02:31:03Z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4B78FF9473C849D1995EC07BCB8981C0_13</vt:lpwstr>
  </property>
</Properties>
</file>