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17A3E">
      <w:pPr>
        <w:spacing w:before="0" w:after="120"/>
        <w:jc w:val="center"/>
      </w:pPr>
      <w:r>
        <w:rPr>
          <w:rFonts w:ascii="黑体" w:hAnsi="黑体" w:eastAsia="黑体"/>
          <w:b/>
          <w:color w:val="C00000"/>
          <w:sz w:val="44"/>
        </w:rPr>
        <w:t>江西柯美环保技术有限公司文件</w:t>
      </w:r>
    </w:p>
    <w:p w14:paraId="625671C4">
      <w:pPr>
        <w:spacing w:after="240"/>
        <w:jc w:val="center"/>
      </w:pPr>
      <w:r>
        <w:rPr>
          <w:rFonts w:ascii="仿宋" w:hAnsi="仿宋" w:eastAsia="仿宋"/>
          <w:b/>
          <w:sz w:val="24"/>
        </w:rPr>
        <w:t>江西柯美行字〔2024〕32号</w:t>
      </w:r>
    </w:p>
    <w:p w14:paraId="5111582D">
      <w:pPr>
        <w:pBdr>
          <w:bottom w:val="single" w:color="C00000" w:sz="18" w:space="1"/>
        </w:pBdr>
        <w:spacing w:after="360"/>
      </w:pPr>
    </w:p>
    <w:p w14:paraId="04D9E0CB">
      <w:pPr>
        <w:spacing w:after="360"/>
        <w:jc w:val="center"/>
      </w:pPr>
      <w:r>
        <w:rPr>
          <w:rFonts w:ascii="黑体" w:hAnsi="黑体" w:eastAsia="黑体"/>
          <w:b/>
          <w:sz w:val="36"/>
        </w:rPr>
        <w:t>废旧物资处置管理办法</w:t>
      </w:r>
    </w:p>
    <w:p w14:paraId="3986BDB7">
      <w:pPr>
        <w:spacing w:after="80" w:line="300" w:lineRule="auto"/>
        <w:ind w:firstLine="480"/>
      </w:pPr>
      <w:r>
        <w:rPr>
          <w:rFonts w:ascii="仿宋" w:hAnsi="仿宋" w:eastAsia="仿宋"/>
        </w:rPr>
        <w:t>为规范公司废旧物资管理,明确废旧物资处置管理程序,提高综合经济效益,结合公司实际情况,制定本办法。</w:t>
      </w:r>
    </w:p>
    <w:p w14:paraId="60FC10A1">
      <w:pPr>
        <w:spacing w:after="80" w:line="300" w:lineRule="auto"/>
        <w:ind w:firstLine="480"/>
      </w:pPr>
      <w:r>
        <w:rPr>
          <w:rFonts w:ascii="黑体" w:hAnsi="黑体" w:eastAsia="黑体"/>
          <w:b/>
        </w:rPr>
        <w:t>一、本办法所称废旧物资是指已办理报废手续的物资及已办理固定资产退仓手续但还可以再利用的物资等。</w:t>
      </w:r>
    </w:p>
    <w:p w14:paraId="585A1AA9">
      <w:pPr>
        <w:spacing w:after="80" w:line="300" w:lineRule="auto"/>
        <w:ind w:firstLine="480"/>
      </w:pPr>
      <w:r>
        <w:rPr>
          <w:rFonts w:ascii="黑体" w:hAnsi="黑体" w:eastAsia="黑体"/>
          <w:b/>
        </w:rPr>
        <w:t>二、本办法所称的废旧物资处置主要分为再利用和报废变卖处理两种方式,废旧物资处置实行“统一管理、合理利用、集中处置”的原则。</w:t>
      </w:r>
    </w:p>
    <w:p w14:paraId="6C2189FB">
      <w:pPr>
        <w:spacing w:after="80" w:line="300" w:lineRule="auto"/>
        <w:ind w:firstLine="480"/>
      </w:pPr>
      <w:r>
        <w:rPr>
          <w:rFonts w:ascii="黑体" w:hAnsi="黑体" w:eastAsia="黑体"/>
          <w:b/>
        </w:rPr>
        <w:t>三、各部门管理职责:</w:t>
      </w:r>
    </w:p>
    <w:p w14:paraId="441A41B8">
      <w:pPr>
        <w:spacing w:after="80" w:line="300" w:lineRule="auto"/>
        <w:ind w:firstLine="480"/>
      </w:pPr>
      <w:r>
        <w:rPr>
          <w:rFonts w:ascii="楷体" w:hAnsi="楷体" w:eastAsia="楷体"/>
          <w:b/>
        </w:rPr>
        <w:t>(一)生产部门:</w:t>
      </w:r>
    </w:p>
    <w:p w14:paraId="7D31AB4B">
      <w:pPr>
        <w:spacing w:after="80" w:line="300" w:lineRule="auto"/>
        <w:ind w:left="480"/>
      </w:pPr>
      <w:r>
        <w:rPr>
          <w:rFonts w:ascii="仿宋" w:hAnsi="仿宋" w:eastAsia="仿宋"/>
        </w:rPr>
        <w:t>1、负责将已报废的物资提交报废申请,并按照类别进行区分;</w:t>
      </w:r>
    </w:p>
    <w:p w14:paraId="7C1F9D24">
      <w:pPr>
        <w:spacing w:after="80" w:line="300" w:lineRule="auto"/>
        <w:ind w:left="480"/>
      </w:pPr>
      <w:r>
        <w:rPr>
          <w:rFonts w:ascii="仿宋" w:hAnsi="仿宋" w:eastAsia="仿宋"/>
        </w:rPr>
        <w:t>2、安排可再次利用的物资的使用;</w:t>
      </w:r>
    </w:p>
    <w:p w14:paraId="5F416159">
      <w:pPr>
        <w:spacing w:after="80" w:line="300" w:lineRule="auto"/>
        <w:ind w:left="480"/>
      </w:pPr>
      <w:r>
        <w:rPr>
          <w:rFonts w:ascii="仿宋" w:hAnsi="仿宋" w:eastAsia="仿宋"/>
        </w:rPr>
        <w:t>3、负责废旧物资拆卸和现场管理工作;</w:t>
      </w:r>
    </w:p>
    <w:p w14:paraId="48DCFB9D">
      <w:pPr>
        <w:spacing w:after="80" w:line="300" w:lineRule="auto"/>
        <w:ind w:left="480"/>
      </w:pPr>
      <w:r>
        <w:rPr>
          <w:rFonts w:ascii="仿宋" w:hAnsi="仿宋" w:eastAsia="仿宋"/>
        </w:rPr>
        <w:t>4、负责将分好类别的报废物资运送至五金仓库指定地点进行存放,做好交接手续;</w:t>
      </w:r>
    </w:p>
    <w:p w14:paraId="250A95A5">
      <w:pPr>
        <w:spacing w:after="80" w:line="300" w:lineRule="auto"/>
        <w:ind w:firstLine="480"/>
      </w:pPr>
      <w:r>
        <w:rPr>
          <w:rFonts w:ascii="楷体" w:hAnsi="楷体" w:eastAsia="楷体"/>
          <w:b/>
        </w:rPr>
        <w:t>(二)五金仓库:</w:t>
      </w:r>
    </w:p>
    <w:p w14:paraId="4643AB36">
      <w:pPr>
        <w:spacing w:after="80" w:line="300" w:lineRule="auto"/>
        <w:ind w:left="480"/>
      </w:pPr>
      <w:r>
        <w:rPr>
          <w:rFonts w:ascii="仿宋" w:hAnsi="仿宋" w:eastAsia="仿宋"/>
        </w:rPr>
        <w:t>1、负责对已提交报废申请的物资按照类别,进行分类存放;</w:t>
      </w:r>
    </w:p>
    <w:p w14:paraId="5708CCAA">
      <w:pPr>
        <w:spacing w:after="80" w:line="300" w:lineRule="auto"/>
        <w:ind w:left="480"/>
      </w:pPr>
      <w:r>
        <w:rPr>
          <w:rFonts w:ascii="仿宋" w:hAnsi="仿宋" w:eastAsia="仿宋"/>
        </w:rPr>
        <w:t>2、对废旧物资的现场存放管理(数量);</w:t>
      </w:r>
    </w:p>
    <w:p w14:paraId="75D24104">
      <w:pPr>
        <w:spacing w:after="80" w:line="300" w:lineRule="auto"/>
        <w:ind w:left="480"/>
      </w:pPr>
      <w:r>
        <w:rPr>
          <w:rFonts w:ascii="仿宋" w:hAnsi="仿宋" w:eastAsia="仿宋"/>
        </w:rPr>
        <w:t>3、向采购部提交废旧物资处置申请;</w:t>
      </w:r>
    </w:p>
    <w:p w14:paraId="2AD9CE98">
      <w:pPr>
        <w:spacing w:after="80" w:line="300" w:lineRule="auto"/>
        <w:ind w:firstLine="480"/>
      </w:pPr>
      <w:r>
        <w:rPr>
          <w:rFonts w:ascii="楷体" w:hAnsi="楷体" w:eastAsia="楷体"/>
          <w:b/>
        </w:rPr>
        <w:t>(三)采购部:</w:t>
      </w:r>
    </w:p>
    <w:p w14:paraId="521B433D">
      <w:pPr>
        <w:spacing w:after="80" w:line="300" w:lineRule="auto"/>
        <w:ind w:left="480"/>
      </w:pPr>
      <w:r>
        <w:rPr>
          <w:rFonts w:ascii="仿宋" w:hAnsi="仿宋" w:eastAsia="仿宋"/>
        </w:rPr>
        <w:t>1、负责建立和完善公司废旧物资处置细则;</w:t>
      </w:r>
    </w:p>
    <w:p w14:paraId="58256FCE">
      <w:pPr>
        <w:spacing w:after="80" w:line="300" w:lineRule="auto"/>
        <w:ind w:left="480"/>
      </w:pPr>
      <w:r>
        <w:rPr>
          <w:rFonts w:ascii="仿宋" w:hAnsi="仿宋" w:eastAsia="仿宋"/>
        </w:rPr>
        <w:t>2、负责收集、汇总废旧物资处置需求,制定废旧物资处置细则;</w:t>
      </w:r>
    </w:p>
    <w:p w14:paraId="6E453208">
      <w:pPr>
        <w:spacing w:after="80" w:line="300" w:lineRule="auto"/>
        <w:ind w:left="480"/>
      </w:pPr>
      <w:r>
        <w:rPr>
          <w:rFonts w:ascii="仿宋" w:hAnsi="仿宋" w:eastAsia="仿宋"/>
        </w:rPr>
        <w:t>3、负责处置经公司批准的、可处理的废旧物资。</w:t>
      </w:r>
    </w:p>
    <w:p w14:paraId="70E8617E">
      <w:pPr>
        <w:spacing w:after="80" w:line="300" w:lineRule="auto"/>
        <w:ind w:firstLine="480"/>
      </w:pPr>
      <w:r>
        <w:rPr>
          <w:rFonts w:ascii="楷体" w:hAnsi="楷体" w:eastAsia="楷体"/>
          <w:b/>
        </w:rPr>
        <w:t>(四)财务部</w:t>
      </w:r>
    </w:p>
    <w:p w14:paraId="6C368E11">
      <w:pPr>
        <w:spacing w:after="80" w:line="300" w:lineRule="auto"/>
        <w:ind w:left="480"/>
      </w:pPr>
      <w:r>
        <w:rPr>
          <w:rFonts w:ascii="仿宋" w:hAnsi="仿宋" w:eastAsia="仿宋"/>
        </w:rPr>
        <w:t>1、负责报废物资过磅及收款工作。</w:t>
      </w:r>
    </w:p>
    <w:p w14:paraId="61DF5B4C">
      <w:pPr>
        <w:spacing w:after="80" w:line="300" w:lineRule="auto"/>
        <w:ind w:firstLine="480"/>
      </w:pPr>
      <w:r>
        <w:rPr>
          <w:rFonts w:ascii="楷体" w:hAnsi="楷体" w:eastAsia="楷体"/>
          <w:b/>
        </w:rPr>
        <w:t>(五)人资行政部</w:t>
      </w:r>
    </w:p>
    <w:p w14:paraId="5E6842EE">
      <w:pPr>
        <w:spacing w:after="80" w:line="300" w:lineRule="auto"/>
        <w:ind w:left="480"/>
      </w:pPr>
      <w:r>
        <w:rPr>
          <w:rFonts w:ascii="仿宋" w:hAnsi="仿宋" w:eastAsia="仿宋"/>
        </w:rPr>
        <w:t>1、负责对废旧物资处置工作全过程进行跟踪、监督、检查;</w:t>
      </w:r>
    </w:p>
    <w:p w14:paraId="6834A7F0">
      <w:pPr>
        <w:spacing w:after="80" w:line="300" w:lineRule="auto"/>
        <w:ind w:left="480"/>
      </w:pPr>
      <w:r>
        <w:rPr>
          <w:rFonts w:ascii="仿宋" w:hAnsi="仿宋" w:eastAsia="仿宋"/>
        </w:rPr>
        <w:t>2、负责参与废旧物资处置报价,进行比对;</w:t>
      </w:r>
    </w:p>
    <w:p w14:paraId="4CDD6EB8">
      <w:pPr>
        <w:spacing w:after="80" w:line="300" w:lineRule="auto"/>
        <w:ind w:firstLine="480"/>
      </w:pPr>
      <w:r>
        <w:rPr>
          <w:rFonts w:ascii="黑体" w:hAnsi="黑体" w:eastAsia="黑体"/>
          <w:b/>
        </w:rPr>
        <w:t>四、废旧物资类别分为:铜类、铝类、不锈钢类、废铁类、电气类、机械混合类和废旧设备类;</w:t>
      </w:r>
    </w:p>
    <w:p w14:paraId="51EFD505">
      <w:pPr>
        <w:spacing w:after="80" w:line="300" w:lineRule="auto"/>
        <w:ind w:firstLine="480"/>
      </w:pPr>
      <w:r>
        <w:rPr>
          <w:rFonts w:ascii="黑体" w:hAnsi="黑体" w:eastAsia="黑体"/>
          <w:b/>
        </w:rPr>
        <w:t>五、处置废旧物资由采购部牵头,五金仓库、行政部门指派人员参加,负责对公司的废旧物资处置工作进行检查与考核。</w:t>
      </w:r>
    </w:p>
    <w:p w14:paraId="7AE52996">
      <w:pPr>
        <w:spacing w:after="80" w:line="300" w:lineRule="auto"/>
        <w:ind w:firstLine="480"/>
      </w:pPr>
      <w:r>
        <w:rPr>
          <w:rFonts w:ascii="黑体" w:hAnsi="黑体" w:eastAsia="黑体"/>
          <w:b/>
        </w:rPr>
        <w:t>六、各部门指派人员在现场未尽到管理职责的,将按照《员工守则》相关条款进行考核。</w:t>
      </w:r>
    </w:p>
    <w:p w14:paraId="183EC9EE">
      <w:pPr>
        <w:spacing w:after="240"/>
      </w:pPr>
    </w:p>
    <w:p w14:paraId="7E3295A3">
      <w:pPr>
        <w:pBdr>
          <w:top w:val="single" w:color="000000" w:sz="6" w:space="1"/>
          <w:bottom w:val="single" w:color="000000" w:sz="6" w:space="1"/>
        </w:pBdr>
        <w:spacing w:after="120"/>
      </w:pPr>
    </w:p>
    <w:p w14:paraId="5AAD5DAA">
      <w:pPr>
        <w:spacing w:after="40"/>
      </w:pPr>
      <w:r>
        <w:rPr>
          <w:rFonts w:ascii="仿宋" w:hAnsi="仿宋" w:eastAsia="仿宋"/>
          <w:sz w:val="21"/>
        </w:rPr>
        <w:t>主题词：物资  处置</w:t>
      </w:r>
      <w:r>
        <w:rPr>
          <w:rFonts w:hint="eastAsia" w:ascii="仿宋" w:hAnsi="仿宋" w:eastAsia="仿宋"/>
          <w:sz w:val="21"/>
          <w:lang w:val="en-US" w:eastAsia="zh-CN"/>
        </w:rPr>
        <w:t xml:space="preserve">   </w:t>
      </w:r>
      <w:bookmarkStart w:id="0" w:name="_GoBack"/>
      <w:bookmarkEnd w:id="0"/>
      <w:r>
        <w:rPr>
          <w:rFonts w:ascii="仿宋" w:hAnsi="仿宋" w:eastAsia="仿宋"/>
          <w:sz w:val="21"/>
        </w:rPr>
        <w:t>管理</w:t>
      </w:r>
    </w:p>
    <w:p w14:paraId="79BD1532">
      <w:pPr>
        <w:spacing w:after="120"/>
      </w:pPr>
      <w:r>
        <w:rPr>
          <w:rFonts w:ascii="仿宋" w:hAnsi="仿宋" w:eastAsia="仿宋"/>
          <w:sz w:val="21"/>
        </w:rPr>
        <w:t>抄送：董事长</w:t>
      </w:r>
    </w:p>
    <w:p w14:paraId="0DA669D1">
      <w:pPr>
        <w:spacing w:before="240"/>
        <w:jc w:val="right"/>
      </w:pPr>
      <w:r>
        <w:rPr>
          <w:rFonts w:ascii="仿宋" w:hAnsi="仿宋" w:eastAsia="仿宋"/>
          <w:sz w:val="21"/>
        </w:rPr>
        <w:t>江西柯美环保技术有限公司</w:t>
      </w:r>
      <w:r>
        <w:rPr>
          <w:rFonts w:ascii="仿宋" w:hAnsi="仿宋" w:eastAsia="仿宋"/>
          <w:sz w:val="21"/>
        </w:rPr>
        <w:br w:type="textWrapping"/>
      </w:r>
      <w:r>
        <w:rPr>
          <w:rFonts w:ascii="仿宋" w:hAnsi="仿宋" w:eastAsia="仿宋"/>
          <w:sz w:val="21"/>
        </w:rPr>
        <w:t>2024年9月9日印发</w:t>
      </w:r>
    </w:p>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1C36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704</Words>
  <Characters>712</Characters>
  <Lines>0</Lines>
  <Paragraphs>0</Paragraphs>
  <TotalTime>0</TotalTime>
  <ScaleCrop>false</ScaleCrop>
  <LinksUpToDate>false</LinksUpToDate>
  <CharactersWithSpaces>714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mrseven</cp:lastModifiedBy>
  <dcterms:modified xsi:type="dcterms:W3CDTF">2026-09-02T02:32:38Z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eyJoZGlkIjoiY2EzNmE4Y2QzMjgzZjMyMWMxOGMxNjc1MmE1ZDAyMDEiLCJ1c2VySWQiOiIzNjA0ODMxNzEifQ==</vt:lpwstr>
  </property>
  <property fmtid="{D5CDD505-2E9C-101B-9397-08002B2CF9AE}" pid="3" name="KSOProductBuildVer">
    <vt:lpwstr>2052-12.1.0.28505</vt:lpwstr>
  </property>
  <property fmtid="{D5CDD505-2E9C-101B-9397-08002B2CF9AE}" pid="4" name="ICV">
    <vt:lpwstr>EC728DEE1D5047348F41D807723658DA_12</vt:lpwstr>
  </property>
</Properties>
</file>