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一、董事长讲话核心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抢回碎解进度</w:t>
      </w:r>
      <w:r>
        <w:rPr>
          <w:rFonts w:ascii="仿宋" w:cs="仿宋" w:eastAsia="仿宋" w:hAnsi="仿宋"/>
          <w:sz w:val="24"/>
          <w:szCs w:val="24"/>
        </w:rPr>
        <w:t xml:space="preserve">：5600 车间试运行进入 57 天倒计时。针对碎解车间意外延误，张晓明处要加强协调并及时跟进，争取抢回相关土建进度；总经理强化冲刺，林工尽量展开工作面，尽快恢复碎解车间进度。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管控设备预付款风险</w:t>
      </w:r>
      <w:r>
        <w:rPr>
          <w:rFonts w:ascii="仿宋" w:cs="仿宋" w:eastAsia="仿宋" w:hAnsi="仿宋"/>
          <w:sz w:val="24"/>
          <w:szCs w:val="24"/>
        </w:rPr>
        <w:t xml:space="preserve">：安排相关人员赴已订购并支付预付款的生产单位现场考察，了解设备生产进度，保障项目安装并管控资产风险。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保障锅炉拆除期间资产安全</w:t>
      </w:r>
      <w:r>
        <w:rPr>
          <w:rFonts w:ascii="仿宋" w:cs="仿宋" w:eastAsia="仿宋" w:hAnsi="仿宋"/>
          <w:sz w:val="24"/>
          <w:szCs w:val="24"/>
        </w:rPr>
        <w:t xml:space="preserve">：锅炉出售后拆除工期约三个月，第三方人员进场期间须完善现场跟进和厂区自有财产防护。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精细处置老厂资产</w:t>
      </w:r>
      <w:r>
        <w:rPr>
          <w:rFonts w:ascii="仿宋" w:cs="仿宋" w:eastAsia="仿宋" w:hAnsi="仿宋"/>
          <w:sz w:val="24"/>
          <w:szCs w:val="24"/>
        </w:rPr>
        <w:t xml:space="preserve">：明确待处置资产的销售和计价方式，尽量按设备价值处置，避免一律按废铁粗放处理，提升废旧资产回收利用价值。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统筹销售工作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：围绕乐志伟到位后的人员、运费、业务、老厂仓库存货和渠道等事项统筹规划。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二、总经理讲话核心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会前展示进度</w:t>
      </w:r>
      <w:r>
        <w:rPr>
          <w:rFonts w:ascii="仿宋" w:cs="仿宋" w:eastAsia="仿宋" w:hAnsi="仿宋"/>
          <w:sz w:val="24"/>
          <w:szCs w:val="24"/>
        </w:rPr>
        <w:t xml:space="preserve">：每周周会交办事项须在会前统筹完成进度和情况，并在会上展示，便于掌握整体进展和进一步讨论。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完善专业计划</w:t>
      </w:r>
      <w:r>
        <w:rPr>
          <w:rFonts w:ascii="仿宋" w:cs="仿宋" w:eastAsia="仿宋" w:hAnsi="仿宋"/>
          <w:sz w:val="24"/>
          <w:szCs w:val="24"/>
        </w:rPr>
        <w:t xml:space="preserve">：各专业继续完善计划；分批次协同部门负责人及主管，优化计划书写规范和质量，提升项目管理水平。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衔接土建与专业计划</w:t>
      </w:r>
      <w:r>
        <w:rPr>
          <w:rFonts w:ascii="仿宋" w:cs="仿宋" w:eastAsia="仿宋" w:hAnsi="仿宋"/>
          <w:sz w:val="24"/>
          <w:szCs w:val="24"/>
        </w:rPr>
        <w:t xml:space="preserve">：张晓明处要及时补齐土建计划；各部门掌握全部土建节点和计划，并与各专业计划衔接，确保整体进度协调、可控。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三、重点工作时间节点（9.1—9.7 重点工作计划）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废纸棚（一）基础定位划线并准备开挖；4600 图纸交付计划节点；接入电系统、用电方案报批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外围蒸汽冷凝水管廊及管道设计；清水及消防水管廊设计；生产/电站/污水进现场办公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电站外电接入系统设施安装；水处理问泉设备安装并确保单线运行；清水站水泵安装完成，清水及污水管线铺设完成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化水车间土建收尾、二次风机基础、制浆车间管架及电缆桥架安装、污泥脱水间单体设备安装、高低压柜安装的调整节点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倒计时：水处理距离运行 32 天｜电站距离供电 32 天｜5600 车间距离试运行 57 天｜厂区供电 32 天｜厂区供水 32 天｜4600 车间 2026 年 12 月 18 日试运行（109 天）。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四、本周重点工作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跟进碎解车间及相关土建进度恢复；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开展已订购及预付款设备生产进度现场考察；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完善锅炉拆除期间资产防护，以及老厂资产清查、销售和计价安排；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统筹销售人员、运费、业务、库存和渠道工作；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持续完善各专业计划并做好与土建计划的衔接。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2026-09-02T10:33:32.055Z</dcterms:created>
  <dcterms:modified xsi:type="dcterms:W3CDTF">2026-09-02T10:33:32.056Z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