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黑体" w:cs="黑体" w:eastAsia="黑体" w:hAnsi="黑体"/>
          <w:b/>
          <w:bCs/>
          <w:sz w:val="36"/>
          <w:szCs w:val="36"/>
        </w:rPr>
        <w:t xml:space="preserve">董事长周例会会议纪要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sz w:val="20"/>
          <w:szCs w:val="20"/>
        </w:rPr>
        <w:t xml:space="preserve">江西柯美纸业有限公司 ｜ 周序号 20260831-20260906 ｜ 2026-08-31 ～ 09-06</w:t>
      </w:r>
    </w:p>
    <w:p>
      <w:pPr>
        <w:spacing w:after="40" w:before="40" w:line="320"/>
        <w:jc w:val="center"/>
      </w:pPr>
      <w:r>
        <w:rPr>
          <w:rFonts w:ascii="仿宋" w:cs="仿宋" w:eastAsia="仿宋" w:hAnsi="仿宋"/>
          <w:sz w:val="24"/>
          <w:szCs w:val="24"/>
        </w:rPr>
        <w:t xml:space="preserve">主持人：总经办 ｜ 出席：各专业负责人 ｜ 记录/整理：总经办 ｜ 签发：总经办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一、关键时间节点（9.1—9.7 重点工作计划）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  <w:tblLayout w:type="autofit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时间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责任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9.1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废纸棚（一）基础定位划线并准备开挖；4600 图纸交付计划节点；接入电系统、用电方案报批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项目部/土建/设计院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9.5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5600 车间一楼地面浇筑；电站汽机房一楼土建完工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9.6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外围蒸汽冷凝水管廊及管道设计；清水及消防水管廊设计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项目部/设计院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9.7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电站锅炉 7 米层制作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9.9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水处理管廊基础、单体基础制作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9.10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污泥脱水间设备基础制作；纸卷输送廊桥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项目部/土建/生产部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9.15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制浆车间内部池体单体制作、墙体填充；一号库西区地面浇筑、二号库基础梁制作；制浆车间承轨梁；厂区南侧墙体施工并准备外供电铺设条件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9.20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一号库钢结构安装；5600 浆白水塔制作；透平机、通风风机交换器安装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项目部/生产部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9.25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清水池池体制作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9.30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干部气罩及通风设备安装；4600 车间主体完工（18—38 轴）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项目部/生产部/土建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10.10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电站外电接入系统设施安装；水处理问泉设备安装并确保单线运行；清水站水泵安装完成，清水及污水管线铺设完成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项目部/生产部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10.20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煤库钢结构完成；锅炉打压、浇注料、防腐、保温工作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项目部/土建/生产部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10.30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碎解车间浆水塔制作；电站炉后设备进厂安装（风机、除尘、脱硫塔）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项目部/生产部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11.1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碎解车间动工（土建）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待明确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化水车间土建收尾、二次风机基础、制浆车间管架及电缆桥架安装、污泥脱水间单体设备安装、高低压柜安装的调整节点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项目部/土建/生产部</w:t>
            </w:r>
          </w:p>
        </w:tc>
      </w:tr>
    </w:tbl>
    <w:p>
      <w:pPr>
        <w:spacing w:after="60" w:line="320"/>
        <w:jc w:val="both"/>
      </w:pPr>
      <w:r>
        <w:rPr>
          <w:rFonts w:ascii="仿宋" w:cs="仿宋" w:eastAsia="仿宋" w:hAnsi="仿宋"/>
          <w:b/>
          <w:bCs/>
          <w:sz w:val="24"/>
          <w:szCs w:val="24"/>
        </w:rPr>
        <w:t xml:space="preserve">倒计时：水处理运行 32 天｜电站供电 32 天｜5600 车间试运行 57 天｜厂区供电 32 天｜厂区供水 32 天｜4600 车间 2026 年 12 月 18 日试运行（109 天）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二、重点工作安排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碎解车间进度恢复</w:t>
      </w:r>
      <w:r>
        <w:rPr>
          <w:rFonts w:ascii="仿宋" w:cs="仿宋" w:eastAsia="仿宋" w:hAnsi="仿宋"/>
          <w:sz w:val="24"/>
          <w:szCs w:val="24"/>
        </w:rPr>
        <w:t xml:space="preserve">：张晓明及时跟进碎解车间及相关土建进度；总经理强化冲刺意识，林工尽量展开工作面，尽快恢复施工进度。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预付款设备现场考察</w:t>
      </w:r>
      <w:r>
        <w:rPr>
          <w:rFonts w:ascii="仿宋" w:cs="仿宋" w:eastAsia="仿宋" w:hAnsi="仿宋"/>
          <w:sz w:val="24"/>
          <w:szCs w:val="24"/>
        </w:rPr>
        <w:t xml:space="preserve">：安排相关人员赴已订购并支付预付款的生产单位考察，了解生产进度，保障后续安装并管控资产风险。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拆除与资产处置管理</w:t>
      </w:r>
      <w:r>
        <w:rPr>
          <w:rFonts w:ascii="仿宋" w:cs="仿宋" w:eastAsia="仿宋" w:hAnsi="仿宋"/>
          <w:sz w:val="24"/>
          <w:szCs w:val="24"/>
        </w:rPr>
        <w:t xml:space="preserve">：完善锅炉拆除期间的现场跟进和自有资产防护；老厂待处置资产尽量按设备价值销售，避免一律按废铁粗放处理。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销售统筹规划</w:t>
      </w:r>
      <w:r>
        <w:rPr>
          <w:rFonts w:ascii="仿宋" w:cs="仿宋" w:eastAsia="仿宋" w:hAnsi="仿宋"/>
          <w:sz w:val="24"/>
          <w:szCs w:val="24"/>
        </w:rPr>
        <w:t xml:space="preserve">：围绕乐志伟到位后的人员、运费、业务、老厂仓库存货和渠道，统筹规划销售工作。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三、董事长指示要点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碎解车间因意外延误，张晓明及时跟进并争取抢回相关土建进度；总经理强化冲刺，林工尽量展开工作面。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安排相关人员赴已订购并支付预付款的生产单位现场考察，了解设备生产进度，保障项目安装并管控资产风险。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完善锅炉拆除期间的现场跟进与厂区自有资产防护；老厂待处置资产尽量按设备价值处置，避免一律按废铁粗放处理。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围绕乐志伟到位后的人员、运费、业务、老厂仓库存货和渠道，统筹规划销售工作。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四、总经理要求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每周周会交办事项须在会前统筹完成进度和情况，并在会上展示，便于进一步讨论。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各专业继续完善计划；总经理将分批次协同部门负责人及主管，统筹优化计划书写规范和质量。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张晓明及时补齐计划；各部门清楚掌握全部土建节点和计划，并与各专业计划衔接，确保整体进度协调、可控。</w:t>
      </w:r>
    </w:p>
    <w:p>
      <w:pPr>
        <w:spacing w:before="300"/>
        <w:jc w:val="right"/>
      </w:pPr>
      <w:r>
        <w:rPr>
          <w:rFonts w:ascii="微软雅黑" w:cs="微软雅黑" w:eastAsia="微软雅黑" w:hAnsi="微软雅黑"/>
          <w:b/>
          <w:bCs/>
          <w:sz w:val="24"/>
          <w:szCs w:val="24"/>
        </w:rPr>
        <w:t xml:space="preserve">签发：江西柯美纸业有限公司 总经办 ｜ 2026 年 9 月 2 日</w:t>
      </w:r>
    </w:p>
    <w:sectPr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2026-09-02T10:21:47.079Z</dcterms:created>
  <dcterms:modified xsi:type="dcterms:W3CDTF">2026-09-02T10:21:47.080Z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