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841EF">
      <w:pPr>
        <w:spacing w:after="6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董事长周例会会议纪要</w:t>
      </w:r>
    </w:p>
    <w:p w14:paraId="53E7C29A">
      <w:pPr>
        <w:spacing w:after="200"/>
        <w:jc w:val="center"/>
      </w:pPr>
      <w:r>
        <w:rPr>
          <w:rFonts w:ascii="微软雅黑" w:hAnsi="微软雅黑" w:eastAsia="微软雅黑" w:cs="微软雅黑"/>
          <w:b w:val="0"/>
          <w:bCs w:val="0"/>
          <w:sz w:val="20"/>
          <w:szCs w:val="20"/>
        </w:rPr>
        <w:t>江西柯美纸业有限公司 ｜ 周序号 2026824830 ｜ 2026-08-24 ～ 08-30</w:t>
      </w:r>
    </w:p>
    <w:p w14:paraId="4DC3805A">
      <w:pPr>
        <w:spacing w:before="40" w:after="40" w:line="320" w:lineRule="auto"/>
        <w:jc w:val="center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主持人：</w:t>
      </w:r>
      <w:r>
        <w:rPr>
          <w:rFonts w:hint="eastAsia" w:cs="仿宋"/>
          <w:b w:val="0"/>
          <w:bCs w:val="0"/>
          <w:sz w:val="24"/>
          <w:szCs w:val="24"/>
          <w:lang w:val="en-US" w:eastAsia="zh-CN"/>
        </w:rPr>
        <w:t>总经办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 xml:space="preserve"> ｜ 出席：各专业负责人 ｜ 记录/整理：总经办 ｜ 签发：总经办</w:t>
      </w:r>
      <w:bookmarkStart w:id="0" w:name="_GoBack"/>
      <w:bookmarkEnd w:id="0"/>
    </w:p>
    <w:p w14:paraId="594EE401">
      <w:pPr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一、董事长讲话核心</w:t>
      </w:r>
    </w:p>
    <w:p w14:paraId="2331DB78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土建延误整改：提出解决方案，严格按计划执行并持续跟进；对延误施工队伍实施处罚，确保合同条款严格履行；</w:t>
      </w:r>
    </w:p>
    <w:p w14:paraId="140FCC69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现场协调机制：必要时组织现场会议促进协作——管理的核心在于解决冲突；每日早上协调会议落地执行；</w:t>
      </w:r>
    </w:p>
    <w:p w14:paraId="1557679C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百世德进度：制定明确更新计划，定期更新状态，保证时间节点与进度；</w:t>
      </w:r>
    </w:p>
    <w:p w14:paraId="11FD2EE4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车辆管控：进出车辆严格监控与记录，发挥监控摄像头作用，预防不法行为；</w:t>
      </w:r>
    </w:p>
    <w:p w14:paraId="6CEE52AC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安全与环境：高度重视安全生产与环境整洁；群内分享照片监督，未达标单位施加压力；隐患及时上报，垃圾及时清运；</w:t>
      </w:r>
    </w:p>
    <w:p w14:paraId="106577B8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痕迹管理：各项工作有记录、可追溯。</w:t>
      </w:r>
    </w:p>
    <w:p w14:paraId="57B82961">
      <w:pPr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二、总经理讲话核心</w:t>
      </w:r>
    </w:p>
    <w:p w14:paraId="22A127D1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重大时间节点：生产、电站、污水办公室搬进现场——9 月 10 日</w:t>
      </w:r>
      <w:r>
        <w:rPr>
          <w:rFonts w:hint="eastAsia" w:cs="仿宋"/>
          <w:b w:val="0"/>
          <w:bCs w:val="0"/>
          <w:sz w:val="24"/>
          <w:szCs w:val="24"/>
          <w:lang w:eastAsia="zh-CN"/>
        </w:rPr>
        <w:t>之前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>；</w:t>
      </w:r>
    </w:p>
    <w:p w14:paraId="13CACA5E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汇报深度：各专业汇报避免过于简化，</w:t>
      </w:r>
      <w:r>
        <w:rPr>
          <w:rFonts w:hint="eastAsia" w:cs="仿宋"/>
          <w:b w:val="0"/>
          <w:bCs w:val="0"/>
          <w:sz w:val="24"/>
          <w:szCs w:val="24"/>
          <w:lang w:eastAsia="zh-CN"/>
        </w:rPr>
        <w:t>分工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>工作量、</w:t>
      </w:r>
      <w:r>
        <w:rPr>
          <w:rFonts w:hint="eastAsia" w:cs="仿宋"/>
          <w:b w:val="0"/>
          <w:bCs w:val="0"/>
          <w:sz w:val="24"/>
          <w:szCs w:val="24"/>
          <w:lang w:eastAsia="zh-CN"/>
        </w:rPr>
        <w:t>符合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>项目</w:t>
      </w:r>
      <w:r>
        <w:rPr>
          <w:rFonts w:hint="eastAsia" w:cs="仿宋"/>
          <w:b w:val="0"/>
          <w:bCs w:val="0"/>
          <w:sz w:val="24"/>
          <w:szCs w:val="24"/>
          <w:lang w:eastAsia="zh-CN"/>
        </w:rPr>
        <w:t>节点，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>电仪</w:t>
      </w:r>
      <w:r>
        <w:rPr>
          <w:rFonts w:hint="eastAsia" w:cs="仿宋"/>
          <w:b w:val="0"/>
          <w:bCs w:val="0"/>
          <w:sz w:val="24"/>
          <w:szCs w:val="24"/>
          <w:lang w:eastAsia="zh-CN"/>
        </w:rPr>
        <w:t>、电站要分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>系统汇报</w:t>
      </w:r>
      <w:r>
        <w:rPr>
          <w:rFonts w:hint="eastAsia" w:cs="仿宋"/>
          <w:b w:val="0"/>
          <w:bCs w:val="0"/>
          <w:sz w:val="24"/>
          <w:szCs w:val="24"/>
          <w:lang w:eastAsia="zh-CN"/>
        </w:rPr>
        <w:t>，各专业都要系统清晰展示计划内容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>；</w:t>
      </w:r>
    </w:p>
    <w:p w14:paraId="37056CC2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全面覆盖：强调各专业间协调合作，确保工作内容全面覆盖，避免汇报笼统；</w:t>
      </w:r>
    </w:p>
    <w:p w14:paraId="40F9FCF2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人数统计：项目高峰期人数统计必须真实反映现场参与人数，支撑工程调度管理；</w:t>
      </w:r>
    </w:p>
    <w:p w14:paraId="18959974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 xml:space="preserve">• </w:t>
      </w:r>
      <w:r>
        <w:rPr>
          <w:rFonts w:hint="eastAsia" w:cs="仿宋"/>
          <w:b w:val="0"/>
          <w:bCs w:val="0"/>
          <w:sz w:val="24"/>
          <w:szCs w:val="24"/>
          <w:lang w:val="en-US" w:eastAsia="zh-CN"/>
        </w:rPr>
        <w:t>4600车间的所有设备的准备情况，要跟供应商确认可供货时间，确保车间项目进度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>。</w:t>
      </w:r>
    </w:p>
    <w:p w14:paraId="40B28293">
      <w:pPr>
        <w:spacing w:before="200" w:after="100"/>
        <w:rPr>
          <w:rFonts w:hint="eastAsia" w:eastAsia="黑体"/>
          <w:lang w:eastAsia="zh-CN"/>
        </w:rPr>
      </w:pPr>
      <w:r>
        <w:rPr>
          <w:rFonts w:ascii="黑体" w:hAnsi="黑体" w:eastAsia="黑体" w:cs="黑体"/>
          <w:b/>
          <w:bCs/>
          <w:sz w:val="28"/>
          <w:szCs w:val="28"/>
        </w:rPr>
        <w:t>三、本周重点时间节点</w:t>
      </w: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（明确重要节点）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6"/>
        <w:gridCol w:w="7800"/>
      </w:tblGrid>
      <w:tr w14:paraId="3A1B50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7C884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4200" w:type="pct"/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01A4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2"/>
                <w:szCs w:val="22"/>
              </w:rPr>
              <w:t>事项</w:t>
            </w:r>
          </w:p>
        </w:tc>
      </w:tr>
      <w:tr w14:paraId="482B2B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26993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8.28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6C228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电站二次风机基础</w:t>
            </w:r>
          </w:p>
        </w:tc>
      </w:tr>
      <w:tr w14:paraId="72E5528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BF7A6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8.30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9BF84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水处理管廊基础/清水池/脱水间基础；化水车间土建收尾；锅炉7米层；5600一楼地面浇筑；制浆二楼砌砖抹灰准备落架；用电方案报批；5600纸机本体收尾</w:t>
            </w:r>
          </w:p>
        </w:tc>
      </w:tr>
      <w:tr w14:paraId="3EBC45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4581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9.1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03F9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废纸棚（一）基础定位划线开挖；4600图纸交付计划节点</w:t>
            </w:r>
          </w:p>
        </w:tc>
      </w:tr>
      <w:tr w14:paraId="1008E5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D0B14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9.5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C899A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电站汽机房一楼土建完工</w:t>
            </w:r>
          </w:p>
        </w:tc>
      </w:tr>
      <w:tr w14:paraId="05F290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26A7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9.10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36798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生产/电站/污水办公室搬进现场；一号库西区地面浇筑、二号库基础梁；纸卷输送廊桥；输煤栈桥3#2#钢构；制浆承轨梁；厂区南侧墙体；蒸汽冷凝水管廊设计</w:t>
            </w:r>
          </w:p>
        </w:tc>
      </w:tr>
      <w:tr w14:paraId="540FC4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D3DF1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9.15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7D603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制浆车间池体单体、墙体填充</w:t>
            </w:r>
          </w:p>
        </w:tc>
      </w:tr>
      <w:tr w14:paraId="39862A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72189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9.20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25440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5600浆白水塔；透平机/通风风机交换器；清水污水管线铺设完成；一号库钢构</w:t>
            </w:r>
          </w:p>
        </w:tc>
      </w:tr>
      <w:tr w14:paraId="64E75A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989AA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9.30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99B55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干部气罩及通风设备；4600车间主体完工（9月底）</w:t>
            </w:r>
          </w:p>
        </w:tc>
      </w:tr>
      <w:tr w14:paraId="0FEEDC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BF38A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10.1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AFF0A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电站外电接入；水处理问泉设备；清水站水泵及管线至5600/电站</w:t>
            </w:r>
          </w:p>
        </w:tc>
      </w:tr>
      <w:tr w14:paraId="3D3261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1F426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10.10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C99A4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碎解车间浆水塔</w:t>
            </w:r>
          </w:p>
        </w:tc>
      </w:tr>
      <w:tr w14:paraId="024B10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72C6B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10.20</w:t>
            </w:r>
          </w:p>
        </w:tc>
        <w:tc>
          <w:tcPr>
            <w:tcW w:w="4200" w:type="pct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ED64C">
            <w:pPr>
              <w:spacing w:line="2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碎解车间动工；电站炉后设备安装；锅炉打压/浇注料/防腐/保温；煤库钢结构完成</w:t>
            </w:r>
          </w:p>
        </w:tc>
      </w:tr>
    </w:tbl>
    <w:p w14:paraId="04178E74">
      <w:pPr>
        <w:spacing w:before="40" w:after="40" w:line="320" w:lineRule="auto"/>
        <w:jc w:val="both"/>
      </w:pPr>
      <w:r>
        <w:rPr>
          <w:rFonts w:ascii="仿宋" w:hAnsi="仿宋" w:eastAsia="仿宋" w:cs="仿宋"/>
          <w:b/>
          <w:bCs/>
          <w:sz w:val="24"/>
          <w:szCs w:val="24"/>
        </w:rPr>
        <w:t>倒计时：水处理通水 38 天｜电站供电 38 天｜5600 试运行 63 天｜厂区供水供电 38 天｜4600 试运行 2026-12-18（115 天）。</w:t>
      </w:r>
    </w:p>
    <w:p w14:paraId="53A045AA">
      <w:pPr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四、本周重点决策</w:t>
      </w:r>
    </w:p>
    <w:p w14:paraId="71EF5B94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资源调配：土建以电站、水处理、5600 为第一要务，暂停 4600 车间施工 5 天，全力完成电站与水处理土建收尾；</w:t>
      </w:r>
    </w:p>
    <w:p w14:paraId="1AC64FAC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队伍确定：废纸库（一）、碎解车间、洗水线施工队合同本周确定（采购部）；</w:t>
      </w:r>
    </w:p>
    <w:p w14:paraId="6F2B025C">
      <w:pPr>
        <w:spacing w:before="20" w:after="20" w:line="300" w:lineRule="auto"/>
        <w:ind w:left="320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• 规划推进：2 号库施工计划及成品磅房建设、大门设计建设、五金库建设时间及工程队伍搬迁方案。</w:t>
      </w:r>
    </w:p>
    <w:p w14:paraId="17D76EE9">
      <w:pPr>
        <w:spacing w:before="300"/>
        <w:jc w:val="right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签发：江西柯美纸业有限公司 总经办</w:t>
      </w:r>
    </w:p>
    <w:p w14:paraId="68008096">
      <w:pPr>
        <w:jc w:val="right"/>
      </w:pPr>
      <w:r>
        <w:rPr>
          <w:rFonts w:ascii="微软雅黑" w:hAnsi="微软雅黑" w:eastAsia="微软雅黑" w:cs="微软雅黑"/>
          <w:b w:val="0"/>
          <w:bCs w:val="0"/>
          <w:sz w:val="24"/>
          <w:szCs w:val="24"/>
        </w:rPr>
        <w:t>2026 年 8 月 25 日</w:t>
      </w:r>
    </w:p>
    <w:sectPr>
      <w:pgSz w:w="11906" w:h="16838"/>
      <w:pgMar w:top="1200" w:right="1400" w:bottom="1200" w:left="14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425BD7"/>
    <w:rsid w:val="3DB7750B"/>
    <w:rsid w:val="3F682515"/>
    <w:rsid w:val="4A13725E"/>
    <w:rsid w:val="4ABF170F"/>
    <w:rsid w:val="6C3C2767"/>
    <w:rsid w:val="7B7F44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="仿宋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="仿宋"/>
      <w:sz w:val="24"/>
      <w:szCs w:val="24"/>
    </w:rPr>
  </w:style>
  <w:style w:type="paragraph" w:styleId="2">
    <w:name w:val="heading 1"/>
    <w:next w:val="1"/>
    <w:qFormat/>
    <w:uiPriority w:val="0"/>
    <w:rPr>
      <w:rFonts w:ascii="仿宋" w:hAnsi="仿宋" w:eastAsia="仿宋" w:cs="仿宋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仿宋" w:hAnsi="仿宋" w:eastAsia="仿宋" w:cs="仿宋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仿宋" w:hAnsi="仿宋" w:eastAsia="仿宋" w:cs="仿宋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仿宋" w:hAnsi="仿宋" w:eastAsia="仿宋" w:cs="仿宋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仿宋" w:hAnsi="仿宋" w:eastAsia="仿宋" w:cs="仿宋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仿宋" w:hAnsi="仿宋" w:eastAsia="仿宋" w:cs="仿宋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10">
    <w:name w:val="Title"/>
    <w:qFormat/>
    <w:uiPriority w:val="0"/>
    <w:rPr>
      <w:rFonts w:ascii="仿宋" w:hAnsi="仿宋" w:eastAsia="仿宋" w:cs="仿宋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仿宋" w:hAnsi="仿宋" w:eastAsia="仿宋" w:cs="仿宋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1079</Words>
  <Characters>1191</Characters>
  <TotalTime>12</TotalTime>
  <ScaleCrop>false</ScaleCrop>
  <LinksUpToDate>false</LinksUpToDate>
  <CharactersWithSpaces>1245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2026-08-26T03:16:00Z</dcterms:created>
  <dc:creator>Un-named</dc:creator>
  <cp:lastModifiedBy>mrseven</cp:lastModifiedBy>
  <dcterms:modified xsi:type="dcterms:W3CDTF">2026-08-27T01:51:31Z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BC7263631F824A40BF595D4BFCD7362B_13</vt:lpwstr>
  </property>
</Properties>
</file>