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g wps">
  <w:body>
    <w:p w14:paraId="20000001" w14:textId="77777777" w:rsidR="00DD26A9" w:rsidRDefault="00000000">
      <w:pPr>
        <w:jc w:val="center"/>
        <w:spacing w:after="60"/>
      </w:pPr>
      <w:r>
        <w:rPr>
          <w:b/>
          <w:sz w:val="40"/>
          <w:szCs w:val="40"/>
          <w:rFonts w:eastAsia="黑体"/>
        </w:rPr>
        <w:t xml:space="preserve">重要工作推进单 — 管理问题与约束方案</w:t>
      </w:r>
    </w:p>
    <w:p w14:paraId="20000002" w14:textId="77777777" w:rsidR="00DD26A9" w:rsidRDefault="00000000">
      <w:pPr>
        <w:jc w:val="center"/>
        <w:spacing w:after="360"/>
      </w:pPr>
      <w:r>
        <w:rPr>
          <w:sz w:val="22"/>
          <w:szCs w:val="22"/>
          <w:rFonts w:eastAsia="宋体"/>
        </w:rPr>
        <w:t xml:space="preserve">江西柯美纸业有限公司 · 总经理办公室</w:t>
      </w:r>
    </w:p>
    <w:p w14:paraId="20000003" w14:textId="77777777" w:rsidR="00DD26A9" w:rsidRDefault="00000000">
      <w:pPr>
        <w:spacing w:before="300" w:after="100"/>
      </w:pPr>
      <w:r>
        <w:rPr>
          <w:b/>
          <w:sz w:val="36"/>
          <w:szCs w:val="36"/>
          <w:rFonts w:eastAsia="黑体"/>
        </w:rPr>
        <w:t xml:space="preserve">一、矛盾场景深挖</w:t>
      </w:r>
    </w:p>
    <w:p w14:paraId="20000004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推进单在实际执行中可能面临的矛盾场景，远不止常见的几类。结合土建、安装、调试交叉作业及外协介入的项目特点，以下穷举九大类典型矛盾：</w:t>
      </w:r>
    </w:p>
    <w:p w14:paraId="20000005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第一类：签单后执行困难 / 不可抗力借口</w:t>
      </w:r>
    </w:p>
    <w:p w14:paraId="20000006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签单下发后，接受部门因客观或主观原因无法按期执行，导致推进单效力下降，各种理由推脱。</w:t>
      </w:r>
    </w:p>
    <w:p w14:paraId="20000007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签单时明知工期不合理，但慑于权威不敢说，先签了再说，到期再找理由</w:t>
      </w:r>
    </w:p>
    <w:p w14:paraId="20000008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突发不可抗力（天气、材料断供、政策变动），但未提前报备，事后才说"没办法"</w:t>
      </w:r>
    </w:p>
    <w:p w14:paraId="20000009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部门 A 预估需 15 天，被压到 10 天签单，第 8 天直接摆烂："反正完不成"</w:t>
      </w:r>
    </w:p>
    <w:p w14:paraId="2000000A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第二类：追责后人员流失 / 无交接离岗</w:t>
      </w:r>
    </w:p>
    <w:p w14:paraId="2000000B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罚款或追责后，负责人员直接辞职走人，项目无人接手，追责反而加剧了问题。</w:t>
      </w:r>
    </w:p>
    <w:p w14:paraId="2000000C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外包队被罚款后直接撤场，合同里没有约束条款</w:t>
      </w:r>
    </w:p>
    <w:p w14:paraId="2000000D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关键技术人员被追责后情绪化离职，后续无人能接</w:t>
      </w:r>
    </w:p>
    <w:p w14:paraId="2000000E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表面在职但"软抵抗"——不主动、不拒绝、不负责</w:t>
      </w:r>
    </w:p>
    <w:p w14:paraId="2000000F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第三类：跨部门协作的"单边签单"</w:t>
      </w:r>
    </w:p>
    <w:p w14:paraId="20000010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需多部门协作推进的重要项目，实际上仅一方签了推进单，存在小范围作业面的另一部门未签单，导致签单方进度被未签单方延误。</w:t>
      </w:r>
    </w:p>
    <w:p w14:paraId="20000011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土建签了单，但安装部门没签，土建交付后安装迟迟不进场</w:t>
      </w:r>
    </w:p>
    <w:p w14:paraId="20000012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部门 A 签单承诺 10 天完成，但需要部门 B 在第 3 天提供条件，部门 B 没被约束</w:t>
      </w:r>
    </w:p>
    <w:p w14:paraId="20000013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"又不是我签的字，凭什么要我配合"——未签单方的典型心态</w:t>
      </w:r>
    </w:p>
    <w:p w14:paraId="20000014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第四类：外协的"体外循环"</w:t>
      </w:r>
    </w:p>
    <w:p w14:paraId="20000015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推进单约束了内部部门，但实际干活的外部单位完全不受控。</w:t>
      </w:r>
    </w:p>
    <w:p w14:paraId="20000016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土建部门签了单，但实际需要外部搅拌站配合，搅拌站不受推进单约束</w:t>
      </w:r>
    </w:p>
    <w:p w14:paraId="20000017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安装队等土建交付，但土建的外协挖机被调走，推进单管不到挖机老板</w:t>
      </w:r>
    </w:p>
    <w:p w14:paraId="20000018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调试技术人员是设备厂家派的，推进单对他们没有任何约束力</w:t>
      </w:r>
    </w:p>
    <w:p w14:paraId="20000019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第五类：质量换速度</w:t>
      </w:r>
    </w:p>
    <w:p w14:paraId="2000001A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为赶在期限内完成，牺牲质量糊弄过关，验收时返工反而拖更久。</w:t>
      </w:r>
    </w:p>
    <w:p w14:paraId="2000001B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"我按期完成了啊，你说质量不行那是你验收标准没说清楚"</w:t>
      </w:r>
    </w:p>
    <w:p w14:paraId="2000001C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混凝土养护期不够就上荷载，后期开裂返工，整体进度反而倒退</w:t>
      </w:r>
    </w:p>
    <w:p w14:paraId="2000001D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安装调试省略步骤"先跑起来再说"，投产三天就停机修一周</w:t>
      </w:r>
    </w:p>
    <w:p w14:paraId="2000001E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第六类：签字人不等于干活人</w:t>
      </w:r>
    </w:p>
    <w:p w14:paraId="2000001F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部门负责人签了字，转头派给底下员工，员工没有紧迫感，质量也难以保证。</w:t>
      </w:r>
    </w:p>
    <w:p w14:paraId="20000020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签单人调岗 / 请假 / 出差，推进单变成"无头单"</w:t>
      </w:r>
    </w:p>
    <w:p w14:paraId="20000021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签单人和执行人之间的信息衰减——"领导就让我把这个做了，没说要什么时候"</w:t>
      </w:r>
    </w:p>
    <w:p w14:paraId="20000022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执行人没有经过签单前评估，对工期合理性根本不知情</w:t>
      </w:r>
    </w:p>
    <w:p w14:paraId="20000023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第七类：多单交叉冲突</w:t>
      </w:r>
    </w:p>
    <w:p w14:paraId="20000024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同一拨人被同时签了多个推进单，资源根本排不开。</w:t>
      </w:r>
    </w:p>
    <w:p w14:paraId="20000025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部门 A 的推进单要求优先，部门 B 的推进单也要求优先，两单打架</w:t>
      </w:r>
    </w:p>
    <w:p w14:paraId="20000026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有限的技术力量被三个部门同时抢，谁强势谁先得，不是谁重要谁先得</w:t>
      </w:r>
    </w:p>
    <w:p w14:paraId="20000027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没有统一的资源视图，总经理办签发新单时不知道已有几单在执行</w:t>
      </w:r>
    </w:p>
    <w:p w14:paraId="20000028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第八类：追责逃逸</w:t>
      </w:r>
    </w:p>
    <w:p w14:paraId="20000029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看似有追责，实际追不到任何人，惩罚落空。</w:t>
      </w:r>
    </w:p>
    <w:p w14:paraId="2000002A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罚款由部门经费出，个人无关痛痒</w:t>
      </w:r>
    </w:p>
    <w:p w14:paraId="2000002B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"不是我延误，是上游没给我条件" → 上游说"我在等审批" → 审批说"没人告诉我"</w:t>
      </w:r>
    </w:p>
    <w:p w14:paraId="2000002C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外包队罚款？合同里根本没有罚则，罚不了</w:t>
      </w:r>
    </w:p>
    <w:p w14:paraId="2000002D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追责链条太长，等查清楚是谁的责任，当事人可能已经离职</w:t>
      </w:r>
    </w:p>
    <w:p w14:paraId="2000002E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第九类：文化性对抗</w:t>
      </w:r>
    </w:p>
    <w:p w14:paraId="2000002F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不是制度问题，而是长期形成的组织文化问题。</w:t>
      </w:r>
    </w:p>
    <w:p w14:paraId="20000030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"推进单就是走个形式，大家心里都清楚"</w:t>
      </w:r>
    </w:p>
    <w:p w14:paraId="20000031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老员工经验丰富但态度消极，新员工有干劲但不懂流程</w:t>
      </w:r>
    </w:p>
    <w:p w14:paraId="20000032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"上次XX部门也没完成，不也没事？凭什么这次要追我"——不公平感的蔓延</w:t>
      </w:r>
    </w:p>
    <w:p w14:paraId="20000033" w14:textId="77777777" w:rsidR="00DD26A9" w:rsidRDefault="00000000">
      <w:pPr>
        <w:spacing w:before="300" w:after="100"/>
      </w:pPr>
      <w:r>
        <w:rPr>
          <w:b/>
          <w:sz w:val="36"/>
          <w:szCs w:val="36"/>
          <w:rFonts w:eastAsia="黑体"/>
        </w:rPr>
        <w:t xml:space="preserve">二、系统性约束方案</w:t>
      </w:r>
    </w:p>
    <w:p w14:paraId="20000034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核心思路：事前预防 &gt; 事中透明 &gt; 事后追责，三层嵌套，缺一不可。推进单从"一张签字纸"升级为"一份微合同"。</w:t>
      </w:r>
    </w:p>
    <w:p w14:paraId="20000035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🅰️ 预防层 —— 把问题消灭在签单之前</w:t>
      </w:r>
    </w:p>
    <w:p w14:paraId="20000036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1. 签单前"执行确认"环节</w:t>
      </w:r>
    </w:p>
    <w:p w14:paraId="20000037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签单不是"接旨"，而是"承诺"。接受部门在落笔之前，必须书面回复以下内容，不填完不签发：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/>
      </w:tblPr>
      <w:tblGrid>
        <w:gridCol w:w="1800"/>
        <w:gridCol w:w="7200"/>
      </w:tblGrid>
      <w:tr w:rsidR="00DD26A9" w14:paraId="2000003A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1F4E79"/>
          </w:tcPr>
          <w:p w14:paraId="20000038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确认项</w:t>
            </w:r>
          </w:p>
        </w:tc>
        <w:tc>
          <w:tcPr>
            <w:shd w:val="clear" w:color="auto" w:fill="1F4E79"/>
          </w:tcPr>
          <w:p w14:paraId="20000039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内容要求</w:t>
            </w:r>
          </w:p>
        </w:tc>
      </w:tr>
      <w:tr w:rsidR="00DD26A9" w14:paraId="2000003D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3B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工作量评估</w:t>
            </w:r>
          </w:p>
        </w:tc>
        <w:tc>
          <w:tcPr>
            <w:shd w:val="clear" w:color="auto" w:fill="F5F5F5"/>
          </w:tcPr>
          <w:p w14:paraId="2000003C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预计投入___人 × ___天，关键工种：___</w:t>
            </w:r>
          </w:p>
        </w:tc>
      </w:tr>
      <w:tr w:rsidR="00DD26A9" w14:paraId="20000040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3E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前置条件</w:t>
            </w:r>
          </w:p>
        </w:tc>
        <w:tc>
          <w:tcPr/>
          <w:p w14:paraId="2000003F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需要___部门在___前完成___交付</w:t>
            </w:r>
          </w:p>
        </w:tc>
      </w:tr>
      <w:tr w:rsidR="00DD26A9" w14:paraId="20000043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41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外协需求</w:t>
            </w:r>
          </w:p>
        </w:tc>
        <w:tc>
          <w:tcPr>
            <w:shd w:val="clear" w:color="auto" w:fill="F5F5F5"/>
          </w:tcPr>
          <w:p w14:paraId="20000042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需要外部___（单位/工种），预计___天内到位，联系人：___</w:t>
            </w:r>
          </w:p>
        </w:tc>
      </w:tr>
      <w:tr w:rsidR="00DD26A9" w14:paraId="20000046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44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风险预判</w:t>
            </w:r>
          </w:p>
        </w:tc>
        <w:tc>
          <w:tcPr/>
          <w:p w14:paraId="20000045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可能遇到的阻碍：___，应对预案：___</w:t>
            </w:r>
          </w:p>
        </w:tc>
      </w:tr>
      <w:tr w:rsidR="00DD26A9" w14:paraId="20000049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47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承诺人 + 备份人</w:t>
            </w:r>
          </w:p>
        </w:tc>
        <w:tc>
          <w:tcPr>
            <w:shd w:val="clear" w:color="auto" w:fill="F5F5F5"/>
          </w:tcPr>
          <w:p w14:paraId="20000048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主责：___（签字），备份：___（签字）</w:t>
            </w:r>
          </w:p>
        </w:tc>
      </w:tr>
    </w:tbl>
    <w:p w14:paraId="2000004A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关键：签发即视为已评估可行，堵住"我当时就觉得完不成但不敢说"的后路。</w:t>
      </w:r>
    </w:p>
    <w:p w14:paraId="2000004B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2. 资源冲突可见性机制</w:t>
      </w:r>
    </w:p>
    <w:p w14:paraId="2000004C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在签发新单之前，必须跟已有推进单做资源冲突检查。同一拨人不能同时承诺三个"最高优先级"。</w:t>
      </w:r>
    </w:p>
    <w:p w14:paraId="2000004D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建立部门资源日历，推进单签发时自动叠加</w:t>
      </w:r>
    </w:p>
    <w:p w14:paraId="2000004E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超过部门产能 80% 时，新单自动触发总经理办会商裁定优先级</w:t>
      </w:r>
    </w:p>
    <w:p w14:paraId="2000004F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资源冲突不解决，推进单不签发</w:t>
      </w:r>
    </w:p>
    <w:p w14:paraId="20000050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3. 外协纳管 —— 延伸约束力</w:t>
      </w:r>
    </w:p>
    <w:p w14:paraId="20000051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土建 / 安装 / 调试涉及的外部单位，在签单时同步要求责任部门提供外协信息，将推进单的关键节点作为外协合同的付款条件。</w:t>
      </w:r>
    </w:p>
    <w:p w14:paraId="20000052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外协合同模板中增加"推进单联动条款"：关键节点延误按日扣款</w:t>
      </w:r>
    </w:p>
    <w:p w14:paraId="20000053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外协单位纳入周进度公示，与内部部门同标准亮灯</w:t>
      </w:r>
    </w:p>
    <w:p w14:paraId="20000054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外协负责人参加关键节点前的协调会，直接对总经理办汇报</w:t>
      </w:r>
    </w:p>
    <w:p w14:paraId="20000055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🅱️ 透明层 —— 让进度无处可藏</w:t>
      </w:r>
    </w:p>
    <w:p w14:paraId="20000056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4. 联动会签 —— 多部门绑定</w:t>
      </w:r>
    </w:p>
    <w:p w14:paraId="20000057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对于跨部门协作事项，不允许单方签单。改为三方会签模式：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/>
      </w:tblPr>
      <w:tblGrid>
        <w:gridCol w:w="1800"/>
        <w:gridCol w:w="7200"/>
      </w:tblGrid>
      <w:tr w:rsidR="00DD26A9" w14:paraId="2000005A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1F4E79"/>
          </w:tcPr>
          <w:p w14:paraId="20000058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角色</w:t>
            </w:r>
          </w:p>
        </w:tc>
        <w:tc>
          <w:tcPr>
            <w:shd w:val="clear" w:color="auto" w:fill="1F4E79"/>
          </w:tcPr>
          <w:p w14:paraId="20000059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承诺内容</w:t>
            </w:r>
          </w:p>
        </w:tc>
      </w:tr>
      <w:tr w:rsidR="00DD26A9" w14:paraId="2000005D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5B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主办部门</w:t>
            </w:r>
          </w:p>
        </w:tc>
        <w:tc>
          <w:tcPr>
            <w:shd w:val="clear" w:color="auto" w:fill="F5F5F5"/>
          </w:tcPr>
          <w:p w14:paraId="2000005C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承诺在收到上游交付后___天内完成</w:t>
            </w:r>
          </w:p>
        </w:tc>
      </w:tr>
      <w:tr w:rsidR="00DD26A9" w14:paraId="20000060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5E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上游部门</w:t>
            </w:r>
          </w:p>
        </w:tc>
        <w:tc>
          <w:tcPr/>
          <w:p w14:paraId="2000005F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承诺在___前交付（交付标准：___）</w:t>
            </w:r>
          </w:p>
        </w:tc>
      </w:tr>
      <w:tr w:rsidR="00DD26A9" w14:paraId="20000063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61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下游部门</w:t>
            </w:r>
          </w:p>
        </w:tc>
        <w:tc>
          <w:tcPr>
            <w:shd w:val="clear" w:color="auto" w:fill="F5F5F5"/>
          </w:tcPr>
          <w:p w14:paraId="20000062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确认知晓，将在___开始接收并启动后续工作</w:t>
            </w:r>
          </w:p>
        </w:tc>
      </w:tr>
    </w:tbl>
    <w:p w14:paraId="20000064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三方承诺互锁，谁掉链子一目了然。这直接解决了"仅一方签单"的问题。</w:t>
      </w:r>
    </w:p>
    <w:p w14:paraId="20000065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5. 周进度"亮灯"公示</w:t>
      </w:r>
    </w:p>
    <w:p w14:paraId="20000066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不要等到到期再追责，每周更新一次推进单状态：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/>
      </w:tblPr>
      <w:tblGrid>
        <w:gridCol w:w="1200"/>
        <w:gridCol w:w="4200"/>
        <w:gridCol w:w="3600"/>
      </w:tblGrid>
      <w:tr w:rsidR="00DD26A9" w14:paraId="2000006A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1F4E79"/>
          </w:tcPr>
          <w:p w14:paraId="20000067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状态</w:t>
            </w:r>
          </w:p>
        </w:tc>
        <w:tc>
          <w:tcPr>
            <w:shd w:val="clear" w:color="auto" w:fill="1F4E79"/>
          </w:tcPr>
          <w:p w14:paraId="20000068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含义</w:t>
            </w:r>
          </w:p>
        </w:tc>
        <w:tc>
          <w:tcPr>
            <w:shd w:val="clear" w:color="auto" w:fill="1F4E79"/>
          </w:tcPr>
          <w:p w14:paraId="20000069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处置</w:t>
            </w:r>
          </w:p>
        </w:tc>
      </w:tr>
      <w:tr w:rsidR="00DD26A9" w14:paraId="2000006E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6B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🟢 绿灯</w:t>
            </w:r>
          </w:p>
        </w:tc>
        <w:tc>
          <w:tcPr>
            <w:shd w:val="clear" w:color="auto" w:fill="F5F5F5"/>
          </w:tcPr>
          <w:p w14:paraId="2000006C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按计划进行</w:t>
            </w:r>
          </w:p>
        </w:tc>
        <w:tc>
          <w:tcPr>
            <w:shd w:val="clear" w:color="auto" w:fill="F5F5F5"/>
          </w:tcPr>
          <w:p w14:paraId="2000006D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无需处置</w:t>
            </w:r>
          </w:p>
        </w:tc>
      </w:tr>
      <w:tr w:rsidR="00DD26A9" w14:paraId="20000072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6F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🟡 黄灯</w:t>
            </w:r>
          </w:p>
        </w:tc>
        <w:tc>
          <w:tcPr/>
          <w:p w14:paraId="20000070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出现偏差，已启动纠偏，预计可挽回</w:t>
            </w:r>
          </w:p>
        </w:tc>
        <w:tc>
          <w:tcPr/>
          <w:p w14:paraId="20000071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责任人提交书面纠偏计划</w:t>
            </w:r>
          </w:p>
        </w:tc>
      </w:tr>
      <w:tr w:rsidR="00DD26A9" w14:paraId="20000076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73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🔴 红灯</w:t>
            </w:r>
          </w:p>
        </w:tc>
        <w:tc>
          <w:tcPr>
            <w:shd w:val="clear" w:color="auto" w:fill="F5F5F5"/>
          </w:tcPr>
          <w:p w14:paraId="20000074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偏差严重，需要总经理办介入协调</w:t>
            </w:r>
          </w:p>
        </w:tc>
        <w:tc>
          <w:tcPr>
            <w:shd w:val="clear" w:color="auto" w:fill="F5F5F5"/>
          </w:tcPr>
          <w:p w14:paraId="20000075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24小时内召开协调会</w:t>
            </w:r>
          </w:p>
        </w:tc>
      </w:tr>
    </w:tbl>
    <w:p w14:paraId="20000077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红灯项必须在 24 小时内召开协调会，不允许"闷着不说最后一天爆发"。</w:t>
      </w:r>
    </w:p>
    <w:p w14:paraId="20000078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🅲️ 约束层 —— 让后果真正有威慑力</w:t>
      </w:r>
    </w:p>
    <w:p w14:paraId="20000079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6. 追责三阶制</w:t>
      </w:r>
    </w:p>
    <w:p w14:paraId="2000007A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针对"罚钱就走人"的问题，追责不能一上来就罚款，应该是渐进式的：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/>
      </w:tblPr>
      <w:tblGrid>
        <w:gridCol w:w="900"/>
        <w:gridCol w:w="2250"/>
        <w:gridCol w:w="3150"/>
        <w:gridCol w:w="2700"/>
      </w:tblGrid>
      <w:tr w:rsidR="00DD26A9" w14:paraId="2000007F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1F4E79"/>
          </w:tcPr>
          <w:p w14:paraId="2000007B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阶段</w:t>
            </w:r>
          </w:p>
        </w:tc>
        <w:tc>
          <w:tcPr>
            <w:shd w:val="clear" w:color="auto" w:fill="1F4E79"/>
          </w:tcPr>
          <w:p w14:paraId="2000007C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触发条件</w:t>
            </w:r>
          </w:p>
        </w:tc>
        <w:tc>
          <w:tcPr>
            <w:shd w:val="clear" w:color="auto" w:fill="1F4E79"/>
          </w:tcPr>
          <w:p w14:paraId="2000007D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措施</w:t>
            </w:r>
          </w:p>
        </w:tc>
        <w:tc>
          <w:tcPr>
            <w:shd w:val="clear" w:color="auto" w:fill="1F4E79"/>
          </w:tcPr>
          <w:p w14:paraId="2000007E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说明</w:t>
            </w:r>
          </w:p>
        </w:tc>
      </w:tr>
      <w:tr w:rsidR="00DD26A9" w14:paraId="20000084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80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一阶</w:t>
            </w:r>
          </w:p>
        </w:tc>
        <w:tc>
          <w:tcPr>
            <w:shd w:val="clear" w:color="auto" w:fill="F5F5F5"/>
          </w:tcPr>
          <w:p w14:paraId="20000081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首次轻微延误（≤3天）</w:t>
            </w:r>
          </w:p>
        </w:tc>
        <w:tc>
          <w:tcPr>
            <w:shd w:val="clear" w:color="auto" w:fill="F5F5F5"/>
          </w:tcPr>
          <w:p w14:paraId="20000082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口头警告 + 限期整改</w:t>
            </w:r>
          </w:p>
        </w:tc>
        <w:tc>
          <w:tcPr>
            <w:shd w:val="clear" w:color="auto" w:fill="F5F5F5"/>
          </w:tcPr>
          <w:p w14:paraId="20000083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给改正机会</w:t>
            </w:r>
          </w:p>
        </w:tc>
      </w:tr>
      <w:tr w:rsidR="00DD26A9" w14:paraId="20000089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85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二阶</w:t>
            </w:r>
          </w:p>
        </w:tc>
        <w:tc>
          <w:tcPr/>
          <w:p w14:paraId="20000086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整改不力 / 再次延误</w:t>
            </w:r>
          </w:p>
        </w:tc>
        <w:tc>
          <w:tcPr/>
          <w:p w14:paraId="20000087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书面通报 + 扣减个人绩效 20%</w:t>
            </w:r>
          </w:p>
        </w:tc>
        <w:tc>
          <w:tcPr/>
          <w:p w14:paraId="20000088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正式记录在案</w:t>
            </w:r>
          </w:p>
        </w:tc>
      </w:tr>
      <w:tr w:rsidR="00DD26A9" w14:paraId="2000008E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8A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三阶</w:t>
            </w:r>
          </w:p>
        </w:tc>
        <w:tc>
          <w:tcPr>
            <w:shd w:val="clear" w:color="auto" w:fill="F5F5F5"/>
          </w:tcPr>
          <w:p w14:paraId="2000008B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严重失职 / 造成重大损失</w:t>
            </w:r>
          </w:p>
        </w:tc>
        <w:tc>
          <w:tcPr>
            <w:shd w:val="clear" w:color="auto" w:fill="F5F5F5"/>
          </w:tcPr>
          <w:p w14:paraId="2000008C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降职/免职 + 全额扣减绩效</w:t>
            </w:r>
          </w:p>
        </w:tc>
        <w:tc>
          <w:tcPr>
            <w:shd w:val="clear" w:color="auto" w:fill="F5F5F5"/>
          </w:tcPr>
          <w:p w14:paraId="2000008D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启动问责程序</w:t>
            </w:r>
          </w:p>
        </w:tc>
      </w:tr>
    </w:tbl>
    <w:p w14:paraId="2000008F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关键改动：罚款不是第一反应；罚款到个人（个人绩效），不是到部门经费；每个阶段都有书面记录。</w:t>
      </w:r>
    </w:p>
    <w:p w14:paraId="20000090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7. "交接即交付"硬约束</w:t>
      </w:r>
    </w:p>
    <w:p w14:paraId="20000091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推进单中增加一项勾选条款：</w:t>
      </w:r>
    </w:p>
    <w:p w14:paraId="20000092" w14:textId="77777777" w:rsidR="00DD26A9" w:rsidRDefault="00000000">
      <w:pPr>
        <w:ind w:left="420" w:right="420"/>
      </w:pPr>
      <w:r>
        <w:rPr>
          <w:b/>
          <w:sz w:val="21"/>
          <w:szCs w:val="21"/>
          <w:rFonts w:eastAsia="宋体"/>
        </w:rPr>
        <w:t xml:space="preserve">☐ 如责任人离岗（含离职、调岗、长假），须在离岗前完成书面交接，交接完成经总经理办确认后方可办理离岗手续。未完成交接擅自离岗的，按旷工处理并承担由此造成的直接经济损失。</w:t>
      </w:r>
    </w:p>
    <w:p w14:paraId="20000093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依据：《劳动合同法》第五十条——劳动者应当按照双方约定，办理工作交接。</w:t>
      </w:r>
    </w:p>
    <w:p w14:paraId="20000094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8. 追责穿透到个人</w:t>
      </w:r>
    </w:p>
    <w:p w14:paraId="20000095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不能只追部门不追人。推进单追责区应细化到：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/>
      </w:tblPr>
      <w:tblGrid>
        <w:gridCol w:w="2000"/>
        <w:gridCol w:w="7000"/>
      </w:tblGrid>
      <w:tr w:rsidR="00DD26A9" w14:paraId="20000098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1F4E79"/>
          </w:tcPr>
          <w:p w14:paraId="20000096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追责维度</w:t>
            </w:r>
          </w:p>
        </w:tc>
        <w:tc>
          <w:tcPr>
            <w:shd w:val="clear" w:color="auto" w:fill="1F4E79"/>
          </w:tcPr>
          <w:p w14:paraId="20000097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选项</w:t>
            </w:r>
          </w:p>
        </w:tc>
      </w:tr>
      <w:tr w:rsidR="00DD26A9" w14:paraId="2000009B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99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追责对象</w:t>
            </w:r>
          </w:p>
        </w:tc>
        <w:tc>
          <w:tcPr>
            <w:shd w:val="clear" w:color="auto" w:fill="F5F5F5"/>
          </w:tcPr>
          <w:p w14:paraId="2000009A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☐ 部门负责人 ____  ☐ 直接经办人 ____  ☐ 外协单位 ____</w:t>
            </w:r>
          </w:p>
        </w:tc>
      </w:tr>
      <w:tr w:rsidR="00DD26A9" w14:paraId="2000009E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9C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个人扣罚</w:t>
            </w:r>
          </w:p>
        </w:tc>
        <w:tc>
          <w:tcPr/>
          <w:p w14:paraId="2000009D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姓名____  扣款金额____元  来源：☐ 个人绩效  ☐ 部门绩效</w:t>
            </w:r>
          </w:p>
        </w:tc>
      </w:tr>
      <w:tr w:rsidR="00DD26A9" w14:paraId="200000A1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9F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外协罚则</w:t>
            </w:r>
          </w:p>
        </w:tc>
        <w:tc>
          <w:tcPr>
            <w:shd w:val="clear" w:color="auto" w:fill="F5F5F5"/>
          </w:tcPr>
          <w:p w14:paraId="200000A0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☐ 按合同第____条执行  ☐ 扣减工程款____元</w:t>
            </w:r>
          </w:p>
        </w:tc>
      </w:tr>
    </w:tbl>
    <w:p w14:paraId="200000A2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9. 连带问责</w:t>
      </w:r>
    </w:p>
    <w:p w14:paraId="200000A3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部门负责人签了字，即使事情交给下属办，出了问题仍然是签字人的管理责任。</w:t>
      </w:r>
    </w:p>
    <w:p w14:paraId="200000A4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推进单明确条款："签字人即为第一责任人，不得以已转交他人办理为由免责"</w:t>
      </w:r>
    </w:p>
    <w:p w14:paraId="200000A5" w14:textId="77777777" w:rsidR="00DD26A9" w:rsidRDefault="00000000">
      <w:pPr>
        <w:ind w:left="630" w:right="630"/>
      </w:pPr>
      <w:r>
        <w:rPr>
          <w:sz w:val="21"/>
          <w:szCs w:val="21"/>
          <w:rFonts w:eastAsia="宋体"/>
        </w:rPr>
        <w:t xml:space="preserve">• 部门负责人对下属执行不力负有督导失职的连带责任，扣减绩效比例为主责人的 50%</w:t>
      </w:r>
    </w:p>
    <w:p w14:paraId="200000A6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🅳️ 正向激励 —— 不只大棒，也要胡萝卜</w:t>
      </w:r>
    </w:p>
    <w:p w14:paraId="200000A7" w14:textId="77777777" w:rsidR="00DD26A9" w:rsidRDefault="00000000">
      <w:pPr>
        <w:spacing w:before="200" w:after="100"/>
      </w:pPr>
      <w:r>
        <w:rPr>
          <w:b/>
          <w:sz w:val="26"/>
          <w:szCs w:val="26"/>
          <w:rFonts w:eastAsia="黑体"/>
        </w:rPr>
        <w:t xml:space="preserve">10. 完成情况四档评价</w:t>
      </w:r>
    </w:p>
    <w:p w14:paraId="200000A8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按期保质完成是常态，应该有奖励而不只是惩罚：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/>
      </w:tblPr>
      <w:tblGrid>
        <w:gridCol w:w="1400"/>
        <w:gridCol w:w="4000"/>
        <w:gridCol w:w="3600"/>
      </w:tblGrid>
      <w:tr w:rsidR="00DD26A9" w14:paraId="200000AC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1F4E79"/>
          </w:tcPr>
          <w:p w14:paraId="200000A9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评价</w:t>
            </w:r>
          </w:p>
        </w:tc>
        <w:tc>
          <w:tcPr>
            <w:shd w:val="clear" w:color="auto" w:fill="1F4E79"/>
          </w:tcPr>
          <w:p w14:paraId="200000AA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标准</w:t>
            </w:r>
          </w:p>
        </w:tc>
        <w:tc>
          <w:tcPr>
            <w:shd w:val="clear" w:color="auto" w:fill="1F4E79"/>
          </w:tcPr>
          <w:p w14:paraId="200000AB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结果</w:t>
            </w:r>
          </w:p>
        </w:tc>
      </w:tr>
      <w:tr w:rsidR="00DD26A9" w14:paraId="200000B0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AD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优秀</w:t>
            </w:r>
          </w:p>
        </w:tc>
        <w:tc>
          <w:tcPr>
            <w:shd w:val="clear" w:color="auto" w:fill="F5F5F5"/>
          </w:tcPr>
          <w:p w14:paraId="200000AE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提前完成且质量达标</w:t>
            </w:r>
          </w:p>
        </w:tc>
        <w:tc>
          <w:tcPr>
            <w:shd w:val="clear" w:color="auto" w:fill="F5F5F5"/>
          </w:tcPr>
          <w:p w14:paraId="200000AF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绩效加分 + 通报表扬 + 年度评优优先</w:t>
            </w:r>
          </w:p>
        </w:tc>
      </w:tr>
      <w:tr w:rsidR="00DD26A9" w14:paraId="200000B4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B1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合格</w:t>
            </w:r>
          </w:p>
        </w:tc>
        <w:tc>
          <w:tcPr/>
          <w:p w14:paraId="200000B2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按期保质完成</w:t>
            </w:r>
          </w:p>
        </w:tc>
        <w:tc>
          <w:tcPr/>
          <w:p w14:paraId="200000B3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正常，累计 3 次优秀可参评年度先进</w:t>
            </w:r>
          </w:p>
        </w:tc>
      </w:tr>
      <w:tr w:rsidR="00DD26A9" w14:paraId="200000B8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B5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基本合格</w:t>
            </w:r>
          </w:p>
        </w:tc>
        <w:tc>
          <w:tcPr>
            <w:shd w:val="clear" w:color="auto" w:fill="F5F5F5"/>
          </w:tcPr>
          <w:p w14:paraId="200000B6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延期 ≤3 天或有轻微质量问题</w:t>
            </w:r>
          </w:p>
        </w:tc>
        <w:tc>
          <w:tcPr>
            <w:shd w:val="clear" w:color="auto" w:fill="F5F5F5"/>
          </w:tcPr>
          <w:p w14:paraId="200000B7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口头提醒，纳入部门改善计划</w:t>
            </w:r>
          </w:p>
        </w:tc>
      </w:tr>
      <w:tr w:rsidR="00DD26A9" w14:paraId="200000BC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B9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不合格</w:t>
            </w:r>
          </w:p>
        </w:tc>
        <w:tc>
          <w:tcPr/>
          <w:p w14:paraId="200000BA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严重延期或质量问题</w:t>
            </w:r>
          </w:p>
        </w:tc>
        <w:tc>
          <w:tcPr/>
          <w:p w14:paraId="200000BB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进入追责三阶制程序</w:t>
            </w:r>
          </w:p>
        </w:tc>
      </w:tr>
    </w:tbl>
    <w:p w14:paraId="200000BD" w14:textId="77777777" w:rsidR="00DD26A9" w:rsidRDefault="00000000">
      <w:pPr>
        <w:spacing w:before="300" w:after="100"/>
      </w:pPr>
      <w:r>
        <w:rPr>
          <w:b/>
          <w:sz w:val="30"/>
          <w:szCs w:val="30"/>
          <w:rFonts w:eastAsia="黑体"/>
        </w:rPr>
        <w:t xml:space="preserve">🅴️ 推进单本身的升级建议</w:t>
      </w:r>
    </w:p>
    <w:p w14:paraId="200000BE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基于以上分析，推进单建议新增以下字段（以勾选和简短填写为主，不增加过多负担）：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/>
      </w:tblPr>
      <w:tblGrid>
        <w:gridCol w:w="2400"/>
        <w:gridCol w:w="1400"/>
        <w:gridCol w:w="3200"/>
        <w:gridCol w:w="2000"/>
      </w:tblGrid>
      <w:tr w:rsidR="00DD26A9" w14:paraId="200000C3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1F4E79"/>
          </w:tcPr>
          <w:p w14:paraId="200000BF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新增字段</w:t>
            </w:r>
          </w:p>
        </w:tc>
        <w:tc>
          <w:tcPr>
            <w:shd w:val="clear" w:color="auto" w:fill="1F4E79"/>
          </w:tcPr>
          <w:p w14:paraId="200000C0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类型</w:t>
            </w:r>
          </w:p>
        </w:tc>
        <w:tc>
          <w:tcPr>
            <w:shd w:val="clear" w:color="auto" w:fill="1F4E79"/>
          </w:tcPr>
          <w:p w14:paraId="200000C1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作用</w:t>
            </w:r>
          </w:p>
        </w:tc>
        <w:tc>
          <w:tcPr>
            <w:shd w:val="clear" w:color="auto" w:fill="1F4E79"/>
          </w:tcPr>
          <w:p w14:paraId="200000C2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对接的问题</w:t>
            </w:r>
          </w:p>
        </w:tc>
      </w:tr>
      <w:tr w:rsidR="00DD26A9" w14:paraId="200000C8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C4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前置条件</w:t>
            </w:r>
          </w:p>
        </w:tc>
        <w:tc>
          <w:tcPr>
            <w:shd w:val="clear" w:color="auto" w:fill="F5F5F5"/>
          </w:tcPr>
          <w:p w14:paraId="200000C5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文本框</w:t>
            </w:r>
          </w:p>
        </w:tc>
        <w:tc>
          <w:tcPr>
            <w:shd w:val="clear" w:color="auto" w:fill="F5F5F5"/>
          </w:tcPr>
          <w:p w14:paraId="200000C6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堵住"等上游"借口</w:t>
            </w:r>
          </w:p>
        </w:tc>
        <w:tc>
          <w:tcPr>
            <w:shd w:val="clear" w:color="auto" w:fill="F5F5F5"/>
          </w:tcPr>
          <w:p w14:paraId="200000C7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第一类 / 第三类</w:t>
            </w:r>
          </w:p>
        </w:tc>
      </w:tr>
      <w:tr w:rsidR="00DD26A9" w14:paraId="200000CD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C9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外协单位及联系人</w:t>
            </w:r>
          </w:p>
        </w:tc>
        <w:tc>
          <w:tcPr/>
          <w:p w14:paraId="200000CA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文本框</w:t>
            </w:r>
          </w:p>
        </w:tc>
        <w:tc>
          <w:tcPr/>
          <w:p w14:paraId="200000CB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外协纳管</w:t>
            </w:r>
          </w:p>
        </w:tc>
        <w:tc>
          <w:tcPr/>
          <w:p w14:paraId="200000CC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第四类</w:t>
            </w:r>
          </w:p>
        </w:tc>
      </w:tr>
      <w:tr w:rsidR="00DD26A9" w14:paraId="200000D2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CE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资源评估（人 × 天）</w:t>
            </w:r>
          </w:p>
        </w:tc>
        <w:tc>
          <w:tcPr>
            <w:shd w:val="clear" w:color="auto" w:fill="F5F5F5"/>
          </w:tcPr>
          <w:p w14:paraId="200000CF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文本框</w:t>
            </w:r>
          </w:p>
        </w:tc>
        <w:tc>
          <w:tcPr>
            <w:shd w:val="clear" w:color="auto" w:fill="F5F5F5"/>
          </w:tcPr>
          <w:p w14:paraId="200000D0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签单前逼着算账</w:t>
            </w:r>
          </w:p>
        </w:tc>
        <w:tc>
          <w:tcPr>
            <w:shd w:val="clear" w:color="auto" w:fill="F5F5F5"/>
          </w:tcPr>
          <w:p w14:paraId="200000D1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第一类 / 第七类</w:t>
            </w:r>
          </w:p>
        </w:tc>
      </w:tr>
      <w:tr w:rsidR="00DD26A9" w14:paraId="200000D7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D3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备份责任人</w:t>
            </w:r>
          </w:p>
        </w:tc>
        <w:tc>
          <w:tcPr/>
          <w:p w14:paraId="200000D4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签名</w:t>
            </w:r>
          </w:p>
        </w:tc>
        <w:tc>
          <w:tcPr/>
          <w:p w14:paraId="200000D5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防止单人依赖</w:t>
            </w:r>
          </w:p>
        </w:tc>
        <w:tc>
          <w:tcPr/>
          <w:p w14:paraId="200000D6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第二类 / 第六类</w:t>
            </w:r>
          </w:p>
        </w:tc>
      </w:tr>
      <w:tr w:rsidR="00DD26A9" w14:paraId="200000DC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D8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是否跨部门联动</w:t>
            </w:r>
          </w:p>
        </w:tc>
        <w:tc>
          <w:tcPr>
            <w:shd w:val="clear" w:color="auto" w:fill="F5F5F5"/>
          </w:tcPr>
          <w:p w14:paraId="200000D9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勾选框</w:t>
            </w:r>
          </w:p>
        </w:tc>
        <w:tc>
          <w:tcPr>
            <w:shd w:val="clear" w:color="auto" w:fill="F5F5F5"/>
          </w:tcPr>
          <w:p w14:paraId="200000DA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触发会签流程</w:t>
            </w:r>
          </w:p>
        </w:tc>
        <w:tc>
          <w:tcPr>
            <w:shd w:val="clear" w:color="auto" w:fill="F5F5F5"/>
          </w:tcPr>
          <w:p w14:paraId="200000DB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第三类</w:t>
            </w:r>
          </w:p>
        </w:tc>
      </w:tr>
      <w:tr w:rsidR="00DD26A9" w14:paraId="200000E1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DD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联动部门签章区</w:t>
            </w:r>
          </w:p>
        </w:tc>
        <w:tc>
          <w:tcPr/>
          <w:p w14:paraId="200000DE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签名区</w:t>
            </w:r>
          </w:p>
        </w:tc>
        <w:tc>
          <w:tcPr/>
          <w:p w14:paraId="200000DF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多部门绑定</w:t>
            </w:r>
          </w:p>
        </w:tc>
        <w:tc>
          <w:tcPr/>
          <w:p w14:paraId="200000E0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第三类</w:t>
            </w:r>
          </w:p>
        </w:tc>
      </w:tr>
      <w:tr w:rsidR="00DD26A9" w14:paraId="200000E6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E2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里程碑 1 / 2 / 3</w:t>
            </w:r>
          </w:p>
        </w:tc>
        <w:tc>
          <w:tcPr>
            <w:shd w:val="clear" w:color="auto" w:fill="F5F5F5"/>
          </w:tcPr>
          <w:p w14:paraId="200000E3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日期+描述</w:t>
            </w:r>
          </w:p>
        </w:tc>
        <w:tc>
          <w:tcPr>
            <w:shd w:val="clear" w:color="auto" w:fill="F5F5F5"/>
          </w:tcPr>
          <w:p w14:paraId="200000E4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过程管控</w:t>
            </w:r>
          </w:p>
        </w:tc>
        <w:tc>
          <w:tcPr>
            <w:shd w:val="clear" w:color="auto" w:fill="F5F5F5"/>
          </w:tcPr>
          <w:p w14:paraId="200000E5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第五类 / 第七类</w:t>
            </w:r>
          </w:p>
        </w:tc>
      </w:tr>
      <w:tr w:rsidR="00DD26A9" w14:paraId="200000EB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E7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周状态（绿/黄/红）</w:t>
            </w:r>
          </w:p>
        </w:tc>
        <w:tc>
          <w:tcPr/>
          <w:p w14:paraId="200000E8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勾选</w:t>
            </w:r>
          </w:p>
        </w:tc>
        <w:tc>
          <w:tcPr/>
          <w:p w14:paraId="200000E9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周例会更新</w:t>
            </w:r>
          </w:p>
        </w:tc>
        <w:tc>
          <w:tcPr/>
          <w:p w14:paraId="200000EA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全部</w:t>
            </w:r>
          </w:p>
        </w:tc>
      </w:tr>
      <w:tr w:rsidR="00DD26A9" w14:paraId="200000F0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EC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交接确认签章</w:t>
            </w:r>
          </w:p>
        </w:tc>
        <w:tc>
          <w:tcPr>
            <w:shd w:val="clear" w:color="auto" w:fill="F5F5F5"/>
          </w:tcPr>
          <w:p w14:paraId="200000ED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签名</w:t>
            </w:r>
          </w:p>
        </w:tc>
        <w:tc>
          <w:tcPr>
            <w:shd w:val="clear" w:color="auto" w:fill="F5F5F5"/>
          </w:tcPr>
          <w:p w14:paraId="200000EE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离岗交接硬约束</w:t>
            </w:r>
          </w:p>
        </w:tc>
        <w:tc>
          <w:tcPr>
            <w:shd w:val="clear" w:color="auto" w:fill="F5F5F5"/>
          </w:tcPr>
          <w:p w14:paraId="200000EF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第二类</w:t>
            </w:r>
          </w:p>
        </w:tc>
      </w:tr>
    </w:tbl>
    <w:p w14:paraId="200000F1" w14:textId="77777777" w:rsidR="00DD26A9" w:rsidRDefault="00000000">
      <w:pPr>
        <w:spacing w:before="300" w:after="100"/>
      </w:pPr>
      <w:r>
        <w:rPr>
          <w:b/>
          <w:sz w:val="36"/>
          <w:szCs w:val="36"/>
          <w:rFonts w:eastAsia="黑体"/>
        </w:rPr>
        <w:t xml:space="preserve">三、问题-解法对应总表</w:t>
      </w:r>
    </w:p>
    <w:tbl>
      <w:tblPr>
        <w:tblW w:w="5000" w:type="pct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/>
      </w:tblPr>
      <w:tblGrid>
        <w:gridCol w:w="2000"/>
        <w:gridCol w:w="2800"/>
        <w:gridCol w:w="4200"/>
      </w:tblGrid>
      <w:tr w:rsidR="00DD26A9" w14:paraId="200000F5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1F4E79"/>
          </w:tcPr>
          <w:p w14:paraId="200000F2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问题</w:t>
            </w:r>
          </w:p>
        </w:tc>
        <w:tc>
          <w:tcPr>
            <w:shd w:val="clear" w:color="auto" w:fill="1F4E79"/>
          </w:tcPr>
          <w:p w14:paraId="200000F3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核心解法</w:t>
            </w:r>
          </w:p>
        </w:tc>
        <w:tc>
          <w:tcPr>
            <w:shd w:val="clear" w:color="auto" w:fill="1F4E79"/>
          </w:tcPr>
          <w:p w14:paraId="200000F4" w14:textId="77777777" w:rsidR="00DD26A9" w:rsidRDefault="00000000">
            <w:pPr>
              <w:jc w:val="center"/>
            </w:pPr>
            <w:r>
              <w:rPr>
                <w:b/>
                <w:sz w:val="22"/>
                <w:rFonts w:eastAsia="黑体"/>
                <w:color w:val="FFFFFF"/>
              </w:rPr>
              <w:t xml:space="preserve">落地措施</w:t>
            </w:r>
          </w:p>
        </w:tc>
      </w:tr>
      <w:tr w:rsidR="00DD26A9" w14:paraId="200000F9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F6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① 签单后执行困难、借口多</w:t>
            </w:r>
          </w:p>
        </w:tc>
        <w:tc>
          <w:tcPr>
            <w:shd w:val="clear" w:color="auto" w:fill="F5F5F5"/>
          </w:tcPr>
          <w:p w14:paraId="200000F7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签前确认 + 前提显性化</w:t>
            </w:r>
          </w:p>
        </w:tc>
        <w:tc>
          <w:tcPr>
            <w:shd w:val="clear" w:color="auto" w:fill="F5F5F5"/>
          </w:tcPr>
          <w:p w14:paraId="200000F8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执行确认环节 / 黄灯预警 / 前置条件绑定</w:t>
            </w:r>
          </w:p>
        </w:tc>
      </w:tr>
      <w:tr w:rsidR="00DD26A9" w14:paraId="200000FD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0FA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② 罚钱后无交接走人</w:t>
            </w:r>
          </w:p>
        </w:tc>
        <w:tc>
          <w:tcPr/>
          <w:p w14:paraId="200000FB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三阶追责 + 交接硬约束</w:t>
            </w:r>
          </w:p>
        </w:tc>
        <w:tc>
          <w:tcPr/>
          <w:p w14:paraId="200000FC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个人绩效扣罚 / 交接即交付 / 备份人制度</w:t>
            </w:r>
          </w:p>
        </w:tc>
      </w:tr>
      <w:tr w:rsidR="00DD26A9" w14:paraId="20000101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0FE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③ 跨部门仅一方签单</w:t>
            </w:r>
          </w:p>
        </w:tc>
        <w:tc>
          <w:tcPr>
            <w:shd w:val="clear" w:color="auto" w:fill="F5F5F5"/>
          </w:tcPr>
          <w:p w14:paraId="200000FF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联动会签 + 上下游互锁</w:t>
            </w:r>
          </w:p>
        </w:tc>
        <w:tc>
          <w:tcPr>
            <w:shd w:val="clear" w:color="auto" w:fill="F5F5F5"/>
          </w:tcPr>
          <w:p w14:paraId="20000100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三方会签 / 外协纳管 / 交付标准明确化</w:t>
            </w:r>
          </w:p>
        </w:tc>
      </w:tr>
      <w:tr w:rsidR="00DD26A9" w14:paraId="20000105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102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④ 外协不受控</w:t>
            </w:r>
          </w:p>
        </w:tc>
        <w:tc>
          <w:tcPr/>
          <w:p w14:paraId="20000103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外协合同绑定推进单</w:t>
            </w:r>
          </w:p>
        </w:tc>
        <w:tc>
          <w:tcPr/>
          <w:p w14:paraId="20000104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进度联动条款 / 付款条件挂钩 / 外协参会</w:t>
            </w:r>
          </w:p>
        </w:tc>
      </w:tr>
      <w:tr w:rsidR="00DD26A9" w14:paraId="20000109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106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⑤ 质量换速度</w:t>
            </w:r>
          </w:p>
        </w:tc>
        <w:tc>
          <w:tcPr>
            <w:shd w:val="clear" w:color="auto" w:fill="F5F5F5"/>
          </w:tcPr>
          <w:p w14:paraId="20000107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里程碑验收 + 过程检查</w:t>
            </w:r>
          </w:p>
        </w:tc>
        <w:tc>
          <w:tcPr>
            <w:shd w:val="clear" w:color="auto" w:fill="F5F5F5"/>
          </w:tcPr>
          <w:p w14:paraId="20000108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里程碑节点 / 验收标准预确认 / 返工追责</w:t>
            </w:r>
          </w:p>
        </w:tc>
      </w:tr>
      <w:tr w:rsidR="00DD26A9" w14:paraId="2000010D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10A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⑥ 签字人不干活</w:t>
            </w:r>
          </w:p>
        </w:tc>
        <w:tc>
          <w:tcPr/>
          <w:p w14:paraId="2000010B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备份人 + 执行人知悉</w:t>
            </w:r>
          </w:p>
        </w:tc>
        <w:tc>
          <w:tcPr/>
          <w:p w14:paraId="2000010C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执行确认传达到执行层 / 备份责任人签名</w:t>
            </w:r>
          </w:p>
        </w:tc>
      </w:tr>
      <w:tr w:rsidR="00DD26A9" w14:paraId="20000111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10E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⑦ 多单资源冲突</w:t>
            </w:r>
          </w:p>
        </w:tc>
        <w:tc>
          <w:tcPr>
            <w:shd w:val="clear" w:color="auto" w:fill="F5F5F5"/>
          </w:tcPr>
          <w:p w14:paraId="2000010F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资源可见性 + 优先级裁定</w:t>
            </w:r>
          </w:p>
        </w:tc>
        <w:tc>
          <w:tcPr>
            <w:shd w:val="clear" w:color="auto" w:fill="F5F5F5"/>
          </w:tcPr>
          <w:p w14:paraId="20000110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资源日历 / 超80%触发会商 / 统一签发管控</w:t>
            </w:r>
          </w:p>
        </w:tc>
      </w:tr>
      <w:tr w:rsidR="00DD26A9" w14:paraId="20000115" w14:textId="77777777" w:rsidTr="00395A6A">
        <w:tblPrEx>
          <w:tblCellMar>
            <w:top w:w="0" w:type="dxa"/>
            <w:bottom w:w="0" w:type="dxa"/>
          </w:tblCellMar>
        </w:tblPrEx>
        <w:tc>
          <w:tcPr/>
          <w:p w14:paraId="20000112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⑧ 追责落空</w:t>
            </w:r>
          </w:p>
        </w:tc>
        <w:tc>
          <w:tcPr/>
          <w:p w14:paraId="20000113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追责穿透 + 连带问责</w:t>
            </w:r>
          </w:p>
        </w:tc>
        <w:tc>
          <w:tcPr/>
          <w:p w14:paraId="20000114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追到个人 / 部门负责人连带 50% / 外协合同罚则</w:t>
            </w:r>
          </w:p>
        </w:tc>
      </w:tr>
      <w:tr w:rsidR="00DD26A9" w14:paraId="20000119" w14:textId="77777777" w:rsidTr="00395A6A">
        <w:tblPrEx>
          <w:tblCellMar>
            <w:top w:w="0" w:type="dxa"/>
            <w:bottom w:w="0" w:type="dxa"/>
          </w:tblCellMar>
        </w:tblPrEx>
        <w:tc>
          <w:tcPr>
            <w:shd w:val="clear" w:color="auto" w:fill="F5F5F5"/>
          </w:tcPr>
          <w:p w14:paraId="20000116" w14:textId="77777777" w:rsidR="00DD26A9" w:rsidRDefault="00000000">
            <w:pPr>
              <w:jc w:val="center"/>
            </w:pPr>
            <w:r>
              <w:rPr>
                <w:sz w:val="20"/>
                <w:rFonts w:eastAsia="宋体"/>
              </w:rPr>
              <w:t xml:space="preserve">⑨ 文化性对抗</w:t>
            </w:r>
          </w:p>
        </w:tc>
        <w:tc>
          <w:tcPr>
            <w:shd w:val="clear" w:color="auto" w:fill="F5F5F5"/>
          </w:tcPr>
          <w:p w14:paraId="20000117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正向激励 + 公平执行</w:t>
            </w:r>
          </w:p>
        </w:tc>
        <w:tc>
          <w:tcPr>
            <w:shd w:val="clear" w:color="auto" w:fill="F5F5F5"/>
          </w:tcPr>
          <w:p w14:paraId="20000118" w14:textId="77777777" w:rsidR="00DD26A9" w:rsidRDefault="00000000">
            <w:pPr>
              <w:jc w:val="left"/>
            </w:pPr>
            <w:r>
              <w:rPr>
                <w:sz w:val="20"/>
                <w:rFonts w:eastAsia="宋体"/>
              </w:rPr>
              <w:t xml:space="preserve">四档评价 / 优秀奖励 / 一视同仁严格执行</w:t>
            </w:r>
          </w:p>
        </w:tc>
      </w:tr>
    </w:tbl>
    <w:p w14:paraId="2000011A" w14:textId="77777777" w:rsidR="00DD26A9" w:rsidRDefault="00000000">
      <w:pPr>
        <w:spacing w:before="300" w:after="100"/>
      </w:pPr>
      <w:r>
        <w:rPr>
          <w:b/>
          <w:sz w:val="36"/>
          <w:szCs w:val="36"/>
          <w:rFonts w:eastAsia="黑体"/>
        </w:rPr>
        <w:t xml:space="preserve">四、核心理念</w:t>
      </w:r>
    </w:p>
    <w:p w14:paraId="2000011B" w14:textId="77777777" w:rsidR="00DD26A9" w:rsidRDefault="00000000">
      <w:pPr>
        <w:ind w:left="420" w:right="420"/>
      </w:pPr>
      <w:r>
        <w:rPr>
          <w:sz w:val="21"/>
          <w:szCs w:val="21"/>
          <w:rFonts w:eastAsia="宋体"/>
        </w:rPr>
        <w:t xml:space="preserve">推进单不能是"下达指令的纸条"，而应该是一份有约束力的微型责任状：</w:t>
      </w:r>
    </w:p>
    <w:p w14:paraId="2000011C" w14:textId="77777777" w:rsidR="00DD26A9" w:rsidRDefault="00000000">
      <w:pPr>
        <w:ind w:left="630" w:right="630"/>
      </w:pPr>
      <w:r>
        <w:rPr>
          <w:b/>
          <w:sz w:val="21"/>
          <w:szCs w:val="21"/>
          <w:rFonts w:eastAsia="宋体"/>
        </w:rPr>
        <w:t xml:space="preserve">• 有承诺前评估 —— 签之前要想清楚能不能做</w:t>
      </w:r>
    </w:p>
    <w:p w14:paraId="2000011D" w14:textId="77777777" w:rsidR="00DD26A9" w:rsidRDefault="00000000">
      <w:pPr>
        <w:ind w:left="630" w:right="630"/>
      </w:pPr>
      <w:r>
        <w:rPr>
          <w:b/>
          <w:sz w:val="21"/>
          <w:szCs w:val="21"/>
          <w:rFonts w:eastAsia="宋体"/>
        </w:rPr>
        <w:t xml:space="preserve">• 有过程追踪 —— 周周亮灯，不让问题发酵</w:t>
      </w:r>
    </w:p>
    <w:p w14:paraId="2000011E" w14:textId="77777777" w:rsidR="00DD26A9" w:rsidRDefault="00000000">
      <w:pPr>
        <w:ind w:left="630" w:right="630"/>
      </w:pPr>
      <w:r>
        <w:rPr>
          <w:b/>
          <w:sz w:val="21"/>
          <w:szCs w:val="21"/>
          <w:rFonts w:eastAsia="宋体"/>
        </w:rPr>
        <w:t xml:space="preserve">• 有个人化后果 —— 追到人，不是追到部门</w:t>
      </w:r>
    </w:p>
    <w:p w14:paraId="2000011F" w14:textId="77777777" w:rsidR="00DD26A9" w:rsidRDefault="00000000">
      <w:pPr>
        <w:ind w:left="630" w:right="630"/>
      </w:pPr>
      <w:r>
        <w:rPr>
          <w:b/>
          <w:sz w:val="21"/>
          <w:szCs w:val="21"/>
          <w:rFonts w:eastAsia="宋体"/>
        </w:rPr>
        <w:t xml:space="preserve">• 有多方联动 —— 上下游一起签，谁都跑不掉</w:t>
      </w:r>
    </w:p>
    <w:p w14:paraId="20000120" w14:textId="77777777" w:rsidR="00DD26A9" w:rsidRDefault="00000000">
      <w:pPr>
        <w:ind w:left="630" w:right="630"/>
      </w:pPr>
      <w:r>
        <w:rPr>
          <w:b/>
          <w:sz w:val="21"/>
          <w:szCs w:val="21"/>
          <w:rFonts w:eastAsia="宋体"/>
        </w:rPr>
        <w:t xml:space="preserve">• 有正向激励 —— 做得好有奖励，不是只罚不奖</w:t>
      </w:r>
    </w:p>
    <w:p w14:paraId="20000121" w14:textId="77777777" w:rsidR="00DD26A9" w:rsidRDefault="00000000">
      <w:pPr>
        <w:spacing w:before="400"/>
      </w:pPr>
      <w:r>
        <w:t xml:space="preserve"/>
      </w:r>
    </w:p>
    <w:p w14:paraId="20000122" w14:textId="77777777" w:rsidR="00DD26A9" w:rsidRDefault="00000000">
      <w:pPr>
        <w:jc w:val="right"/>
      </w:pPr>
      <w:r>
        <w:rPr>
          <w:sz w:val="21"/>
          <w:szCs w:val="21"/>
          <w:rFonts w:eastAsia="宋体"/>
        </w:rPr>
        <w:t xml:space="preserve">— 江西柯美纸业有限公司 总经理办公室</w:t>
      </w:r>
    </w:p>
    <w:sectPr w:rsidR="00DD26A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eastAsia="宋体" w:hAnsi="宋体"/>
        <w:sz w:val="21"/>
        <w:szCs w:val="21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