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2324F"/>
          <w:sz w:val="32"/>
        </w:rPr>
        <w:t>Nusantara Strategic Holdings (NSH)</w:t>
      </w:r>
    </w:p>
    <w:p>
      <w:pPr>
        <w:jc w:val="center"/>
      </w:pPr>
      <w:r>
        <w:rPr>
          <w:b/>
          <w:i w:val="0"/>
          <w:color w:val="2B7A9B"/>
          <w:sz w:val="26"/>
        </w:rPr>
        <w:t>Group Recruitment &amp; Talent Management Policy</w:t>
      </w:r>
    </w:p>
    <w:p>
      <w:pPr>
        <w:jc w:val="center"/>
      </w:pPr>
      <w:r>
        <w:rPr>
          <w:b w:val="0"/>
          <w:i/>
          <w:color w:val="5B6770"/>
          <w:sz w:val="17"/>
        </w:rPr>
        <w:t>Document No. NSH-HR-POL-001  |  Version 1.0  |  Effective 1 January 2026  |  Owner: Group HR</w:t>
      </w:r>
    </w:p>
    <w:p>
      <w:r>
        <w:rPr>
          <w:b/>
          <w:color w:val="12324F"/>
          <w:sz w:val="24"/>
        </w:rPr>
        <w:t>1. Purpose &amp; Scope</w:t>
      </w:r>
    </w:p>
    <w:p>
      <w:r>
        <w:t>Nusantara Strategic Holdings (NSH) ("the Group") is a holding company overseeing strategic operating entities. This Group policy sets the minimum talent-management standards that every entity must meet. Each operating entity implements these standards through its own Collective Labour Agreement / Perjanjian Kerja Bersama (PKB), negotiated with its respective trade union. Where an entity PKB is more favourable to employees than this policy, the PKB prevails.</w:t>
      </w:r>
    </w:p>
    <w:p>
      <w:r>
        <w:rPr>
          <w:b/>
          <w:color w:val="12324F"/>
          <w:sz w:val="24"/>
        </w:rPr>
        <w:t>2. Group Job Grade Framework</w:t>
      </w:r>
    </w:p>
    <w:p>
      <w:r>
        <w:t>All roles across all entities map to one of four group grades. Grade definitions, notice periods, and probation are standardised at Group level; salary bands are set per entity in the entity PKB to reflect sector and market differences.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Notice (group std)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Probation (group std)</w:t>
            </w:r>
          </w:p>
        </w:tc>
      </w:tr>
      <w:tr>
        <w:tc>
          <w:tcPr>
            <w:tcW w:type="dxa" w:w="2160"/>
          </w:tcPr>
          <w:p>
            <w:r>
              <w:t>G7</w:t>
            </w:r>
          </w:p>
        </w:tc>
        <w:tc>
          <w:tcPr>
            <w:tcW w:type="dxa" w:w="2160"/>
          </w:tcPr>
          <w:p>
            <w:r>
              <w:t>Director / Executive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Not applicable (direct appointment)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2 months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Senior Staff / Specialist</w:t>
            </w:r>
          </w:p>
        </w:tc>
        <w:tc>
          <w:tcPr>
            <w:tcW w:type="dxa" w:w="2160"/>
          </w:tcPr>
          <w:p>
            <w:r>
              <w:t>1 month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Junior / Entry Staff</w:t>
            </w:r>
          </w:p>
        </w:tc>
        <w:tc>
          <w:tcPr>
            <w:tcW w:type="dxa" w:w="2160"/>
          </w:tcPr>
          <w:p>
            <w:r>
              <w:t>1 month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</w:tr>
    </w:tbl>
    <w:p>
      <w:r>
        <w:rPr>
          <w:b/>
          <w:color w:val="12324F"/>
          <w:sz w:val="24"/>
        </w:rPr>
        <w:t>3. Salary Bands Are Set Per Entity</w:t>
      </w:r>
    </w:p>
    <w:p>
      <w:r>
        <w:t>Salary bands differ by entity. The current group-wide range per grade (min of lowest band to max of highest band) is shown for orientation only; the binding band is the one in the employing entity's PKB.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Group range</w:t>
            </w:r>
          </w:p>
        </w:tc>
      </w:tr>
      <w:tr>
        <w:tc>
          <w:tcPr>
            <w:tcW w:type="dxa" w:w="1728"/>
          </w:tcPr>
          <w:p>
            <w:r>
              <w:t>G7</w:t>
            </w:r>
          </w:p>
        </w:tc>
        <w:tc>
          <w:tcPr>
            <w:tcW w:type="dxa" w:w="1728"/>
          </w:tcPr>
          <w:p>
            <w:r>
              <w:t>60-95M</w:t>
            </w:r>
          </w:p>
        </w:tc>
        <w:tc>
          <w:tcPr>
            <w:tcW w:type="dxa" w:w="1728"/>
          </w:tcPr>
          <w:p>
            <w:r>
              <w:t>58-90M</w:t>
            </w:r>
          </w:p>
        </w:tc>
        <w:tc>
          <w:tcPr>
            <w:tcW w:type="dxa" w:w="1728"/>
          </w:tcPr>
          <w:p>
            <w:r>
              <w:t>55-88M</w:t>
            </w:r>
          </w:p>
        </w:tc>
        <w:tc>
          <w:tcPr>
            <w:tcW w:type="dxa" w:w="1728"/>
          </w:tcPr>
          <w:p>
            <w:r>
              <w:t>55-95M</w:t>
            </w:r>
          </w:p>
        </w:tc>
      </w:tr>
      <w:tr>
        <w:tc>
          <w:tcPr>
            <w:tcW w:type="dxa" w:w="1728"/>
          </w:tcPr>
          <w:p>
            <w:r>
              <w:t>G5</w:t>
            </w:r>
          </w:p>
        </w:tc>
        <w:tc>
          <w:tcPr>
            <w:tcW w:type="dxa" w:w="1728"/>
          </w:tcPr>
          <w:p>
            <w:r>
              <w:t>33-50M</w:t>
            </w:r>
          </w:p>
        </w:tc>
        <w:tc>
          <w:tcPr>
            <w:tcW w:type="dxa" w:w="1728"/>
          </w:tcPr>
          <w:p>
            <w:r>
              <w:t>32-48M</w:t>
            </w:r>
          </w:p>
        </w:tc>
        <w:tc>
          <w:tcPr>
            <w:tcW w:type="dxa" w:w="1728"/>
          </w:tcPr>
          <w:p>
            <w:r>
              <w:t>30-46M</w:t>
            </w:r>
          </w:p>
        </w:tc>
        <w:tc>
          <w:tcPr>
            <w:tcW w:type="dxa" w:w="1728"/>
          </w:tcPr>
          <w:p>
            <w:r>
              <w:t>30-50M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17-27M</w:t>
            </w:r>
          </w:p>
        </w:tc>
        <w:tc>
          <w:tcPr>
            <w:tcW w:type="dxa" w:w="1728"/>
          </w:tcPr>
          <w:p>
            <w:r>
              <w:t>16-25M</w:t>
            </w:r>
          </w:p>
        </w:tc>
        <w:tc>
          <w:tcPr>
            <w:tcW w:type="dxa" w:w="1728"/>
          </w:tcPr>
          <w:p>
            <w:r>
              <w:t>15-24M</w:t>
            </w:r>
          </w:p>
        </w:tc>
        <w:tc>
          <w:tcPr>
            <w:tcW w:type="dxa" w:w="1728"/>
          </w:tcPr>
          <w:p>
            <w:r>
              <w:t>15-27M</w:t>
            </w:r>
          </w:p>
        </w:tc>
      </w:tr>
      <w:t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8-12M</w:t>
            </w:r>
          </w:p>
        </w:tc>
        <w:tc>
          <w:tcPr>
            <w:tcW w:type="dxa" w:w="1728"/>
          </w:tcPr>
          <w:p>
            <w:r>
              <w:t>8-12M</w:t>
            </w:r>
          </w:p>
        </w:tc>
        <w:tc>
          <w:tcPr>
            <w:tcW w:type="dxa" w:w="1728"/>
          </w:tcPr>
          <w:p>
            <w:r>
              <w:t>7-11M</w:t>
            </w:r>
          </w:p>
        </w:tc>
        <w:tc>
          <w:tcPr>
            <w:tcW w:type="dxa" w:w="1728"/>
          </w:tcPr>
          <w:p>
            <w:r>
              <w:t>7-12M</w:t>
            </w:r>
          </w:p>
        </w:tc>
      </w:tr>
    </w:tbl>
    <w:p>
      <w:r>
        <w:rPr>
          <w:b/>
          <w:color w:val="12324F"/>
          <w:sz w:val="24"/>
        </w:rPr>
        <w:t>4. Recruitment Process (minimum standard)</w:t>
      </w:r>
    </w:p>
    <w:p>
      <w:pPr>
        <w:pStyle w:val="ListNumber"/>
      </w:pPr>
      <w:r>
        <w:t>Requisition raised by the hiring manager specifying grade and headcount.</w:t>
      </w:r>
    </w:p>
    <w:p>
      <w:pPr>
        <w:pStyle w:val="ListNumber"/>
      </w:pPr>
      <w:r>
        <w:t>Every applicant submits a CV and a completed Candidate Registration Form; HR verifies the two are consistent (identity, position, experience, and expected salary against the entity band).</w:t>
      </w:r>
    </w:p>
    <w:p>
      <w:pPr>
        <w:pStyle w:val="ListNumber"/>
      </w:pPr>
      <w:r>
        <w:t>Screening records a status; salary outside the entity band is flagged REVIEW and needs HR Director approval.</w:t>
      </w:r>
    </w:p>
    <w:p>
      <w:pPr>
        <w:pStyle w:val="ListNumber"/>
      </w:pPr>
      <w:r>
        <w:t>Interview rounds by grade: G1-G3 two rounds, G5 three rounds, G7 panel plus Board endorsement.</w:t>
      </w:r>
    </w:p>
    <w:p>
      <w:pPr>
        <w:pStyle w:val="ListNumber"/>
      </w:pPr>
      <w:r>
        <w:t>Offers must respect the entity PKB band, probation, and notice.</w:t>
      </w:r>
    </w:p>
    <w:p>
      <w:pPr>
        <w:pStyle w:val="ListNumber"/>
      </w:pPr>
      <w:r>
        <w:t>Candidate master data is deduplicated at Group level (MDM) before onboarding to avoid duplicate persons across entities.</w:t>
      </w:r>
    </w:p>
    <w:p>
      <w:r>
        <w:rPr>
          <w:b/>
          <w:color w:val="12324F"/>
          <w:sz w:val="24"/>
        </w:rPr>
        <w:t>5. Data Handling, Privacy &amp; MDM</w:t>
      </w:r>
    </w:p>
    <w:p>
      <w:r>
        <w:t>Candidate and employee records contain personal data (names, contact, NIK). Access is restricted to HR and the hiring panel; NIK is masked in working copies. Because the same person may apply to more than one entity, Group HR maintains golden records (MDM) keyed by a person identifier to reconcile duplicates. Retention of unsuccessful-candidate data is limited to 12 months unless consent is given for a talent pool.</w:t>
      </w:r>
    </w:p>
    <w:p>
      <w:r>
        <w:rPr>
          <w:b/>
          <w:color w:val="12324F"/>
          <w:sz w:val="24"/>
        </w:rPr>
        <w:t>6. Equal Opportunity</w:t>
      </w:r>
    </w:p>
    <w:p>
      <w:r>
        <w:t>Selection is on merit. No discrimination on gender, religion, ethnicity, marital status, or disability, consistent with each entity PKB and prevailing labour law.</w:t>
      </w:r>
    </w:p>
    <w:p>
      <w:r>
        <w:rPr>
          <w:b/>
          <w:color w:val="12324F"/>
          <w:sz w:val="24"/>
        </w:rPr>
        <w:t>7. Entity PKBs Governed by This Policy</w:t>
      </w:r>
    </w:p>
    <w:p>
      <w:pPr>
        <w:pStyle w:val="ListBullet"/>
      </w:pPr>
      <w:r>
        <w:t>PT Bank Nusantara Sejahtera (BNS) — union Serikat Pekerja Bank Nusantara (SPBN); PKB 2025-2027.</w:t>
      </w:r>
    </w:p>
    <w:p>
      <w:pPr>
        <w:pStyle w:val="ListBullet"/>
      </w:pPr>
      <w:r>
        <w:t>PT Energi Nusantara Persada (ENP) — union Serikat Pekerja Energi Nusantara (SPEN); PKB 2025-2027.</w:t>
      </w:r>
    </w:p>
    <w:p>
      <w:pPr>
        <w:pStyle w:val="ListBullet"/>
      </w:pPr>
      <w:r>
        <w:t>PT Telekomunikasi Nusantara Raya (TNR) — union Serikat Pekerja Telekomunikasi Nusantara (SPTN); PKB 2025-2027.</w:t>
      </w:r>
    </w:p>
    <w:p/>
    <w:p>
      <w:pPr>
        <w:jc w:val="center"/>
      </w:pPr>
      <w:r>
        <w:rPr>
          <w:b w:val="0"/>
          <w:i/>
          <w:color w:val="5B6770"/>
          <w:sz w:val="18"/>
        </w:rPr>
        <w:t>talent@nsh-holdings.example.id  •  www.nsh-holdings.example.id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