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use cookies to help our site work, to understand how it is used, and to tailor the adverts presented on our site. By clicking “Accept” below, you agree to us doing so. You can read more in our cookie notice. Or, if you do not agree, you can click Manage below to access other choices.</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Our use of cookies</w:t>
      </w:r>
    </w:p>
    <w:p w:rsidR="00000000" w:rsidDel="00000000" w:rsidP="00000000" w:rsidRDefault="00000000" w:rsidRPr="00000000" w14:paraId="00000005">
      <w:pPr>
        <w:rPr/>
      </w:pPr>
      <w:r w:rsidDel="00000000" w:rsidR="00000000" w:rsidRPr="00000000">
        <w:rPr>
          <w:rtl w:val="0"/>
        </w:rPr>
        <w:t xml:space="preserve">Here you can control cookies, including those for advertising, using the buttons below. Even if you turn off the advertising related cookies, you will still see adverts on our site, because they help us to fund it. However, those adverts will simply be less relevant to to you. You can learn more about cookies in our Cookie Notice on the site.</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The technology to maintain this privacy management relies on cookie identifiers. Removing or resetting your browser cookies will reset these preferences. This process does not turn off all Internet advertising, only advertisements that are customised to your likely interests based upon previous web browsing activity.</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