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Customize Advertising Cookies</w:t>
      </w:r>
    </w:p>
    <w:p w:rsidR="00000000" w:rsidDel="00000000" w:rsidP="00000000" w:rsidRDefault="00000000" w:rsidRPr="00000000" w14:paraId="00000002">
      <w:pPr>
        <w:rPr/>
      </w:pPr>
      <w:r w:rsidDel="00000000" w:rsidR="00000000" w:rsidRPr="00000000">
        <w:rPr>
          <w:rtl w:val="0"/>
        </w:rPr>
        <w:t xml:space="preserve">Our advertising service partner, AdRoll Group, sets cookies and collects information from your browser across the web and infers connections between your browsers and devices. This information is used to better understand your interests in order to select and deliver relevant advertising and offers, manage the frequency of ads you see, provide measurement and reporting to advertisers like us about the performance of their ads, and help AdRoll and us better understand web audiences.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Learn more about AdRoll Group and how online advertising works, including what information is collected about you and how it is used and why the cookies below are dropped, here.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You can "Allow All" or customize which cookies to allow for these purposes below. You can change your customization at any time by visiting our opt out page here.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Important - if you select "Reject All" you will still receive online advertising, but the ads you see may not be as relevant to you.</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