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Aggregator/Supplier (5) - Marketing Solutions (1) - Social Media (2) - Business Intelligence (1) - Analytics Provider (8) - Ad Network (4) - Ad Exchange (2) - Ad Server (1) - Data Management Platform (1) - Retargeter (2) - Ad Verification (1) - Optimizer (1) - Demand Side Platform (1)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Aggregator/Supplier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Oracle Data Cloud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Neustar Marketing (Formerly PlatformOne)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Eyeota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eXelate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Adobe Experience Cloud (Audience Manager)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Marketing Solutions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Bombora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Media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Facebook Social Graph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Facebook for Developers (formerly Facebook Connect)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Intelligence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Full Circle Studies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Analytics Provider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trueAnthem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Tealium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Tapad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Qualtrics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PageFair (formerly BlockMetrics)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New Relic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Neustar AdAdvisor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Google Analytics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 Network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Yahoo!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VigLink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Sharethrough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Google Inc.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 Exchange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Rubicon Project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Index Exchange (Formerly Casale Media)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 Server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LiveIntent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Management Platform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Lotame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Retargeter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MediaMath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Taboola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 Verification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Moat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Optimizer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Perfect Market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Demand Side Platform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Trade Desk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