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SOLAR WRAP</w:t>
      </w:r>
    </w:p>
    <w:p>
      <w:pPr>
        <w:pStyle w:val="Heading2"/>
      </w:pPr>
      <w:r>
        <w:t>Note juridique et organisation RH</w:t>
      </w:r>
    </w:p>
    <w:p>
      <w:r>
        <w:rPr>
          <w:b/>
        </w:rPr>
        <w:t>Transport frigorifique de produits pharmaceutiques et alimentaires frais</w:t>
      </w:r>
    </w:p>
    <w:p>
      <w:r>
        <w:rPr>
          <w:b/>
        </w:rPr>
        <w:t>Côte d’Ivoire · Groupe 8 · Responsable : Maxime</w:t>
      </w:r>
    </w:p>
    <w:p>
      <w:r>
        <w:t>Version 2 — 27 octobre 2026</w:t>
      </w:r>
    </w:p>
    <w:p>
      <w:pPr>
        <w:pStyle w:val="Heading3"/>
      </w:pPr>
      <w:r>
        <w:t>Synthèse à présenter au groupe</w:t>
      </w:r>
    </w:p>
    <w:p>
      <w:r>
        <w:t xml:space="preserve">SOLAR WRAP souhaite démarrer en Côte d’Ivoire avec une activité liée au véhicule frigorifique pour les produits pharmaceutiques et les aliments frais. Le dossier retient, pour construire un scénario exploitable, une prestation de transport routier national pour des clients professionnels, sans achat-revente de médicaments. Cette organisation est une </w:t>
      </w:r>
      <w:r>
        <w:rPr>
          <w:b/>
        </w:rPr>
        <w:t>proposition</w:t>
      </w:r>
      <w:r>
        <w:t>, pas une activité déjà autorisée.</w:t>
      </w:r>
    </w:p>
    <w:p>
      <w:r>
        <w:rPr>
          <w:b/>
        </w:rPr>
        <w:t>Recommandation : créer une structure commerciale adaptée, sécuriser les autorisations de transport et les exigences sanitaires, puis lancer deux offres distinctes : « Pharma » et « Frais alimentaire ».</w:t>
      </w:r>
      <w:r>
        <w:t xml:space="preserve"> Au démarrage, ne pas charger simultanément médicaments et aliments ; privilégier des moyens dédiés. Un usage alterné du même véhicule devra être justifié et accepté dans le cadre réglementaire et qualité applicable.</w:t>
      </w:r>
    </w:p>
    <w:p>
      <w:r>
        <w:t>Le volet pharmaceutique présente un point préalable essentiel : la loi définit largement la distribution et confie des compétences d’autorisation à l’AIRP. Ne pas considérer le simple transport comme automatiquement exempté. [S05, art. 1 et 7]</w:t>
      </w:r>
    </w:p>
    <w:p>
      <w:pPr>
        <w:pStyle w:val="Heading3"/>
      </w:pPr>
      <w:r>
        <w:t>Livrables réunis dans ce dossier</w:t>
      </w:r>
    </w:p>
    <w:p>
      <w:pPr>
        <w:ind w:left="113"/>
      </w:pPr>
      <w:r>
        <w:t>- Note juridique : société, transport, pharma, alimentaire, contrats, assurances et données.</w:t>
      </w:r>
    </w:p>
    <w:p>
      <w:pPr>
        <w:ind w:left="113"/>
      </w:pPr>
      <w:r>
        <w:t>- Organisation RH : fonctions, compétences, formalités et besoins de formation.</w:t>
      </w:r>
    </w:p>
    <w:p>
      <w:pPr>
        <w:ind w:left="113"/>
      </w:pPr>
      <w:r>
        <w:t>- Plan d’action avec responsables et conditions préalables au lancement.</w:t>
      </w:r>
    </w:p>
    <w:p>
      <w:pPr>
        <w:ind w:left="113"/>
      </w:pPr>
      <w:r>
        <w:t>- Annexes : trame contractuelle, accord qualité, procédures, fiches opérationnelles, demandes de clarification et présentation orale.</w:t>
      </w:r>
    </w:p>
    <w:p>
      <w:pPr>
        <w:ind w:left="113"/>
      </w:pPr>
      <w:r>
        <w:t>- Registre des sources officielles et tableau de suivi modifiable dans le fichier Excel associé.</w:t>
      </w:r>
    </w:p>
    <w:p>
      <w:pPr>
        <w:pStyle w:val="Heading3"/>
      </w:pPr>
      <w:r>
        <w:t>Comment lire le dossier</w:t>
      </w:r>
    </w:p>
    <w:p>
      <w:r>
        <w:rPr>
          <w:b/>
        </w:rPr>
        <w:t>CONFIRMÉ</w:t>
      </w:r>
      <w:r>
        <w:t xml:space="preserve"> : point étayé par le texte ou la page officielle citée. </w:t>
      </w:r>
      <w:r>
        <w:rPr>
          <w:b/>
        </w:rPr>
        <w:t>À CONFIRMER</w:t>
      </w:r>
      <w:r>
        <w:t xml:space="preserve"> : application au modèle SOLAR WRAP, formalité ou condition technique non résolue. </w:t>
      </w:r>
      <w:r>
        <w:rPr>
          <w:b/>
        </w:rPr>
        <w:t>PROPOSITION</w:t>
      </w:r>
      <w:r>
        <w:t xml:space="preserve"> : choix d’organisation soumis au groupe.</w:t>
      </w:r>
    </w:p>
    <w:p>
      <w:r>
        <w:t>Les sources en ligne ont été consultées le 27 octobre 2026. Ce dossier est un livrable de cadrage ; il ne constitue ni une autorisation d’exploitation ni un contrat signé. Les champs « à renseigner » concernent des informations que le projet n’a pas encore fixées.</w:t>
      </w:r>
    </w:p>
    <w:p>
      <w:r>
        <w:br w:type="page"/>
      </w:r>
    </w:p>
    <w:p>
      <w:pPr>
        <w:pStyle w:val="Heading1"/>
      </w:pPr>
      <w:r>
        <w:t>1. Périmètre et structure juridique</w:t>
      </w:r>
    </w:p>
    <w:p>
      <w:pPr>
        <w:pStyle w:val="Heading3"/>
      </w:pPr>
      <w:r>
        <w:t>1.1 Ce qui est établi et ce qui reste à décider</w:t>
      </w:r>
    </w:p>
    <w:p>
      <w:r>
        <w:rPr>
          <w:b/>
        </w:rPr>
        <w:t>Établi par le porteur du projet :</w:t>
      </w:r>
      <w:r>
        <w:t xml:space="preserve"> démarrage en Côte d’Ivoire, véhicule frigorifique, produits pharmaceutiques et frais alimentaires. </w:t>
      </w:r>
      <w:r>
        <w:rPr>
          <w:b/>
        </w:rPr>
        <w:t>Établi par le dépôt :</w:t>
      </w:r>
      <w:r>
        <w:t xml:space="preserve"> Maxime est responsable Juridique / RH ; son livrable est une note juridique et une organisation RH. [P01]</w:t>
      </w:r>
    </w:p>
    <w:p>
      <w:r>
        <w:rPr>
          <w:b/>
        </w:rPr>
        <w:t>Hypothèses retenues :</w:t>
      </w:r>
      <w:r>
        <w:t xml:space="preserve"> transport pour compte d’autrui, clients professionnels, trajets nationaux, un véhicule pilote et recours à des partenaires spécialisés. Restent à fixer : produits exacts, villes desservies, capacité, technologie frigorifique, financement, associés et calendrier. Le nom SOLAR WRAP ne prouve pas une alimentation solaire ni une performance énergétique.</w:t>
      </w:r>
    </w:p>
    <w:p>
      <w:r>
        <w:t>Le dossier traite l’exploitation du service. Si le modèle devient la fabrication, la transformation ou la vente de véhicules, une étude distincte devra couvrir la conformité du véhicule modifié, la réception technique et les garanties du vendeur. Aucun marquage ou certificat étranger n’est présumé suffisant en Côte d’Ivoire.</w:t>
      </w:r>
    </w:p>
    <w:p>
      <w:pPr>
        <w:pStyle w:val="Heading3"/>
      </w:pPr>
      <w:r>
        <w:t>1.2 Société : proposition de SARL pour le pilote</w:t>
      </w:r>
    </w:p>
    <w:p>
      <w:r>
        <w:rPr>
          <w:b/>
        </w:rPr>
        <w:t>Proposition conditionnelle : privilégier une SARL</w:t>
      </w:r>
      <w:r>
        <w:t xml:space="preserve"> si le groupe démarre avec un cercle stable d’associés et une gouvernance simple ; comparer une SAS si l’entrée d’investisseurs et une organisation statutaire plus personnalisée sont prioritaires. Le cadre OHADA et les dossiers CEPICI distinguent ces formes. Si SOLAR WRAP est qualifié d’établissement pharmaceutique, vérifier aussi les exigences de propriété ou de majorité pharmaceutique applicables avant de fixer le capital. [S01–S02 ; S06, art. 42]</w:t>
      </w:r>
    </w:p>
    <w:p>
      <w:r>
        <w:t>Avant constitution : choisir la dénomination et vérifier les droits antérieurs, définir les apports et les parts, fixer le siège, l’objet social et les pouvoirs du dirigeant. Les six membres du groupe ne deviennent pas automatiquement associés ou salariés. Capital, rémunération et pouvoir de signature restent à décider.</w:t>
      </w:r>
    </w:p>
    <w:p>
      <w:r>
        <w:rPr>
          <w:b/>
        </w:rPr>
        <w:t>Livrable administratif à réunir :</w:t>
      </w:r>
      <w:r>
        <w:t xml:space="preserve"> statuts, immatriculation au RCCM, identification fiscale et documents de création applicables ; situation sociale à organiser en cas d’emploi. Vérifier la liste et les coûts en vigueur avec le CEPICI. La création de société ne remplace pas les autorisations sectorielles.</w:t>
      </w:r>
    </w:p>
    <w:p>
      <w:pPr>
        <w:pStyle w:val="Heading3"/>
      </w:pPr>
      <w:r>
        <w:t>1.3 Protection des créations</w:t>
      </w:r>
    </w:p>
    <w:p>
      <w:r>
        <w:rPr>
          <w:b/>
        </w:rPr>
        <w:t>Proposition :</w:t>
      </w:r>
      <w:r>
        <w:t xml:space="preserve"> rechercher la disponibilité du nom et des signes proches avant un dépôt de marque dans le système OAPI ; attribuer par écrit les droits sur les plans, logiciels, visuels et éventuels aménagements. Un nom de domaine ou une inscription au RCCM ne suffit pas à garantir la disponibilité d’une marque. [S17]</w:t>
      </w:r>
    </w:p>
    <w:p>
      <w:r>
        <w:rPr>
          <w:b/>
        </w:rPr>
        <w:t>Arbitrages à soumettre à Faouzi :</w:t>
      </w:r>
      <w:r>
        <w:t xml:space="preserve"> service de transport ou vente de véhicule ; SARL ou SAS ; associés/apports ; périmètre du pilote ; personnes habilitées à signer.</w:t>
      </w:r>
    </w:p>
    <w:p>
      <w:r>
        <w:br w:type="page"/>
      </w:r>
    </w:p>
    <w:p>
      <w:pPr>
        <w:pStyle w:val="Heading1"/>
      </w:pPr>
      <w:r>
        <w:t>2. Transport routier, responsabilité et assurances</w:t>
      </w:r>
    </w:p>
    <w:p>
      <w:pPr>
        <w:pStyle w:val="Heading3"/>
      </w:pPr>
      <w:r>
        <w:t>2.1 Démarches d’accès à l’activité</w:t>
      </w:r>
    </w:p>
    <w:p>
      <w:r>
        <w:rPr>
          <w:b/>
        </w:rPr>
        <w:t>Confirmé :</w:t>
      </w:r>
      <w:r>
        <w:t xml:space="preserve"> le ministère publie une procédure d’inscription au registre des transporteurs publics et des formalités de titres de transport. </w:t>
      </w:r>
      <w:r>
        <w:rPr>
          <w:b/>
        </w:rPr>
        <w:t>À confirmer avant exploitation :</w:t>
      </w:r>
      <w:r>
        <w:t xml:space="preserve"> catégorie exacte d’activité, dossier et titres actuels auprès des services compétents du ministère des Transports / DGTTC : inscription du transporteur, documents du véhicule, permis correspondant, visite technique et prescriptions liées à la transformation frigorifique. L’immatriculation de la société ne remplace pas l’autorisation de transport. [S15, fiche « carte de transport »]</w:t>
      </w:r>
    </w:p>
    <w:p>
      <w:r>
        <w:rPr>
          <w:b/>
        </w:rPr>
        <w:t>Confirmé :</w:t>
      </w:r>
      <w:r>
        <w:t xml:space="preserve"> l’OIC présente le Document unique de transport (DUT) comme obligatoire pour le transport routier de marchandises pour compte d’autrui. Vérifier son établissement pour les opérations du pilote et les éventuelles exceptions. Le DUT ne doit pas être confondu avec l’autorisation d’exercer. [S03]</w:t>
      </w:r>
    </w:p>
    <w:p>
      <w:pPr>
        <w:pStyle w:val="Heading3"/>
      </w:pPr>
      <w:r>
        <w:t>2.2 Règles contractuelles déterminantes</w:t>
      </w:r>
    </w:p>
    <w:p>
      <w:r>
        <w:t>Le contrat routier rémunéré relève, dans son champ, de l’Acte uniforme OHADA relatif au transport de marchandises par route. Celui-ci prévoit des exclusions, dont les marchandises dangereuses : identifier le contenu des produits et emballages avant d’accepter un envoi. [S04, art. 1–2]</w:t>
      </w:r>
    </w:p>
    <w:p>
      <w:r>
        <w:t>Le transporteur répond en principe de la perte, de l’avarie et du retard pendant le transport. Une défectuosité du véhicule ne suffit pas à l’exonérer. Le texte comporte une règle particulière pour les équipements protégeant contre la température. Les clauses ne peuvent écarter ses règles impératives. [S04, art. 16–17 et 28]</w:t>
      </w:r>
    </w:p>
    <w:p>
      <w:r>
        <w:t xml:space="preserve">Le plafond de principe pour perte ou avarie est de </w:t>
      </w:r>
      <w:r>
        <w:rPr>
          <w:b/>
        </w:rPr>
        <w:t>5 000 F CFA par kilogramme brut</w:t>
      </w:r>
      <w:r>
        <w:t xml:space="preserve">, sous les conditions, exceptions et mécanismes du texte, notamment la déclaration de valeur ou d’intérêt spécial et la déchéance des limitations. </w:t>
      </w:r>
      <w:r>
        <w:rPr>
          <w:b/>
        </w:rPr>
        <w:t>Ce plafond n’est pas une couverture d’assurance.</w:t>
      </w:r>
      <w:r>
        <w:t xml:space="preserve"> Pour des médicaments de forte valeur, examiner une déclaration appropriée et une assurance cohérente avant l’acceptation. [S04, art. 18 et 21]</w:t>
      </w:r>
    </w:p>
    <w:p>
      <w:pPr>
        <w:pStyle w:val="Heading3"/>
      </w:pPr>
      <w:r>
        <w:t>2.3 Assurances à distinguer</w:t>
      </w:r>
    </w:p>
    <w:tbl>
      <w:tblPr>
        <w:tblW w:type="auto" w:w="0"/>
        <w:tblLayout w:type="autofit"/>
        <w:tblLook w:firstColumn="1" w:firstRow="1" w:lastColumn="0" w:lastRow="0" w:noHBand="0" w:noVBand="1" w:val="04A0"/>
      </w:tblPr>
      <w:tblGrid>
        <w:gridCol w:w="5046"/>
        <w:gridCol w:w="5046"/>
      </w:tblGrid>
      <w:tr>
        <w:trPr>
          <w:cantSplit/>
          <w:tblHeader/>
        </w:trPr>
        <w:tc>
          <w:tcPr>
            <w:tcW w:type="dxa" w:w="5046"/>
            <w:shd w:fill="075D65"/>
          </w:tcPr>
          <w:p>
            <w:pPr>
              <w:spacing w:after="80"/>
            </w:pPr>
            <w:r>
              <w:rPr>
                <w:b/>
                <w:color w:val="FFFFFF"/>
                <w:sz w:val="18"/>
              </w:rPr>
              <w:t>Couverture</w:t>
            </w:r>
          </w:p>
        </w:tc>
        <w:tc>
          <w:tcPr>
            <w:tcW w:type="dxa" w:w="5046"/>
            <w:shd w:fill="075D65"/>
          </w:tcPr>
          <w:p>
            <w:pPr>
              <w:spacing w:after="80"/>
            </w:pPr>
            <w:r>
              <w:rPr>
                <w:b/>
                <w:color w:val="FFFFFF"/>
                <w:sz w:val="18"/>
              </w:rPr>
              <w:t>Traitement proposé</w:t>
            </w:r>
          </w:p>
        </w:tc>
      </w:tr>
      <w:tr>
        <w:trPr>
          <w:cantSplit/>
        </w:trPr>
        <w:tc>
          <w:tcPr>
            <w:tcW w:type="dxa" w:w="5046"/>
            <w:shd w:fill="EAF3F3"/>
          </w:tcPr>
          <w:p>
            <w:pPr>
              <w:spacing w:after="80"/>
            </w:pPr>
            <w:r>
              <w:rPr>
                <w:sz w:val="18"/>
              </w:rPr>
              <w:t>Responsabilité civile automobile</w:t>
            </w:r>
          </w:p>
        </w:tc>
        <w:tc>
          <w:tcPr>
            <w:tcW w:type="dxa" w:w="5046"/>
            <w:shd w:fill="EAF3F3"/>
          </w:tcPr>
          <w:p>
            <w:pPr>
              <w:spacing w:after="80"/>
            </w:pPr>
            <w:r>
              <w:rPr>
                <w:sz w:val="18"/>
              </w:rPr>
              <w:t>Obligation issue du Code CIMA ; vérifier attestation, usage professionnel et véhicule couvert. [S10, art. 200]</w:t>
            </w:r>
          </w:p>
        </w:tc>
      </w:tr>
      <w:tr>
        <w:trPr>
          <w:cantSplit/>
        </w:trPr>
        <w:tc>
          <w:tcPr>
            <w:tcW w:type="dxa" w:w="5046"/>
            <w:shd w:fill="F8FAFA"/>
          </w:tcPr>
          <w:p>
            <w:pPr>
              <w:spacing w:after="80"/>
            </w:pPr>
            <w:r>
              <w:rPr>
                <w:sz w:val="18"/>
              </w:rPr>
              <w:t>Responsabilité civile du transporteur</w:t>
            </w:r>
          </w:p>
        </w:tc>
        <w:tc>
          <w:tcPr>
            <w:tcW w:type="dxa" w:w="5046"/>
            <w:shd w:fill="F8FAFA"/>
          </w:tcPr>
          <w:p>
            <w:pPr>
              <w:spacing w:after="80"/>
            </w:pPr>
            <w:r>
              <w:rPr>
                <w:sz w:val="18"/>
              </w:rPr>
              <w:t>Demander une offre couvrant l’activité réellement déclarée, les biens confiés et la sous-traitance autorisée.</w:t>
            </w:r>
          </w:p>
        </w:tc>
      </w:tr>
      <w:tr>
        <w:trPr>
          <w:cantSplit/>
        </w:trPr>
        <w:tc>
          <w:tcPr>
            <w:tcW w:type="dxa" w:w="5046"/>
            <w:shd w:fill="EAF3F3"/>
          </w:tcPr>
          <w:p>
            <w:pPr>
              <w:spacing w:after="80"/>
            </w:pPr>
            <w:r>
              <w:rPr>
                <w:sz w:val="18"/>
              </w:rPr>
              <w:t>Assurance des marchandises</w:t>
            </w:r>
          </w:p>
        </w:tc>
        <w:tc>
          <w:tcPr>
            <w:tcW w:type="dxa" w:w="5046"/>
            <w:shd w:fill="EAF3F3"/>
          </w:tcPr>
          <w:p>
            <w:pPr>
              <w:spacing w:after="80"/>
            </w:pPr>
            <w:r>
              <w:rPr>
                <w:sz w:val="18"/>
              </w:rPr>
              <w:t>Déterminer avec le client qui la souscrit ; adapter la valeur maximale par voyage.</w:t>
            </w:r>
          </w:p>
        </w:tc>
      </w:tr>
      <w:tr>
        <w:trPr>
          <w:cantSplit/>
        </w:trPr>
        <w:tc>
          <w:tcPr>
            <w:tcW w:type="dxa" w:w="5046"/>
            <w:shd w:fill="F8FAFA"/>
          </w:tcPr>
          <w:p>
            <w:pPr>
              <w:spacing w:after="80"/>
            </w:pPr>
            <w:r>
              <w:rPr>
                <w:sz w:val="18"/>
              </w:rPr>
              <w:t>Panne frigorifique et variation de température</w:t>
            </w:r>
          </w:p>
        </w:tc>
        <w:tc>
          <w:tcPr>
            <w:tcW w:type="dxa" w:w="5046"/>
            <w:shd w:fill="F8FAFA"/>
          </w:tcPr>
          <w:p>
            <w:pPr>
              <w:spacing w:after="80"/>
            </w:pPr>
            <w:r>
              <w:rPr>
                <w:sz w:val="18"/>
              </w:rPr>
              <w:t>Obtenir garanties, exclusions, franchises et conditions d’indemnisation par écrit. La RC auto obligatoire ne garantit pas les marchandises transportées. [S10, art. 206, 4°]</w:t>
            </w:r>
          </w:p>
        </w:tc>
      </w:tr>
    </w:tbl>
    <w:p>
      <w:pPr>
        <w:spacing w:after="40"/>
      </w:pPr>
    </w:p>
    <w:p>
      <w:r>
        <w:rPr>
          <w:b/>
        </w:rPr>
        <w:t>Dossier à obtenir de l’assureur :</w:t>
      </w:r>
      <w:r>
        <w:t xml:space="preserve"> offre détaillée, conditions générales et particulières, plafonds par sinistre/voyage, exclusions pharma/alimentaire, vol, stationnement, panne, mesures de prévention et modalités de déclaration. Aucun tarif n’est estimé sans devis.</w:t>
      </w:r>
    </w:p>
    <w:p>
      <w:r>
        <w:br w:type="page"/>
      </w:r>
    </w:p>
    <w:p>
      <w:pPr>
        <w:pStyle w:val="Heading1"/>
      </w:pPr>
      <w:r>
        <w:t>3. Offre Pharma : conditions de préparation</w:t>
      </w:r>
    </w:p>
    <w:p>
      <w:pPr>
        <w:pStyle w:val="Heading3"/>
      </w:pPr>
      <w:r>
        <w:t>3.1 Statut à faire confirmer par l’AIRP</w:t>
      </w:r>
    </w:p>
    <w:p>
      <w:r>
        <w:rPr>
          <w:b/>
        </w:rPr>
        <w:t>Confirmé :</w:t>
      </w:r>
      <w:r>
        <w:t xml:space="preserve"> la loi n° 2017-541 inclut le transport dans une définition large de la distribution ; l’AIRP exerce des compétences d’autorisation dans le secteur. La loi n° 2015-533 réserve la distribution en gros à des établissements pharmaceutiques et encadre notamment leur direction technique. [S05, art. 1 et 7 ; S06, art. 41–44]</w:t>
      </w:r>
    </w:p>
    <w:p>
      <w:r>
        <w:rPr>
          <w:b/>
        </w:rPr>
        <w:t>Conséquence :</w:t>
      </w:r>
      <w:r>
        <w:t xml:space="preserve"> le scénario « transport uniquement, sans achat-revente » doit être décrit à l’AIRP. Il n’établit à lui seul ni une exemption ni l’obligation certaine d’employer un pharmacien interne. Si le projet ajoute importation, vente, entreposage ou transit avec stockage, réexaminer son statut avant cette extension.</w:t>
      </w:r>
    </w:p>
    <w:p>
      <w:r>
        <w:rPr>
          <w:b/>
        </w:rPr>
        <w:t>Confirmation attendue :</w:t>
      </w:r>
      <w:r>
        <w:t xml:space="preserve"> autorisation ou agrément applicable, inspection, référentiel opposable, qualifications requises et conditions de sous-traitance. La réponse devra être archivée dans le dossier de conformité.</w:t>
      </w:r>
    </w:p>
    <w:p>
      <w:pPr>
        <w:pStyle w:val="Heading3"/>
      </w:pPr>
      <w:r>
        <w:t>3.2 Référentiel qualité à intégrer aux contrats</w:t>
      </w:r>
    </w:p>
    <w:p>
      <w:r>
        <w:t>Le guide BPD annexé à la décision UEMOA n° 09/2010 prévoit notamment la formalisation de la sous-traitance, la formation, l’entretien et la surveillance des conditions de transport. Sa mise en œuvre exacte dans le statut retenu pour SOLAR WRAP doit être clarifiée avec l’AIRP. [S07, § 1.19–1.24, 1.53–1.55, 2.19–2.25 et chapitre 4]</w:t>
      </w:r>
    </w:p>
    <w:p>
      <w:r>
        <w:rPr>
          <w:b/>
        </w:rPr>
        <w:t>Organisation proposée pour chaque envoi :</w:t>
      </w:r>
    </w:p>
    <w:p>
      <w:pPr>
        <w:ind w:left="113"/>
      </w:pPr>
      <w:r>
        <w:t>- Obtenir du donneur d’ordre l’identité du produit, les lots, les destinataires et les conditions de conservation documentées.</w:t>
      </w:r>
    </w:p>
    <w:p>
      <w:pPr>
        <w:ind w:left="113"/>
      </w:pPr>
      <w:r>
        <w:t>- Vérifier les clients et destinataires autorisés pour l’opération ; conserver les justificatifs pertinents.</w:t>
      </w:r>
    </w:p>
    <w:p>
      <w:pPr>
        <w:ind w:left="113"/>
      </w:pPr>
      <w:r>
        <w:t>- Qualifier le moyen frigorifique et le trajet pour le profil de charge, les arrêts, la chaleur extérieure et les ouvertures de portes prévus.</w:t>
      </w:r>
    </w:p>
    <w:p>
      <w:pPr>
        <w:ind w:left="113"/>
      </w:pPr>
      <w:r>
        <w:t>- Prévoir capteurs suivis et étalonnés, enregistrement, alarmes, maintenance, nettoyage et solution de secours.</w:t>
      </w:r>
    </w:p>
    <w:p>
      <w:pPr>
        <w:ind w:left="113"/>
      </w:pPr>
      <w:r>
        <w:t>- Interdire au conducteur de décider seul qu’un médicament ayant subi un écart peut être livré comme conforme.</w:t>
      </w:r>
    </w:p>
    <w:p>
      <w:r>
        <w:rPr>
          <w:b/>
        </w:rPr>
        <w:t>Température :</w:t>
      </w:r>
      <w:r>
        <w:t xml:space="preserve"> +2/+8 °C n’est pas une règle universelle. Les instructions du fabricant et les exigences du produit commandent les conditions retenues. Le guide OMS est une référence technique, distincte d’une autorisation nationale. [S08, § 18.13]</w:t>
      </w:r>
    </w:p>
    <w:p>
      <w:pPr>
        <w:pStyle w:val="Heading3"/>
      </w:pPr>
      <w:r>
        <w:t>3.3 Deux offres, pas de mélange improvisé</w:t>
      </w:r>
    </w:p>
    <w:p>
      <w:r>
        <w:t>Les sources consultées ne permettent d’affirmer ni une interdiction générale ni une autorisation générale du chargement pharma/alimentaire. Les BPD envisagent des moyens non dédiés sous conditions de protection de la qualité. [S07, § 2.19]</w:t>
      </w:r>
    </w:p>
    <w:p>
      <w:r>
        <w:rPr>
          <w:b/>
        </w:rPr>
        <w:t>Règle interne proposée : aucun chargement simultané pharma/alimentaire au lancement.</w:t>
      </w:r>
      <w:r>
        <w:t xml:space="preserve"> Privilégier le dédié. L’usage alterné, s’il est envisagé, exige analyse des risques, nettoyage validé, compatibilité technique, accord qualité du client et clarification réglementaire ; un simple changement de consigne de température ne suffit pas.</w:t>
      </w:r>
    </w:p>
    <w:p>
      <w:r>
        <w:br w:type="page"/>
      </w:r>
    </w:p>
    <w:p>
      <w:pPr>
        <w:pStyle w:val="Heading1"/>
      </w:pPr>
      <w:r>
        <w:t>4. Offre Frais alimentaire et choix du véhicule</w:t>
      </w:r>
    </w:p>
    <w:p>
      <w:pPr>
        <w:pStyle w:val="Heading3"/>
      </w:pPr>
      <w:r>
        <w:t>4.1 Différencier les familles de produits</w:t>
      </w:r>
    </w:p>
    <w:p>
      <w:r>
        <w:t xml:space="preserve">« Frais alimentaire » ne décrit pas un régime unique. Ilyes et Nab doivent lister les catégories : fruits et légumes, produits laitiers, viande, poisson, préparations prêtes à consommer, etc. Distinguer produits emballés ou nus, crus ou prêts à consommer, réfrigérés ou congelés. </w:t>
      </w:r>
      <w:r>
        <w:rPr>
          <w:b/>
        </w:rPr>
        <w:t>Aucune température unique n’est fixée dans ce dossier.</w:t>
      </w:r>
    </w:p>
    <w:p>
      <w:r>
        <w:rPr>
          <w:b/>
        </w:rPr>
        <w:t>Confirmé pour les denrées animales et d’origine animale (DAOA) :</w:t>
      </w:r>
      <w:r>
        <w:t xml:space="preserve"> le Code de la santé publique vétérinaire prévoit des obligations de sécurité et d’autocontrôle, un agrément sanitaire pour les établissements concernés de transport, ainsi que des prescriptions relatives aux véhicules. [S09, art. 169–175, 183 et 189]</w:t>
      </w:r>
    </w:p>
    <w:p>
      <w:r>
        <w:rPr>
          <w:b/>
        </w:rPr>
        <w:t>À confirmer auprès du MIRAH / services vétérinaires compétents :</w:t>
      </w:r>
      <w:r>
        <w:t xml:space="preserve"> périmètre de l’agrément pour le transporteur et le véhicule, procédure, inspection, pièces, redevances, validité, renouvellement et prescriptions techniques applicables aux produits retenus. Pour les denrées végétales, identifier l’autorité et les textes compétents selon la gamme ; l’agrément DAOA ne couvre pas automatiquement toutes les catégories alimentaires.</w:t>
      </w:r>
    </w:p>
    <w:p>
      <w:pPr>
        <w:pStyle w:val="Heading3"/>
      </w:pPr>
      <w:r>
        <w:t>4.2 Cahier des charges proposé</w:t>
      </w:r>
    </w:p>
    <w:tbl>
      <w:tblPr>
        <w:tblW w:type="auto" w:w="0"/>
        <w:tblLayout w:type="autofit"/>
        <w:tblLook w:firstColumn="1" w:firstRow="1" w:lastColumn="0" w:lastRow="0" w:noHBand="0" w:noVBand="1" w:val="04A0"/>
      </w:tblPr>
      <w:tblGrid>
        <w:gridCol w:w="5046"/>
        <w:gridCol w:w="5046"/>
      </w:tblGrid>
      <w:tr>
        <w:trPr>
          <w:cantSplit/>
          <w:tblHeader/>
        </w:trPr>
        <w:tc>
          <w:tcPr>
            <w:tcW w:type="dxa" w:w="5046"/>
            <w:shd w:fill="075D65"/>
          </w:tcPr>
          <w:p>
            <w:pPr>
              <w:spacing w:after="80"/>
            </w:pPr>
            <w:r>
              <w:rPr>
                <w:b/>
                <w:color w:val="FFFFFF"/>
                <w:sz w:val="18"/>
              </w:rPr>
              <w:t>Risque ou besoin</w:t>
            </w:r>
          </w:p>
        </w:tc>
        <w:tc>
          <w:tcPr>
            <w:tcW w:type="dxa" w:w="5046"/>
            <w:shd w:fill="075D65"/>
          </w:tcPr>
          <w:p>
            <w:pPr>
              <w:spacing w:after="80"/>
            </w:pPr>
            <w:r>
              <w:rPr>
                <w:b/>
                <w:color w:val="FFFFFF"/>
                <w:sz w:val="18"/>
              </w:rPr>
              <w:t>Exigence à traduire dans le pilote</w:t>
            </w:r>
          </w:p>
        </w:tc>
      </w:tr>
      <w:tr>
        <w:trPr>
          <w:cantSplit/>
        </w:trPr>
        <w:tc>
          <w:tcPr>
            <w:tcW w:type="dxa" w:w="5046"/>
            <w:shd w:fill="EAF3F3"/>
          </w:tcPr>
          <w:p>
            <w:pPr>
              <w:spacing w:after="80"/>
            </w:pPr>
            <w:r>
              <w:rPr>
                <w:sz w:val="18"/>
              </w:rPr>
              <w:t>Contamination</w:t>
            </w:r>
          </w:p>
        </w:tc>
        <w:tc>
          <w:tcPr>
            <w:tcW w:type="dxa" w:w="5046"/>
            <w:shd w:fill="EAF3F3"/>
          </w:tcPr>
          <w:p>
            <w:pPr>
              <w:spacing w:after="80"/>
            </w:pPr>
            <w:r>
              <w:rPr>
                <w:sz w:val="18"/>
              </w:rPr>
              <w:t>Surfaces nettoyables, emballages adaptés, séparation des produits incompatibles et produits d’entretien hors chargement.</w:t>
            </w:r>
          </w:p>
        </w:tc>
      </w:tr>
      <w:tr>
        <w:trPr>
          <w:cantSplit/>
        </w:trPr>
        <w:tc>
          <w:tcPr>
            <w:tcW w:type="dxa" w:w="5046"/>
            <w:shd w:fill="F8FAFA"/>
          </w:tcPr>
          <w:p>
            <w:pPr>
              <w:spacing w:after="80"/>
            </w:pPr>
            <w:r>
              <w:rPr>
                <w:sz w:val="18"/>
              </w:rPr>
              <w:t>Température inadaptée</w:t>
            </w:r>
          </w:p>
        </w:tc>
        <w:tc>
          <w:tcPr>
            <w:tcW w:type="dxa" w:w="5046"/>
            <w:shd w:fill="F8FAFA"/>
          </w:tcPr>
          <w:p>
            <w:pPr>
              <w:spacing w:after="80"/>
            </w:pPr>
            <w:r>
              <w:rPr>
                <w:sz w:val="18"/>
              </w:rPr>
              <w:t>Conditions écrites par produit ; réglage et contrôle avant chargement ; surveillance pendant la tournée.</w:t>
            </w:r>
          </w:p>
        </w:tc>
      </w:tr>
      <w:tr>
        <w:trPr>
          <w:cantSplit/>
        </w:trPr>
        <w:tc>
          <w:tcPr>
            <w:tcW w:type="dxa" w:w="5046"/>
            <w:shd w:fill="EAF3F3"/>
          </w:tcPr>
          <w:p>
            <w:pPr>
              <w:spacing w:after="80"/>
            </w:pPr>
            <w:r>
              <w:rPr>
                <w:sz w:val="18"/>
              </w:rPr>
              <w:t>Perte de traçabilité</w:t>
            </w:r>
          </w:p>
        </w:tc>
        <w:tc>
          <w:tcPr>
            <w:tcW w:type="dxa" w:w="5046"/>
            <w:shd w:fill="EAF3F3"/>
          </w:tcPr>
          <w:p>
            <w:pPr>
              <w:spacing w:after="80"/>
            </w:pPr>
            <w:r>
              <w:rPr>
                <w:sz w:val="18"/>
              </w:rPr>
              <w:t>Origine, destinataire, référence/lot si disponible, quantité, heures de prise en charge et de remise.</w:t>
            </w:r>
          </w:p>
        </w:tc>
      </w:tr>
      <w:tr>
        <w:trPr>
          <w:cantSplit/>
        </w:trPr>
        <w:tc>
          <w:tcPr>
            <w:tcW w:type="dxa" w:w="5046"/>
            <w:shd w:fill="F8FAFA"/>
          </w:tcPr>
          <w:p>
            <w:pPr>
              <w:spacing w:after="80"/>
            </w:pPr>
            <w:r>
              <w:rPr>
                <w:sz w:val="18"/>
              </w:rPr>
              <w:t>Panne, embouteillage ou absence du client</w:t>
            </w:r>
          </w:p>
        </w:tc>
        <w:tc>
          <w:tcPr>
            <w:tcW w:type="dxa" w:w="5046"/>
            <w:shd w:fill="F8FAFA"/>
          </w:tcPr>
          <w:p>
            <w:pPr>
              <w:spacing w:after="80"/>
            </w:pPr>
            <w:r>
              <w:rPr>
                <w:sz w:val="18"/>
              </w:rPr>
              <w:t>Autonomie et solution de repli documentées ; personne joignable ; arrêt des livraisons non conformes.</w:t>
            </w:r>
          </w:p>
        </w:tc>
      </w:tr>
      <w:tr>
        <w:trPr>
          <w:cantSplit/>
        </w:trPr>
        <w:tc>
          <w:tcPr>
            <w:tcW w:type="dxa" w:w="5046"/>
            <w:shd w:fill="EAF3F3"/>
          </w:tcPr>
          <w:p>
            <w:pPr>
              <w:spacing w:after="80"/>
            </w:pPr>
            <w:r>
              <w:rPr>
                <w:sz w:val="18"/>
              </w:rPr>
              <w:t>Véhicule transformé</w:t>
            </w:r>
          </w:p>
        </w:tc>
        <w:tc>
          <w:tcPr>
            <w:tcW w:type="dxa" w:w="5046"/>
            <w:shd w:fill="EAF3F3"/>
          </w:tcPr>
          <w:p>
            <w:pPr>
              <w:spacing w:after="80"/>
            </w:pPr>
            <w:r>
              <w:rPr>
                <w:sz w:val="18"/>
              </w:rPr>
              <w:t>Faire vérifier conformité routière, fixation, charge utile, installations électriques et couverture d’assurance.</w:t>
            </w:r>
          </w:p>
        </w:tc>
      </w:tr>
      <w:tr>
        <w:trPr>
          <w:cantSplit/>
        </w:trPr>
        <w:tc>
          <w:tcPr>
            <w:tcW w:type="dxa" w:w="5046"/>
            <w:shd w:fill="F8FAFA"/>
          </w:tcPr>
          <w:p>
            <w:pPr>
              <w:spacing w:after="80"/>
            </w:pPr>
            <w:r>
              <w:rPr>
                <w:sz w:val="18"/>
              </w:rPr>
              <w:t>Énergie solaire éventuelle</w:t>
            </w:r>
          </w:p>
        </w:tc>
        <w:tc>
          <w:tcPr>
            <w:tcW w:type="dxa" w:w="5046"/>
            <w:shd w:fill="F8FAFA"/>
          </w:tcPr>
          <w:p>
            <w:pPr>
              <w:spacing w:after="80"/>
            </w:pPr>
            <w:r>
              <w:rPr>
                <w:sz w:val="18"/>
              </w:rPr>
              <w:t>Faire dimensionner et tester installation, batterie et autonomie ; prévoir un secours. Ne pas annoncer une autonomie sans preuve.</w:t>
            </w:r>
          </w:p>
        </w:tc>
      </w:tr>
    </w:tbl>
    <w:p>
      <w:pPr>
        <w:spacing w:after="40"/>
      </w:pPr>
    </w:p>
    <w:p>
      <w:r>
        <w:t xml:space="preserve">Ces dispositions sont des </w:t>
      </w:r>
      <w:r>
        <w:rPr>
          <w:b/>
        </w:rPr>
        <w:t>propositions de maîtrise des risques</w:t>
      </w:r>
      <w:r>
        <w:t>, à ajuster aux prescriptions sanitaires applicables. Aucun véhicule n’est déclaré qualifié par ce document.</w:t>
      </w:r>
    </w:p>
    <w:p>
      <w:pPr>
        <w:pStyle w:val="Heading3"/>
      </w:pPr>
      <w:r>
        <w:t>4.3 Choix de lancement recommandé</w:t>
      </w:r>
    </w:p>
    <w:p>
      <w:r>
        <w:t>Conserver les deux marchés dans le projet commercial, mais déployer les offres par étapes. Avec un seul véhicule, retenir d’abord une famille de produits compatible avec sa qualification ; préparer la seconde offre séparément. Les denrées animales ne constituent pas une voie de lancement sans agrément à vérifier.</w:t>
      </w:r>
    </w:p>
    <w:p>
      <w:r>
        <w:rPr>
          <w:b/>
        </w:rPr>
        <w:t>Livrables attendus d’Ilyes :</w:t>
      </w:r>
      <w:r>
        <w:t xml:space="preserve"> fiche technique, capacité et charge utile, plages atteignables, essais en charge, plan de nettoyage, maintenance, secours et coût des moyens dédiés comparé à l’usage alterné.</w:t>
      </w:r>
    </w:p>
    <w:p>
      <w:r>
        <w:br w:type="page"/>
      </w:r>
    </w:p>
    <w:p>
      <w:pPr>
        <w:pStyle w:val="Heading1"/>
      </w:pPr>
      <w:r>
        <w:t>5. Contrats, données et responsabilités</w:t>
      </w:r>
    </w:p>
    <w:p>
      <w:pPr>
        <w:pStyle w:val="Heading3"/>
      </w:pPr>
      <w:r>
        <w:t>5.1 Documents contractuels à préparer</w:t>
      </w:r>
    </w:p>
    <w:tbl>
      <w:tblPr>
        <w:tblW w:type="auto" w:w="0"/>
        <w:tblLayout w:type="autofit"/>
        <w:tblLook w:firstColumn="1" w:firstRow="1" w:lastColumn="0" w:lastRow="0" w:noHBand="0" w:noVBand="1" w:val="04A0"/>
      </w:tblPr>
      <w:tblGrid>
        <w:gridCol w:w="5046"/>
        <w:gridCol w:w="5046"/>
      </w:tblGrid>
      <w:tr>
        <w:trPr>
          <w:cantSplit/>
          <w:tblHeader/>
        </w:trPr>
        <w:tc>
          <w:tcPr>
            <w:tcW w:type="dxa" w:w="5046"/>
            <w:shd w:fill="075D65"/>
          </w:tcPr>
          <w:p>
            <w:pPr>
              <w:spacing w:after="80"/>
            </w:pPr>
            <w:r>
              <w:rPr>
                <w:b/>
                <w:color w:val="FFFFFF"/>
                <w:sz w:val="18"/>
              </w:rPr>
              <w:t>Document</w:t>
            </w:r>
          </w:p>
        </w:tc>
        <w:tc>
          <w:tcPr>
            <w:tcW w:type="dxa" w:w="5046"/>
            <w:shd w:fill="075D65"/>
          </w:tcPr>
          <w:p>
            <w:pPr>
              <w:spacing w:after="80"/>
            </w:pPr>
            <w:r>
              <w:rPr>
                <w:b/>
                <w:color w:val="FFFFFF"/>
                <w:sz w:val="18"/>
              </w:rPr>
              <w:t>Contenu indispensable au projet</w:t>
            </w:r>
          </w:p>
        </w:tc>
      </w:tr>
      <w:tr>
        <w:trPr>
          <w:cantSplit/>
        </w:trPr>
        <w:tc>
          <w:tcPr>
            <w:tcW w:type="dxa" w:w="5046"/>
            <w:shd w:fill="EAF3F3"/>
          </w:tcPr>
          <w:p>
            <w:pPr>
              <w:spacing w:after="80"/>
            </w:pPr>
            <w:r>
              <w:rPr>
                <w:sz w:val="18"/>
              </w:rPr>
              <w:t>Contrat-cadre de transport</w:t>
            </w:r>
          </w:p>
        </w:tc>
        <w:tc>
          <w:tcPr>
            <w:tcW w:type="dxa" w:w="5046"/>
            <w:shd w:fill="EAF3F3"/>
          </w:tcPr>
          <w:p>
            <w:pPr>
              <w:spacing w:after="80"/>
            </w:pPr>
            <w:r>
              <w:rPr>
                <w:sz w:val="18"/>
              </w:rPr>
              <w:t>Parties, périmètre, prix, prise en charge, livraison, réserves, responsabilité, assurances, durée et fin du contrat.</w:t>
            </w:r>
          </w:p>
        </w:tc>
      </w:tr>
      <w:tr>
        <w:trPr>
          <w:cantSplit/>
        </w:trPr>
        <w:tc>
          <w:tcPr>
            <w:tcW w:type="dxa" w:w="5046"/>
            <w:shd w:fill="F8FAFA"/>
          </w:tcPr>
          <w:p>
            <w:pPr>
              <w:spacing w:after="80"/>
            </w:pPr>
            <w:r>
              <w:rPr>
                <w:sz w:val="18"/>
              </w:rPr>
              <w:t>Ordre de transport et DUT</w:t>
            </w:r>
          </w:p>
        </w:tc>
        <w:tc>
          <w:tcPr>
            <w:tcW w:type="dxa" w:w="5046"/>
            <w:shd w:fill="F8FAFA"/>
          </w:tcPr>
          <w:p>
            <w:pPr>
              <w:spacing w:after="80"/>
            </w:pPr>
            <w:r>
              <w:rPr>
                <w:sz w:val="18"/>
              </w:rPr>
              <w:t>Envoi exact, trajet, quantités, expéditeur/destinataire, horaires et instructions. L’OIC présente le DUT comme remplaçant la lettre de voiture nationale/internationale et la feuille de route ; le contrat-cadre et l’ordre de mission le complètent. [S03–S04]</w:t>
            </w:r>
          </w:p>
        </w:tc>
      </w:tr>
      <w:tr>
        <w:trPr>
          <w:cantSplit/>
        </w:trPr>
        <w:tc>
          <w:tcPr>
            <w:tcW w:type="dxa" w:w="5046"/>
            <w:shd w:fill="EAF3F3"/>
          </w:tcPr>
          <w:p>
            <w:pPr>
              <w:spacing w:after="80"/>
            </w:pPr>
            <w:r>
              <w:rPr>
                <w:sz w:val="18"/>
              </w:rPr>
              <w:t>Accord qualité Pharma</w:t>
            </w:r>
          </w:p>
        </w:tc>
        <w:tc>
          <w:tcPr>
            <w:tcW w:type="dxa" w:w="5046"/>
            <w:shd w:fill="EAF3F3"/>
          </w:tcPr>
          <w:p>
            <w:pPr>
              <w:spacing w:after="80"/>
            </w:pPr>
            <w:r>
              <w:rPr>
                <w:sz w:val="18"/>
              </w:rPr>
              <w:t>Répartition des tâches, conditions de transport, preuves, écarts, décision qualité et sous-traitance. [S07, § 1.53–1.55]</w:t>
            </w:r>
          </w:p>
        </w:tc>
      </w:tr>
      <w:tr>
        <w:trPr>
          <w:cantSplit/>
        </w:trPr>
        <w:tc>
          <w:tcPr>
            <w:tcW w:type="dxa" w:w="5046"/>
            <w:shd w:fill="F8FAFA"/>
          </w:tcPr>
          <w:p>
            <w:pPr>
              <w:spacing w:after="80"/>
            </w:pPr>
            <w:r>
              <w:rPr>
                <w:sz w:val="18"/>
              </w:rPr>
              <w:t>Fourniture / transformation du véhicule</w:t>
            </w:r>
          </w:p>
        </w:tc>
        <w:tc>
          <w:tcPr>
            <w:tcW w:type="dxa" w:w="5046"/>
            <w:shd w:fill="F8FAFA"/>
          </w:tcPr>
          <w:p>
            <w:pPr>
              <w:spacing w:after="80"/>
            </w:pPr>
            <w:r>
              <w:rPr>
                <w:sz w:val="18"/>
              </w:rPr>
              <w:t>Spécifications, essais de réception, garanties, conformité, documents et propriété des équipements.</w:t>
            </w:r>
          </w:p>
        </w:tc>
      </w:tr>
      <w:tr>
        <w:trPr>
          <w:cantSplit/>
        </w:trPr>
        <w:tc>
          <w:tcPr>
            <w:tcW w:type="dxa" w:w="5046"/>
            <w:shd w:fill="EAF3F3"/>
          </w:tcPr>
          <w:p>
            <w:pPr>
              <w:spacing w:after="80"/>
            </w:pPr>
            <w:r>
              <w:rPr>
                <w:sz w:val="18"/>
              </w:rPr>
              <w:t>Maintenance et secours</w:t>
            </w:r>
          </w:p>
        </w:tc>
        <w:tc>
          <w:tcPr>
            <w:tcW w:type="dxa" w:w="5046"/>
            <w:shd w:fill="EAF3F3"/>
          </w:tcPr>
          <w:p>
            <w:pPr>
              <w:spacing w:after="80"/>
            </w:pPr>
            <w:r>
              <w:rPr>
                <w:sz w:val="18"/>
              </w:rPr>
              <w:t>Délais d’intervention convenus, entretien préventif, véhicule ou capacité de remplacement qualifiés, pièces et preuves.</w:t>
            </w:r>
          </w:p>
        </w:tc>
      </w:tr>
      <w:tr>
        <w:trPr>
          <w:cantSplit/>
        </w:trPr>
        <w:tc>
          <w:tcPr>
            <w:tcW w:type="dxa" w:w="5046"/>
            <w:shd w:fill="F8FAFA"/>
          </w:tcPr>
          <w:p>
            <w:pPr>
              <w:spacing w:after="80"/>
            </w:pPr>
            <w:r>
              <w:rPr>
                <w:sz w:val="18"/>
              </w:rPr>
              <w:t>Travail / prestations</w:t>
            </w:r>
          </w:p>
        </w:tc>
        <w:tc>
          <w:tcPr>
            <w:tcW w:type="dxa" w:w="5046"/>
            <w:shd w:fill="F8FAFA"/>
          </w:tcPr>
          <w:p>
            <w:pPr>
              <w:spacing w:after="80"/>
            </w:pPr>
            <w:r>
              <w:rPr>
                <w:sz w:val="18"/>
              </w:rPr>
              <w:t>Fonctions, rémunération ou prix, obligations, confidentialité, équipements et conditions de rupture applicables.</w:t>
            </w:r>
          </w:p>
        </w:tc>
      </w:tr>
    </w:tbl>
    <w:p>
      <w:pPr>
        <w:spacing w:after="40"/>
      </w:pPr>
    </w:p>
    <w:p>
      <w:r>
        <w:rPr>
          <w:b/>
        </w:rPr>
        <w:t>Priorité :</w:t>
      </w:r>
      <w:r>
        <w:t xml:space="preserve"> contrat-cadre + ordre de transport + annexe technique par famille de produits. La trame en annexe A est une base à compléter, pas un contrat définitif prêt à signer.</w:t>
      </w:r>
    </w:p>
    <w:p>
      <w:pPr>
        <w:pStyle w:val="Heading3"/>
      </w:pPr>
      <w:r>
        <w:t>5.2 Répartition proposée</w:t>
      </w:r>
    </w:p>
    <w:p>
      <w:r>
        <w:t>Le client fournit des informations exactes sur le produit, son emballage, sa valeur et ses conditions de conservation. SOLAR WRAP vérifie sa capacité à réaliser la mission, conserve les preuves et signale les anomalies. Le destinataire procède aux contrôles prévus et formule les réserves utiles. Les tâches de chargement/déchargement doivent être attribuées explicitement.</w:t>
      </w:r>
    </w:p>
    <w:p>
      <w:r>
        <w:t>En cas d’écart, le référent qualité coordonne l’enquête ; le responsable qualité/pharmaceutique habilité du donneur d’ordre décide du devenir des produits selon le cadre applicable. La réception physique d’un lot ne vaut pas automatiquement validation de sa qualité.</w:t>
      </w:r>
    </w:p>
    <w:p>
      <w:pPr>
        <w:pStyle w:val="Heading3"/>
      </w:pPr>
      <w:r>
        <w:t>5.3 Données et confidentialité</w:t>
      </w:r>
    </w:p>
    <w:p>
      <w:r>
        <w:t>La loi ivoirienne n° 2013-450 encadre les traitements de données personnelles. Les fichiers clients, dossiers salariés et données de géolocalisation doivent être examinés dans ce cadre, avec les formalités ARTCI applicables. [S13]</w:t>
      </w:r>
    </w:p>
    <w:p>
      <w:r>
        <w:rPr>
          <w:b/>
        </w:rPr>
        <w:t>Proposition :</w:t>
      </w:r>
      <w:r>
        <w:t xml:space="preserve"> collecter uniquement ce qui est utile ; informer les personnes ; limiter les accès ; protéger les sauvegardes ; fixer des durées adaptées. N’intégrer ni identité de patient ni ordonnance aux documents de transport sauf nécessité établie et traitement légalement organisé. Vérifier les conditions d’hébergement et de transfert des données à l’étranger avant choix d’un logiciel.</w:t>
      </w:r>
    </w:p>
    <w:p>
      <w:r>
        <w:t>Les contrats signés, identifiants, dossiers RH et données clients seront archivés dans un espace privé. Le dépôt GitHub public reçoit uniquement des modèles anonymes et les documents pédagogiques appropriés.</w:t>
      </w:r>
    </w:p>
    <w:p>
      <w:r>
        <w:br w:type="page"/>
      </w:r>
    </w:p>
    <w:p>
      <w:pPr>
        <w:pStyle w:val="Heading1"/>
      </w:pPr>
      <w:r>
        <w:t>6. Organisation RH et compétences</w:t>
      </w:r>
    </w:p>
    <w:p>
      <w:pPr>
        <w:pStyle w:val="Heading3"/>
      </w:pPr>
      <w:r>
        <w:t>6.1 Équipe projet et future exploitation</w:t>
      </w:r>
    </w:p>
    <w:p>
      <w:r>
        <w:t>La répartition pédagogique ne vaut ni nomination légale ni embauche. Les responsabilités de projet sont reprises du tableau du groupe. [P01]</w:t>
      </w:r>
    </w:p>
    <w:tbl>
      <w:tblPr>
        <w:tblW w:type="auto" w:w="0"/>
        <w:tblLayout w:type="autofit"/>
        <w:tblLook w:firstColumn="1" w:firstRow="1" w:lastColumn="0" w:lastRow="0" w:noHBand="0" w:noVBand="1" w:val="04A0"/>
      </w:tblPr>
      <w:tblGrid>
        <w:gridCol w:w="5046"/>
        <w:gridCol w:w="5046"/>
      </w:tblGrid>
      <w:tr>
        <w:trPr>
          <w:cantSplit/>
          <w:tblHeader/>
        </w:trPr>
        <w:tc>
          <w:tcPr>
            <w:tcW w:type="dxa" w:w="5046"/>
            <w:shd w:fill="075D65"/>
          </w:tcPr>
          <w:p>
            <w:pPr>
              <w:spacing w:after="80"/>
            </w:pPr>
            <w:r>
              <w:rPr>
                <w:b/>
                <w:color w:val="FFFFFF"/>
                <w:sz w:val="18"/>
              </w:rPr>
              <w:t>Membre</w:t>
            </w:r>
          </w:p>
        </w:tc>
        <w:tc>
          <w:tcPr>
            <w:tcW w:type="dxa" w:w="5046"/>
            <w:shd w:fill="075D65"/>
          </w:tcPr>
          <w:p>
            <w:pPr>
              <w:spacing w:after="80"/>
            </w:pPr>
            <w:r>
              <w:rPr>
                <w:b/>
                <w:color w:val="FFFFFF"/>
                <w:sz w:val="18"/>
              </w:rPr>
              <w:t>Contribution proposée au lancement</w:t>
            </w:r>
          </w:p>
        </w:tc>
      </w:tr>
      <w:tr>
        <w:trPr>
          <w:cantSplit/>
        </w:trPr>
        <w:tc>
          <w:tcPr>
            <w:tcW w:type="dxa" w:w="5046"/>
            <w:shd w:fill="EAF3F3"/>
          </w:tcPr>
          <w:p>
            <w:pPr>
              <w:spacing w:after="80"/>
            </w:pPr>
            <w:r>
              <w:rPr>
                <w:sz w:val="18"/>
              </w:rPr>
              <w:t>Faouzi — Direction</w:t>
            </w:r>
          </w:p>
        </w:tc>
        <w:tc>
          <w:tcPr>
            <w:tcW w:type="dxa" w:w="5046"/>
            <w:shd w:fill="EAF3F3"/>
          </w:tcPr>
          <w:p>
            <w:pPr>
              <w:spacing w:after="80"/>
            </w:pPr>
            <w:r>
              <w:rPr>
                <w:sz w:val="18"/>
              </w:rPr>
              <w:t>Arbitre modèle et priorités ; fait formaliser les pouvoirs de signature.</w:t>
            </w:r>
          </w:p>
        </w:tc>
      </w:tr>
      <w:tr>
        <w:trPr>
          <w:cantSplit/>
        </w:trPr>
        <w:tc>
          <w:tcPr>
            <w:tcW w:type="dxa" w:w="5046"/>
            <w:shd w:fill="F8FAFA"/>
          </w:tcPr>
          <w:p>
            <w:pPr>
              <w:spacing w:after="80"/>
            </w:pPr>
            <w:r>
              <w:rPr>
                <w:sz w:val="18"/>
              </w:rPr>
              <w:t>Levon — Finance</w:t>
            </w:r>
          </w:p>
        </w:tc>
        <w:tc>
          <w:tcPr>
            <w:tcW w:type="dxa" w:w="5046"/>
            <w:shd w:fill="F8FAFA"/>
          </w:tcPr>
          <w:p>
            <w:pPr>
              <w:spacing w:after="80"/>
            </w:pPr>
            <w:r>
              <w:rPr>
                <w:sz w:val="18"/>
              </w:rPr>
              <w:t>Chiffre salaires, charges, assurances, formation et prestations.</w:t>
            </w:r>
          </w:p>
        </w:tc>
      </w:tr>
      <w:tr>
        <w:trPr>
          <w:cantSplit/>
        </w:trPr>
        <w:tc>
          <w:tcPr>
            <w:tcW w:type="dxa" w:w="5046"/>
            <w:shd w:fill="EAF3F3"/>
          </w:tcPr>
          <w:p>
            <w:pPr>
              <w:spacing w:after="80"/>
            </w:pPr>
            <w:r>
              <w:rPr>
                <w:sz w:val="18"/>
              </w:rPr>
              <w:t>Edwige — Marketing</w:t>
            </w:r>
          </w:p>
        </w:tc>
        <w:tc>
          <w:tcPr>
            <w:tcW w:type="dxa" w:w="5046"/>
            <w:shd w:fill="EAF3F3"/>
          </w:tcPr>
          <w:p>
            <w:pPr>
              <w:spacing w:after="80"/>
            </w:pPr>
            <w:r>
              <w:rPr>
                <w:sz w:val="18"/>
              </w:rPr>
              <w:t>Précise les segments et vérifie les preuves des promesses commerciales.</w:t>
            </w:r>
          </w:p>
        </w:tc>
      </w:tr>
      <w:tr>
        <w:trPr>
          <w:cantSplit/>
        </w:trPr>
        <w:tc>
          <w:tcPr>
            <w:tcW w:type="dxa" w:w="5046"/>
            <w:shd w:fill="F8FAFA"/>
          </w:tcPr>
          <w:p>
            <w:pPr>
              <w:spacing w:after="80"/>
            </w:pPr>
            <w:r>
              <w:rPr>
                <w:sz w:val="18"/>
              </w:rPr>
              <w:t>Nab — Ventes</w:t>
            </w:r>
          </w:p>
        </w:tc>
        <w:tc>
          <w:tcPr>
            <w:tcW w:type="dxa" w:w="5046"/>
            <w:shd w:fill="F8FAFA"/>
          </w:tcPr>
          <w:p>
            <w:pPr>
              <w:spacing w:after="80"/>
            </w:pPr>
            <w:r>
              <w:rPr>
                <w:sz w:val="18"/>
              </w:rPr>
              <w:t>Recueille besoins clients, volumes, produits et conditions de réception.</w:t>
            </w:r>
          </w:p>
        </w:tc>
      </w:tr>
      <w:tr>
        <w:trPr>
          <w:cantSplit/>
        </w:trPr>
        <w:tc>
          <w:tcPr>
            <w:tcW w:type="dxa" w:w="5046"/>
            <w:shd w:fill="EAF3F3"/>
          </w:tcPr>
          <w:p>
            <w:pPr>
              <w:spacing w:after="80"/>
            </w:pPr>
            <w:r>
              <w:rPr>
                <w:sz w:val="18"/>
              </w:rPr>
              <w:t>Ilyes — Produit / Opérations</w:t>
            </w:r>
          </w:p>
        </w:tc>
        <w:tc>
          <w:tcPr>
            <w:tcW w:type="dxa" w:w="5046"/>
            <w:shd w:fill="EAF3F3"/>
          </w:tcPr>
          <w:p>
            <w:pPr>
              <w:spacing w:after="80"/>
            </w:pPr>
            <w:r>
              <w:rPr>
                <w:sz w:val="18"/>
              </w:rPr>
              <w:t>Décrit et teste le véhicule ; prépare tournées, nettoyage, maintenance et secours.</w:t>
            </w:r>
          </w:p>
        </w:tc>
      </w:tr>
      <w:tr>
        <w:trPr>
          <w:cantSplit/>
        </w:trPr>
        <w:tc>
          <w:tcPr>
            <w:tcW w:type="dxa" w:w="5046"/>
            <w:shd w:fill="F8FAFA"/>
          </w:tcPr>
          <w:p>
            <w:pPr>
              <w:spacing w:after="80"/>
            </w:pPr>
            <w:r>
              <w:rPr>
                <w:sz w:val="18"/>
              </w:rPr>
              <w:t>Maxime — Juridique / RH</w:t>
            </w:r>
          </w:p>
        </w:tc>
        <w:tc>
          <w:tcPr>
            <w:tcW w:type="dxa" w:w="5046"/>
            <w:shd w:fill="F8FAFA"/>
          </w:tcPr>
          <w:p>
            <w:pPr>
              <w:spacing w:after="80"/>
            </w:pPr>
            <w:r>
              <w:rPr>
                <w:sz w:val="18"/>
              </w:rPr>
              <w:t>Coordonne vérifications officielles, contrats, fiches de fonction et suivi documentaire.</w:t>
            </w:r>
          </w:p>
        </w:tc>
      </w:tr>
    </w:tbl>
    <w:p>
      <w:pPr>
        <w:spacing w:after="40"/>
      </w:pPr>
    </w:p>
    <w:p>
      <w:r>
        <w:rPr>
          <w:b/>
        </w:rPr>
        <w:t>Fonctions opérationnelles proposées :</w:t>
      </w:r>
      <w:r>
        <w:t xml:space="preserve"> responsable d’exploitation ; conducteur-livreur formé ; référent qualité ; maintenance frigorifique externalisée ; appui comptable/social. Cumul possible selon charge, compétences et règles applicables. L’obligation éventuelle d’un pharmacien responsable dépendra de la qualification AIRP ; un référent qualité ne le remplace pas si ce statut est exigé.</w:t>
      </w:r>
    </w:p>
    <w:p>
      <w:pPr>
        <w:pStyle w:val="Heading3"/>
      </w:pPr>
      <w:r>
        <w:t>6.2 Cadre d’emploi ivoirien</w:t>
      </w:r>
    </w:p>
    <w:p>
      <w:r>
        <w:t>Le Code du travail ivoirien, dans sa version applicable et avec les modifications à vérifier, encadre les contrats, la durée du travail et la prévention. La durée de référence non agricole est de 40 heures par semaine ; les régimes du transport, équivalences, repos et heures supplémentaires doivent être vérifiés avant de construire les tournées. Des mesures de prévention et une formation à la sécurité sont à organiser. [S11, art. 21.2 et 41.2–41.3]</w:t>
      </w:r>
    </w:p>
    <w:p>
      <w:r>
        <w:t>La CNPS indique que le salarié doit être déclaré dès son premier jour d’embauche ; l’employeur doit organiser l’immatriculation et les cotisations. Vérifier également paie, couverture maladie, suivi de santé au travail et convention collective applicables. Le DUERP français n’est pas présenté ici comme une obligation ivoirienne. [S12 ; S11, art. 43.1–43.2]</w:t>
      </w:r>
    </w:p>
    <w:p>
      <w:pPr>
        <w:pStyle w:val="Heading3"/>
      </w:pPr>
      <w:r>
        <w:t>6.3 Recrutement et formation proposés</w:t>
      </w:r>
    </w:p>
    <w:p>
      <w:r>
        <w:t>Recruter le conducteur après fixation du véhicule, du permis requis et des tournées. Formaliser son contrat selon le droit applicable ; choisir CDI ou CDD en fonction du besoin réel et des règles locales, sans contrat indépendant fictif.</w:t>
      </w:r>
    </w:p>
    <w:p>
      <w:r>
        <w:t>Avant autonomie : formation pratique à la chaîne du froid, enregistreurs, hygiène, arrimage, sécurité routière, confidentialité et gestion d’incident ; exercice de panne et évaluation documentée. Prévoir un suppléant formé et une actualisation régulière.</w:t>
      </w:r>
    </w:p>
    <w:p>
      <w:r>
        <w:rPr>
          <w:b/>
        </w:rPr>
        <w:t>Budget à construire :</w:t>
      </w:r>
      <w:r>
        <w:t xml:space="preserve"> salaires bruts + cotisations patronales applicables + santé/couvertures + formation + équipements + remplacements + prestations externes. Les rôles projet ne justifient aucun salaire inventé ; Levon complétera sur devis et simulations locales.</w:t>
      </w:r>
    </w:p>
    <w:p>
      <w:r>
        <w:br w:type="page"/>
      </w:r>
    </w:p>
    <w:p>
      <w:pPr>
        <w:pStyle w:val="Heading1"/>
      </w:pPr>
      <w:r>
        <w:t>7. Plan d’action et décision de lancement</w:t>
      </w:r>
    </w:p>
    <w:p>
      <w:r>
        <w:rPr>
          <w:b/>
        </w:rPr>
        <w:t>Planning proposé</w:t>
      </w:r>
      <w:r>
        <w:t>, relatif à la validation du groupe. Les délais administratifs ne sont pas garantis et ne sont pas assimilés aux délais de préparation ci-dessous.</w:t>
      </w:r>
    </w:p>
    <w:tbl>
      <w:tblPr>
        <w:tblW w:type="auto" w:w="0"/>
        <w:tblLayout w:type="autofit"/>
        <w:tblLook w:firstColumn="1" w:firstRow="1" w:lastColumn="0" w:lastRow="0" w:noHBand="0" w:noVBand="1" w:val="04A0"/>
      </w:tblPr>
      <w:tblGrid>
        <w:gridCol w:w="3364"/>
        <w:gridCol w:w="3364"/>
        <w:gridCol w:w="3364"/>
      </w:tblGrid>
      <w:tr>
        <w:trPr>
          <w:cantSplit/>
          <w:tblHeader/>
        </w:trPr>
        <w:tc>
          <w:tcPr>
            <w:tcW w:type="dxa" w:w="3364"/>
            <w:shd w:fill="075D65"/>
          </w:tcPr>
          <w:p>
            <w:pPr>
              <w:spacing w:after="80"/>
            </w:pPr>
            <w:r>
              <w:rPr>
                <w:b/>
                <w:color w:val="FFFFFF"/>
                <w:sz w:val="18"/>
              </w:rPr>
              <w:t>Quand</w:t>
            </w:r>
          </w:p>
        </w:tc>
        <w:tc>
          <w:tcPr>
            <w:tcW w:type="dxa" w:w="3364"/>
            <w:shd w:fill="075D65"/>
          </w:tcPr>
          <w:p>
            <w:pPr>
              <w:spacing w:after="80"/>
            </w:pPr>
            <w:r>
              <w:rPr>
                <w:b/>
                <w:color w:val="FFFFFF"/>
                <w:sz w:val="18"/>
              </w:rPr>
              <w:t>Action / responsable</w:t>
            </w:r>
          </w:p>
        </w:tc>
        <w:tc>
          <w:tcPr>
            <w:tcW w:type="dxa" w:w="3364"/>
            <w:shd w:fill="075D65"/>
          </w:tcPr>
          <w:p>
            <w:pPr>
              <w:spacing w:after="80"/>
            </w:pPr>
            <w:r>
              <w:rPr>
                <w:b/>
                <w:color w:val="FFFFFF"/>
                <w:sz w:val="18"/>
              </w:rPr>
              <w:t>Preuve attendue</w:t>
            </w:r>
          </w:p>
        </w:tc>
      </w:tr>
      <w:tr>
        <w:trPr>
          <w:cantSplit/>
        </w:trPr>
        <w:tc>
          <w:tcPr>
            <w:tcW w:type="dxa" w:w="3364"/>
            <w:shd w:fill="EAF3F3"/>
          </w:tcPr>
          <w:p>
            <w:pPr>
              <w:spacing w:after="80"/>
            </w:pPr>
            <w:r>
              <w:rPr>
                <w:sz w:val="18"/>
              </w:rPr>
              <w:t>J1</w:t>
            </w:r>
          </w:p>
        </w:tc>
        <w:tc>
          <w:tcPr>
            <w:tcW w:type="dxa" w:w="3364"/>
            <w:shd w:fill="EAF3F3"/>
          </w:tcPr>
          <w:p>
            <w:pPr>
              <w:spacing w:after="80"/>
            </w:pPr>
            <w:r>
              <w:rPr>
                <w:sz w:val="18"/>
              </w:rPr>
              <w:t>Cadrer produits, trajets, modèle, véhicule — Faouzi, Ilyes, Nab</w:t>
            </w:r>
          </w:p>
        </w:tc>
        <w:tc>
          <w:tcPr>
            <w:tcW w:type="dxa" w:w="3364"/>
            <w:shd w:fill="EAF3F3"/>
          </w:tcPr>
          <w:p>
            <w:pPr>
              <w:spacing w:after="80"/>
            </w:pPr>
            <w:r>
              <w:rPr>
                <w:sz w:val="18"/>
              </w:rPr>
              <w:t>Fiche de périmètre validée.</w:t>
            </w:r>
          </w:p>
        </w:tc>
      </w:tr>
      <w:tr>
        <w:trPr>
          <w:cantSplit/>
        </w:trPr>
        <w:tc>
          <w:tcPr>
            <w:tcW w:type="dxa" w:w="3364"/>
            <w:shd w:fill="F8FAFA"/>
          </w:tcPr>
          <w:p>
            <w:pPr>
              <w:spacing w:after="80"/>
            </w:pPr>
            <w:r>
              <w:rPr>
                <w:sz w:val="18"/>
              </w:rPr>
              <w:t>J1–J2</w:t>
            </w:r>
          </w:p>
        </w:tc>
        <w:tc>
          <w:tcPr>
            <w:tcW w:type="dxa" w:w="3364"/>
            <w:shd w:fill="F8FAFA"/>
          </w:tcPr>
          <w:p>
            <w:pPr>
              <w:spacing w:after="80"/>
            </w:pPr>
            <w:r>
              <w:rPr>
                <w:sz w:val="18"/>
              </w:rPr>
              <w:t>Préparer demandes AIRP, Transports et MIRAH — Maxime</w:t>
            </w:r>
          </w:p>
        </w:tc>
        <w:tc>
          <w:tcPr>
            <w:tcW w:type="dxa" w:w="3364"/>
            <w:shd w:fill="F8FAFA"/>
          </w:tcPr>
          <w:p>
            <w:pPr>
              <w:spacing w:after="80"/>
            </w:pPr>
            <w:r>
              <w:rPr>
                <w:sz w:val="18"/>
              </w:rPr>
              <w:t>Dossiers et questions prêts ; réponses à obtenir.</w:t>
            </w:r>
          </w:p>
        </w:tc>
      </w:tr>
      <w:tr>
        <w:trPr>
          <w:cantSplit/>
        </w:trPr>
        <w:tc>
          <w:tcPr>
            <w:tcW w:type="dxa" w:w="3364"/>
            <w:shd w:fill="EAF3F3"/>
          </w:tcPr>
          <w:p>
            <w:pPr>
              <w:spacing w:after="80"/>
            </w:pPr>
            <w:r>
              <w:rPr>
                <w:sz w:val="18"/>
              </w:rPr>
              <w:t>J2</w:t>
            </w:r>
          </w:p>
        </w:tc>
        <w:tc>
          <w:tcPr>
            <w:tcW w:type="dxa" w:w="3364"/>
            <w:shd w:fill="EAF3F3"/>
          </w:tcPr>
          <w:p>
            <w:pPr>
              <w:spacing w:after="80"/>
            </w:pPr>
            <w:r>
              <w:rPr>
                <w:sz w:val="18"/>
              </w:rPr>
              <w:t>Comparer formes sociales et coût complet — Maxime, Levon</w:t>
            </w:r>
          </w:p>
        </w:tc>
        <w:tc>
          <w:tcPr>
            <w:tcW w:type="dxa" w:w="3364"/>
            <w:shd w:fill="EAF3F3"/>
          </w:tcPr>
          <w:p>
            <w:pPr>
              <w:spacing w:after="80"/>
            </w:pPr>
            <w:r>
              <w:rPr>
                <w:sz w:val="18"/>
              </w:rPr>
              <w:t>Proposition SARL/SAS et hypothèses chiffrables.</w:t>
            </w:r>
          </w:p>
        </w:tc>
      </w:tr>
      <w:tr>
        <w:trPr>
          <w:cantSplit/>
        </w:trPr>
        <w:tc>
          <w:tcPr>
            <w:tcW w:type="dxa" w:w="3364"/>
            <w:shd w:fill="F8FAFA"/>
          </w:tcPr>
          <w:p>
            <w:pPr>
              <w:spacing w:after="80"/>
            </w:pPr>
            <w:r>
              <w:rPr>
                <w:sz w:val="18"/>
              </w:rPr>
              <w:t>Semaine 1</w:t>
            </w:r>
          </w:p>
        </w:tc>
        <w:tc>
          <w:tcPr>
            <w:tcW w:type="dxa" w:w="3364"/>
            <w:shd w:fill="F8FAFA"/>
          </w:tcPr>
          <w:p>
            <w:pPr>
              <w:spacing w:after="80"/>
            </w:pPr>
            <w:r>
              <w:rPr>
                <w:sz w:val="18"/>
              </w:rPr>
              <w:t>Réunir pièces, devis et demandes nécessaires — responsables concernés</w:t>
            </w:r>
          </w:p>
        </w:tc>
        <w:tc>
          <w:tcPr>
            <w:tcW w:type="dxa" w:w="3364"/>
            <w:shd w:fill="F8FAFA"/>
          </w:tcPr>
          <w:p>
            <w:pPr>
              <w:spacing w:after="80"/>
            </w:pPr>
            <w:r>
              <w:rPr>
                <w:sz w:val="18"/>
              </w:rPr>
              <w:t>Accusés de réception et liste des pièces manquantes.</w:t>
            </w:r>
          </w:p>
        </w:tc>
      </w:tr>
      <w:tr>
        <w:trPr>
          <w:cantSplit/>
        </w:trPr>
        <w:tc>
          <w:tcPr>
            <w:tcW w:type="dxa" w:w="3364"/>
            <w:shd w:fill="EAF3F3"/>
          </w:tcPr>
          <w:p>
            <w:pPr>
              <w:spacing w:after="80"/>
            </w:pPr>
            <w:r>
              <w:rPr>
                <w:sz w:val="18"/>
              </w:rPr>
              <w:t>Avant pilote</w:t>
            </w:r>
          </w:p>
        </w:tc>
        <w:tc>
          <w:tcPr>
            <w:tcW w:type="dxa" w:w="3364"/>
            <w:shd w:fill="EAF3F3"/>
          </w:tcPr>
          <w:p>
            <w:pPr>
              <w:spacing w:after="80"/>
            </w:pPr>
            <w:r>
              <w:rPr>
                <w:sz w:val="18"/>
              </w:rPr>
              <w:t>Qualifier véhicule / trajet et secours — Ilyes</w:t>
            </w:r>
          </w:p>
        </w:tc>
        <w:tc>
          <w:tcPr>
            <w:tcW w:type="dxa" w:w="3364"/>
            <w:shd w:fill="EAF3F3"/>
          </w:tcPr>
          <w:p>
            <w:pPr>
              <w:spacing w:after="80"/>
            </w:pPr>
            <w:r>
              <w:rPr>
                <w:sz w:val="18"/>
              </w:rPr>
              <w:t>Essais, maintenance, étalonnage et procès-verbal d’acceptation.</w:t>
            </w:r>
          </w:p>
        </w:tc>
      </w:tr>
      <w:tr>
        <w:trPr>
          <w:cantSplit/>
        </w:trPr>
        <w:tc>
          <w:tcPr>
            <w:tcW w:type="dxa" w:w="3364"/>
            <w:shd w:fill="F8FAFA"/>
          </w:tcPr>
          <w:p>
            <w:pPr>
              <w:spacing w:after="80"/>
            </w:pPr>
            <w:r>
              <w:rPr>
                <w:sz w:val="18"/>
              </w:rPr>
              <w:t>Avant pilote</w:t>
            </w:r>
          </w:p>
        </w:tc>
        <w:tc>
          <w:tcPr>
            <w:tcW w:type="dxa" w:w="3364"/>
            <w:shd w:fill="F8FAFA"/>
          </w:tcPr>
          <w:p>
            <w:pPr>
              <w:spacing w:after="80"/>
            </w:pPr>
            <w:r>
              <w:rPr>
                <w:sz w:val="18"/>
              </w:rPr>
              <w:t>Finaliser contrats et assurance — Maxime, Nab, Levon</w:t>
            </w:r>
          </w:p>
        </w:tc>
        <w:tc>
          <w:tcPr>
            <w:tcW w:type="dxa" w:w="3364"/>
            <w:shd w:fill="F8FAFA"/>
          </w:tcPr>
          <w:p>
            <w:pPr>
              <w:spacing w:after="80"/>
            </w:pPr>
            <w:r>
              <w:rPr>
                <w:sz w:val="18"/>
              </w:rPr>
              <w:t>Documents complétés et signés par personnes habilitées.</w:t>
            </w:r>
          </w:p>
        </w:tc>
      </w:tr>
      <w:tr>
        <w:trPr>
          <w:cantSplit/>
        </w:trPr>
        <w:tc>
          <w:tcPr>
            <w:tcW w:type="dxa" w:w="3364"/>
            <w:shd w:fill="EAF3F3"/>
          </w:tcPr>
          <w:p>
            <w:pPr>
              <w:spacing w:after="80"/>
            </w:pPr>
            <w:r>
              <w:rPr>
                <w:sz w:val="18"/>
              </w:rPr>
              <w:t>Avant pilote</w:t>
            </w:r>
          </w:p>
        </w:tc>
        <w:tc>
          <w:tcPr>
            <w:tcW w:type="dxa" w:w="3364"/>
            <w:shd w:fill="EAF3F3"/>
          </w:tcPr>
          <w:p>
            <w:pPr>
              <w:spacing w:after="80"/>
            </w:pPr>
            <w:r>
              <w:rPr>
                <w:sz w:val="18"/>
              </w:rPr>
              <w:t>Former et déclarer les salariés concernés — exploitation / Maxime</w:t>
            </w:r>
          </w:p>
        </w:tc>
        <w:tc>
          <w:tcPr>
            <w:tcW w:type="dxa" w:w="3364"/>
            <w:shd w:fill="EAF3F3"/>
          </w:tcPr>
          <w:p>
            <w:pPr>
              <w:spacing w:after="80"/>
            </w:pPr>
            <w:r>
              <w:rPr>
                <w:sz w:val="18"/>
              </w:rPr>
              <w:t>Justificatifs RH et évaluation pratique.</w:t>
            </w:r>
          </w:p>
        </w:tc>
      </w:tr>
      <w:tr>
        <w:trPr>
          <w:cantSplit/>
        </w:trPr>
        <w:tc>
          <w:tcPr>
            <w:tcW w:type="dxa" w:w="3364"/>
            <w:shd w:fill="F8FAFA"/>
          </w:tcPr>
          <w:p>
            <w:pPr>
              <w:spacing w:after="80"/>
            </w:pPr>
            <w:r>
              <w:rPr>
                <w:sz w:val="18"/>
              </w:rPr>
              <w:t>Après validations</w:t>
            </w:r>
          </w:p>
        </w:tc>
        <w:tc>
          <w:tcPr>
            <w:tcW w:type="dxa" w:w="3364"/>
            <w:shd w:fill="F8FAFA"/>
          </w:tcPr>
          <w:p>
            <w:pPr>
              <w:spacing w:after="80"/>
            </w:pPr>
            <w:r>
              <w:rPr>
                <w:sz w:val="18"/>
              </w:rPr>
              <w:t>Autoriser le premier transport — direction compétente</w:t>
            </w:r>
          </w:p>
        </w:tc>
        <w:tc>
          <w:tcPr>
            <w:tcW w:type="dxa" w:w="3364"/>
            <w:shd w:fill="F8FAFA"/>
          </w:tcPr>
          <w:p>
            <w:pPr>
              <w:spacing w:after="80"/>
            </w:pPr>
            <w:r>
              <w:rPr>
                <w:sz w:val="18"/>
              </w:rPr>
              <w:t>Revue des preuves et décision datée.</w:t>
            </w:r>
          </w:p>
        </w:tc>
      </w:tr>
    </w:tbl>
    <w:p>
      <w:pPr>
        <w:spacing w:after="40"/>
      </w:pPr>
    </w:p>
    <w:p>
      <w:pPr>
        <w:pStyle w:val="Heading3"/>
      </w:pPr>
      <w:r>
        <w:t>Conditions préalables proposées pour autoriser le pilote</w:t>
      </w:r>
    </w:p>
    <w:p>
      <w:pPr>
        <w:ind w:left="113"/>
      </w:pPr>
      <w:r>
        <w:t xml:space="preserve">1. </w:t>
      </w:r>
      <w:r>
        <w:rPr>
          <w:b/>
        </w:rPr>
        <w:t>Périmètre défini :</w:t>
      </w:r>
      <w:r>
        <w:t xml:space="preserve"> marchandises, trajet, client, destinataire et conditions de conservation.</w:t>
      </w:r>
    </w:p>
    <w:p>
      <w:pPr>
        <w:ind w:left="113"/>
      </w:pPr>
      <w:r>
        <w:t xml:space="preserve">2. </w:t>
      </w:r>
      <w:r>
        <w:rPr>
          <w:b/>
        </w:rPr>
        <w:t>Situation légale documentée :</w:t>
      </w:r>
      <w:r>
        <w:t xml:space="preserve"> société, accès à l’activité, titres du véhicule et exigences sectorielles clarifiés ; autorisations nécessaires obtenues.</w:t>
      </w:r>
    </w:p>
    <w:p>
      <w:pPr>
        <w:ind w:left="113"/>
      </w:pPr>
      <w:r>
        <w:t xml:space="preserve">3. </w:t>
      </w:r>
      <w:r>
        <w:rPr>
          <w:b/>
        </w:rPr>
        <w:t>Moyen adapté :</w:t>
      </w:r>
      <w:r>
        <w:t xml:space="preserve"> véhicule, instrumentation et solution de secours testés pour l’usage prévu.</w:t>
      </w:r>
    </w:p>
    <w:p>
      <w:pPr>
        <w:ind w:left="113"/>
      </w:pPr>
      <w:r>
        <w:t xml:space="preserve">4. </w:t>
      </w:r>
      <w:r>
        <w:rPr>
          <w:b/>
        </w:rPr>
        <w:t>Engagements sécurisés :</w:t>
      </w:r>
      <w:r>
        <w:t xml:space="preserve"> contrat, accord qualité si pertinent et assurances couvrant les risques déclarés.</w:t>
      </w:r>
    </w:p>
    <w:p>
      <w:pPr>
        <w:ind w:left="113"/>
      </w:pPr>
      <w:r>
        <w:t xml:space="preserve">5. </w:t>
      </w:r>
      <w:r>
        <w:rPr>
          <w:b/>
        </w:rPr>
        <w:t>Personnel prêt :</w:t>
      </w:r>
      <w:r>
        <w:t xml:space="preserve"> permis, compétences, formation et formalités RH pertinents.</w:t>
      </w:r>
    </w:p>
    <w:p>
      <w:pPr>
        <w:ind w:left="113"/>
      </w:pPr>
      <w:r>
        <w:t xml:space="preserve">6. </w:t>
      </w:r>
      <w:r>
        <w:rPr>
          <w:b/>
        </w:rPr>
        <w:t>Traçabilité opérationnelle :</w:t>
      </w:r>
      <w:r>
        <w:t xml:space="preserve"> ordre de transport, enregistrements et procédure d’incident disponibles.</w:t>
      </w:r>
    </w:p>
    <w:p>
      <w:r>
        <w:rPr>
          <w:b/>
        </w:rPr>
        <w:t>Décision proposée :</w:t>
      </w:r>
      <w:r>
        <w:t xml:space="preserve"> autoriser uniquement les missions correspondant au périmètre effectivement validé ; différer l’offre Pharma tant que ses conditions d’exercice et de qualité ne sont pas documentées. Les deux offres peuvent être préparées en parallèle.</w:t>
      </w:r>
    </w:p>
    <w:p>
      <w:pPr>
        <w:pStyle w:val="Heading3"/>
      </w:pPr>
      <w:r>
        <w:t>Arbitrages ouverts — aucun n’est enregistré comme décidé</w:t>
      </w:r>
    </w:p>
    <w:p>
      <w:pPr>
        <w:ind w:left="113"/>
      </w:pPr>
      <w:r>
        <w:t>- SARL ou SAS ; répartition du capital et pouvoirs de signature.</w:t>
      </w:r>
    </w:p>
    <w:p>
      <w:pPr>
        <w:ind w:left="113"/>
      </w:pPr>
      <w:r>
        <w:t>- Une première gamme précise, puis deuxième offre, ou moyens distincts dès le départ.</w:t>
      </w:r>
    </w:p>
    <w:p>
      <w:pPr>
        <w:ind w:left="113"/>
      </w:pPr>
      <w:r>
        <w:t>- Véhicule propre, loué ou prestataire qualifié ; financement et secours.</w:t>
      </w:r>
    </w:p>
    <w:p>
      <w:pPr>
        <w:ind w:left="113"/>
      </w:pPr>
      <w:r>
        <w:t>- Référent qualité et éventuelle exigence pharmaceutique ; effectif réel.</w:t>
      </w:r>
    </w:p>
    <w:p>
      <w:r>
        <w:br w:type="page"/>
      </w:r>
    </w:p>
    <w:p>
      <w:pPr>
        <w:pStyle w:val="Heading1"/>
      </w:pPr>
      <w:r>
        <w:t>Annexe A — Trame de contrat de transport</w:t>
      </w:r>
    </w:p>
    <w:p>
      <w:r>
        <w:rPr>
          <w:b/>
        </w:rPr>
        <w:t>Projet non signé · Champs à renseigner · À adapter au droit applicable et aux autorisations obtenues.</w:t>
      </w:r>
      <w:r>
        <w:t xml:space="preserve"> Référence de contrat : [à renseigner].</w:t>
      </w:r>
    </w:p>
    <w:p>
      <w:pPr>
        <w:pStyle w:val="Heading3"/>
      </w:pPr>
      <w:r>
        <w:t>1. Parties et objet</w:t>
      </w:r>
    </w:p>
    <w:p>
      <w:r>
        <w:t>Entre [raison sociale du client, RCCM, adresse, représentant habilité] et [raison sociale de SOLAR WRAP, RCCM, adresse, représentant habilité], il est envisagé une prestation de transport routier de [catégories précisément définies] entre [lieux]. Toute activité d’entreposage, importation ou achat-revente est exclue sauf avenant et habilitations correspondantes.</w:t>
      </w:r>
    </w:p>
    <w:p>
      <w:pPr>
        <w:pStyle w:val="Heading3"/>
      </w:pPr>
      <w:r>
        <w:t>2. Acceptation de chaque mission</w:t>
      </w:r>
    </w:p>
    <w:p>
      <w:r>
        <w:t>La mission est confirmée par ordre écrit précisant : produit, quantité/poids, emballage, valeur, expéditeur, destinataire, horaires, documents, conditions de conservation, alarmes et contacts d’urgence. Une instruction absente ou incompatible avec les moyens disponibles impose clarification avant acceptation. Établir le DUT et les documents requis selon le régime de transport applicable, sans présumer un cumul systématique DUT / lettre de voiture.</w:t>
      </w:r>
    </w:p>
    <w:p>
      <w:pPr>
        <w:pStyle w:val="Heading3"/>
      </w:pPr>
      <w:r>
        <w:t>3. Obligations du client et du transporteur</w:t>
      </w:r>
    </w:p>
    <w:p>
      <w:r>
        <w:t>Le client communique des informations exactes et remet un chargement préparé selon les conditions convenues. Les tâches de chargement, arrimage et déchargement sont affectées à [partie]. Le transporteur utilise les moyens convenus, contrôle les éléments vérifiables à la prise en charge, consigne les réserves et conserve les preuves d’exécution. Le destinataire désigné réalise les contrôles prévus à réception.</w:t>
      </w:r>
    </w:p>
    <w:p>
      <w:pPr>
        <w:pStyle w:val="Heading3"/>
      </w:pPr>
      <w:r>
        <w:t>4. Qualité, incidents et sous-traitance</w:t>
      </w:r>
    </w:p>
    <w:p>
      <w:r>
        <w:t>L’annexe technique précise température, surveillance, nettoyage, séparation et secours. En cas d’écart : protéger le lot, prévenir les contacts habilités, enregistrer les faits et suivre les instructions écrites compatibles avec la sécurité et le droit. Aucun lot suspect n’est présenté comme conforme par le seul conducteur. Sous-traitance uniquement selon les accords et exigences applicables, avec traçabilité de l’intervenant et de ses moyens.</w:t>
      </w:r>
    </w:p>
    <w:p>
      <w:pPr>
        <w:pStyle w:val="Heading3"/>
      </w:pPr>
      <w:r>
        <w:t>5. Prix et paiement</w:t>
      </w:r>
    </w:p>
    <w:p>
      <w:r>
        <w:t>Prix [montant en F CFA], taxes [régime à confirmer], frais d’attente/annulation [conditions], facturation [périodicité], échéance [délai], révision [mécanisme]. Les suppléments éventuels, dont déclaration de valeur ou d’intérêt spécial, sont acceptés avant mission.</w:t>
      </w:r>
    </w:p>
    <w:p>
      <w:pPr>
        <w:pStyle w:val="Heading3"/>
      </w:pPr>
      <w:r>
        <w:t>6. Responsabilité et assurance</w:t>
      </w:r>
    </w:p>
    <w:p>
      <w:r>
        <w:t>Les responsabilités, limitations et exceptions suivent les règles impératives applicables, notamment l’Acte uniforme OHADA dans son champ. Aucune clause n’exonère automatiquement le transporteur pour une panne du véhicule. Les parties documentent les couvertures, plafonds et franchises ; elles précisent qui assure la marchandise. Les régimes légaux de réserves, réclamation et prescription prévalent. [S04]</w:t>
      </w:r>
    </w:p>
    <w:p>
      <w:pPr>
        <w:pStyle w:val="Heading3"/>
      </w:pPr>
      <w:r>
        <w:t>7. Durée, confidentialité et litiges</w:t>
      </w:r>
    </w:p>
    <w:p>
      <w:r>
        <w:t xml:space="preserve">Durée [à renseigner], résiliation [conditions], suspension si autorisation ou capacité requise manque, confidentialité et données [mesures/durées]. Droit applicable [à confirmer], traitement amiable [modalités] puis juridiction ou mécanisme de règlement valablement choisi. Annexes : ordre de mission, conditions techniques, accord qualité et assurances. </w:t>
      </w:r>
      <w:r>
        <w:rPr>
          <w:b/>
        </w:rPr>
        <w:t>Signatures : laissées vierges ; aucun accord conclu.</w:t>
      </w:r>
    </w:p>
    <w:p>
      <w:r>
        <w:br w:type="page"/>
      </w:r>
    </w:p>
    <w:p>
      <w:pPr>
        <w:pStyle w:val="Heading1"/>
      </w:pPr>
      <w:r>
        <w:t>Annexe B — Accord qualité et procédure de transport</w:t>
      </w:r>
    </w:p>
    <w:p>
      <w:pPr>
        <w:pStyle w:val="Heading3"/>
      </w:pPr>
      <w:r>
        <w:t>B1. Fiche d’accord qualité à compléter avant la mission</w:t>
      </w:r>
    </w:p>
    <w:tbl>
      <w:tblPr>
        <w:tblW w:type="auto" w:w="0"/>
        <w:tblLayout w:type="autofit"/>
        <w:tblLook w:firstColumn="1" w:firstRow="1" w:lastColumn="0" w:lastRow="0" w:noHBand="0" w:noVBand="1" w:val="04A0"/>
      </w:tblPr>
      <w:tblGrid>
        <w:gridCol w:w="5046"/>
        <w:gridCol w:w="5046"/>
      </w:tblGrid>
      <w:tr>
        <w:trPr>
          <w:cantSplit/>
          <w:tblHeader/>
        </w:trPr>
        <w:tc>
          <w:tcPr>
            <w:tcW w:type="dxa" w:w="5046"/>
            <w:shd w:fill="075D65"/>
          </w:tcPr>
          <w:p>
            <w:pPr>
              <w:spacing w:after="80"/>
            </w:pPr>
            <w:r>
              <w:rPr>
                <w:b/>
                <w:color w:val="FFFFFF"/>
                <w:sz w:val="18"/>
              </w:rPr>
              <w:t>Paramètre</w:t>
            </w:r>
          </w:p>
        </w:tc>
        <w:tc>
          <w:tcPr>
            <w:tcW w:type="dxa" w:w="5046"/>
            <w:shd w:fill="075D65"/>
          </w:tcPr>
          <w:p>
            <w:pPr>
              <w:spacing w:after="80"/>
            </w:pPr>
            <w:r>
              <w:rPr>
                <w:b/>
                <w:color w:val="FFFFFF"/>
                <w:sz w:val="18"/>
              </w:rPr>
              <w:t>Valeur / responsable à convenir</w:t>
            </w:r>
          </w:p>
        </w:tc>
      </w:tr>
      <w:tr>
        <w:trPr>
          <w:cantSplit/>
        </w:trPr>
        <w:tc>
          <w:tcPr>
            <w:tcW w:type="dxa" w:w="5046"/>
            <w:shd w:fill="EAF3F3"/>
          </w:tcPr>
          <w:p>
            <w:pPr>
              <w:spacing w:after="80"/>
            </w:pPr>
            <w:r>
              <w:rPr>
                <w:sz w:val="18"/>
              </w:rPr>
              <w:t>Produits / lots / emballage</w:t>
            </w:r>
          </w:p>
        </w:tc>
        <w:tc>
          <w:tcPr>
            <w:tcW w:type="dxa" w:w="5046"/>
            <w:shd w:fill="EAF3F3"/>
          </w:tcPr>
          <w:p>
            <w:pPr>
              <w:spacing w:after="80"/>
            </w:pPr>
            <w:r>
              <w:rPr>
                <w:sz w:val="18"/>
              </w:rPr>
              <w:t>[Liste et documents fournis par le client]</w:t>
            </w:r>
          </w:p>
        </w:tc>
      </w:tr>
      <w:tr>
        <w:trPr>
          <w:cantSplit/>
        </w:trPr>
        <w:tc>
          <w:tcPr>
            <w:tcW w:type="dxa" w:w="5046"/>
            <w:shd w:fill="F8FAFA"/>
          </w:tcPr>
          <w:p>
            <w:pPr>
              <w:spacing w:after="80"/>
            </w:pPr>
            <w:r>
              <w:rPr>
                <w:sz w:val="18"/>
              </w:rPr>
              <w:t>Conservation et alarmes</w:t>
            </w:r>
          </w:p>
        </w:tc>
        <w:tc>
          <w:tcPr>
            <w:tcW w:type="dxa" w:w="5046"/>
            <w:shd w:fill="F8FAFA"/>
          </w:tcPr>
          <w:p>
            <w:pPr>
              <w:spacing w:after="80"/>
            </w:pPr>
            <w:r>
              <w:rPr>
                <w:sz w:val="18"/>
              </w:rPr>
              <w:t>[Plage, consigne, seuils et instructions validées ; aucune tolérance présumée]</w:t>
            </w:r>
          </w:p>
        </w:tc>
      </w:tr>
      <w:tr>
        <w:trPr>
          <w:cantSplit/>
        </w:trPr>
        <w:tc>
          <w:tcPr>
            <w:tcW w:type="dxa" w:w="5046"/>
            <w:shd w:fill="EAF3F3"/>
          </w:tcPr>
          <w:p>
            <w:pPr>
              <w:spacing w:after="80"/>
            </w:pPr>
            <w:r>
              <w:rPr>
                <w:sz w:val="18"/>
              </w:rPr>
              <w:t>Moyen et tournée</w:t>
            </w:r>
          </w:p>
        </w:tc>
        <w:tc>
          <w:tcPr>
            <w:tcW w:type="dxa" w:w="5046"/>
            <w:shd w:fill="EAF3F3"/>
          </w:tcPr>
          <w:p>
            <w:pPr>
              <w:spacing w:after="80"/>
            </w:pPr>
            <w:r>
              <w:rPr>
                <w:sz w:val="18"/>
              </w:rPr>
              <w:t>[Véhicule, capacité, trajet, ouvertures, durée et secours qualifiés]</w:t>
            </w:r>
          </w:p>
        </w:tc>
      </w:tr>
      <w:tr>
        <w:trPr>
          <w:cantSplit/>
        </w:trPr>
        <w:tc>
          <w:tcPr>
            <w:tcW w:type="dxa" w:w="5046"/>
            <w:shd w:fill="F8FAFA"/>
          </w:tcPr>
          <w:p>
            <w:pPr>
              <w:spacing w:after="80"/>
            </w:pPr>
            <w:r>
              <w:rPr>
                <w:sz w:val="18"/>
              </w:rPr>
              <w:t>Surveillance</w:t>
            </w:r>
          </w:p>
        </w:tc>
        <w:tc>
          <w:tcPr>
            <w:tcW w:type="dxa" w:w="5046"/>
            <w:shd w:fill="F8FAFA"/>
          </w:tcPr>
          <w:p>
            <w:pPr>
              <w:spacing w:after="80"/>
            </w:pPr>
            <w:r>
              <w:rPr>
                <w:sz w:val="18"/>
              </w:rPr>
              <w:t>[Capteurs identifiés, positionnement, suivi/étalonnage, fréquence justifiée]</w:t>
            </w:r>
          </w:p>
        </w:tc>
      </w:tr>
      <w:tr>
        <w:trPr>
          <w:cantSplit/>
        </w:trPr>
        <w:tc>
          <w:tcPr>
            <w:tcW w:type="dxa" w:w="5046"/>
            <w:shd w:fill="EAF3F3"/>
          </w:tcPr>
          <w:p>
            <w:pPr>
              <w:spacing w:after="80"/>
            </w:pPr>
            <w:r>
              <w:rPr>
                <w:sz w:val="18"/>
              </w:rPr>
              <w:t>Nettoyage / séparation</w:t>
            </w:r>
          </w:p>
        </w:tc>
        <w:tc>
          <w:tcPr>
            <w:tcW w:type="dxa" w:w="5046"/>
            <w:shd w:fill="EAF3F3"/>
          </w:tcPr>
          <w:p>
            <w:pPr>
              <w:spacing w:after="80"/>
            </w:pPr>
            <w:r>
              <w:rPr>
                <w:sz w:val="18"/>
              </w:rPr>
              <w:t>[Procédure, contrôles, enregistrements et restrictions de chargement]</w:t>
            </w:r>
          </w:p>
        </w:tc>
      </w:tr>
      <w:tr>
        <w:trPr>
          <w:cantSplit/>
        </w:trPr>
        <w:tc>
          <w:tcPr>
            <w:tcW w:type="dxa" w:w="5046"/>
            <w:shd w:fill="F8FAFA"/>
          </w:tcPr>
          <w:p>
            <w:pPr>
              <w:spacing w:after="80"/>
            </w:pPr>
            <w:r>
              <w:rPr>
                <w:sz w:val="18"/>
              </w:rPr>
              <w:t>Écart / libération</w:t>
            </w:r>
          </w:p>
        </w:tc>
        <w:tc>
          <w:tcPr>
            <w:tcW w:type="dxa" w:w="5046"/>
            <w:shd w:fill="F8FAFA"/>
          </w:tcPr>
          <w:p>
            <w:pPr>
              <w:spacing w:after="80"/>
            </w:pPr>
            <w:r>
              <w:rPr>
                <w:sz w:val="18"/>
              </w:rPr>
              <w:t>[Contacts, canal d’alerte et personne habilitée à décider du devenir du lot]</w:t>
            </w:r>
          </w:p>
        </w:tc>
      </w:tr>
      <w:tr>
        <w:trPr>
          <w:cantSplit/>
        </w:trPr>
        <w:tc>
          <w:tcPr>
            <w:tcW w:type="dxa" w:w="5046"/>
            <w:shd w:fill="EAF3F3"/>
          </w:tcPr>
          <w:p>
            <w:pPr>
              <w:spacing w:after="80"/>
            </w:pPr>
            <w:r>
              <w:rPr>
                <w:sz w:val="18"/>
              </w:rPr>
              <w:t>Archivage / audit</w:t>
            </w:r>
          </w:p>
        </w:tc>
        <w:tc>
          <w:tcPr>
            <w:tcW w:type="dxa" w:w="5046"/>
            <w:shd w:fill="EAF3F3"/>
          </w:tcPr>
          <w:p>
            <w:pPr>
              <w:spacing w:after="80"/>
            </w:pPr>
            <w:r>
              <w:rPr>
                <w:sz w:val="18"/>
              </w:rPr>
              <w:t>[Supports, accès, durée légale/contractuelle, remise des preuves]</w:t>
            </w:r>
          </w:p>
        </w:tc>
      </w:tr>
      <w:tr>
        <w:trPr>
          <w:cantSplit/>
        </w:trPr>
        <w:tc>
          <w:tcPr>
            <w:tcW w:type="dxa" w:w="5046"/>
            <w:shd w:fill="F8FAFA"/>
          </w:tcPr>
          <w:p>
            <w:pPr>
              <w:spacing w:after="80"/>
            </w:pPr>
            <w:r>
              <w:rPr>
                <w:sz w:val="18"/>
              </w:rPr>
              <w:t>Sous-traitants</w:t>
            </w:r>
          </w:p>
        </w:tc>
        <w:tc>
          <w:tcPr>
            <w:tcW w:type="dxa" w:w="5046"/>
            <w:shd w:fill="F8FAFA"/>
          </w:tcPr>
          <w:p>
            <w:pPr>
              <w:spacing w:after="80"/>
            </w:pPr>
            <w:r>
              <w:rPr>
                <w:sz w:val="18"/>
              </w:rPr>
              <w:t>[Accords requis, intervenants, moyens acceptés et contrôle]</w:t>
            </w:r>
          </w:p>
        </w:tc>
      </w:tr>
    </w:tbl>
    <w:p>
      <w:pPr>
        <w:spacing w:after="40"/>
      </w:pPr>
    </w:p>
    <w:p>
      <w:r>
        <w:rPr>
          <w:b/>
        </w:rPr>
        <w:t>Base de travail :</w:t>
      </w:r>
      <w:r>
        <w:t xml:space="preserve"> BPD UEMOA pour le volet pharmaceutique et recommandations OMS ; adaptation au statut réglementaire confirmé et au produit. [S07–S08]</w:t>
      </w:r>
    </w:p>
    <w:p>
      <w:pPr>
        <w:pStyle w:val="Heading3"/>
      </w:pPr>
      <w:r>
        <w:t>B2. Procédure proposée — Référence SW-OP-01</w:t>
      </w:r>
    </w:p>
    <w:p>
      <w:r>
        <w:rPr>
          <w:b/>
        </w:rPr>
        <w:t>Avant chargement :</w:t>
      </w:r>
      <w:r>
        <w:t xml:space="preserve"> vérifier mission et autorisations pertinentes, liste des produits, compatibilité du chargement, documents, contacts, conducteur et plan de secours. Vérifier propreté, état du véhicule, énergie disponible, équipement frigorifique et surveillance. Préconditionner selon la procédure qualifiée. Si une exigence essentielle manque, ne pas démarrer la mission.</w:t>
      </w:r>
    </w:p>
    <w:p>
      <w:r>
        <w:rPr>
          <w:b/>
        </w:rPr>
        <w:t>À la prise en charge :</w:t>
      </w:r>
      <w:r>
        <w:t xml:space="preserve"> relever heure, état apparent et quantité ; identifier l’envoi et les capteurs ; effectuer les contrôles de température prévus sans altérer le produit ni ouvrir un conditionnement pharmaceutique hors procédure autorisée. Inscrire les réserves et conserver la preuve de remise. Charger selon le plan validé.</w:t>
      </w:r>
    </w:p>
    <w:p>
      <w:r>
        <w:rPr>
          <w:b/>
        </w:rPr>
        <w:t>En route :</w:t>
      </w:r>
      <w:r>
        <w:t xml:space="preserve"> suivre les enregistrements et alarmes, limiter les ouvertures, respecter les arrêts convenus et protéger le chargement. Ne pas modifier la consigne pour masquer un écart. Toute modification de trajet ou transbordement doit suivre le plan de secours et les instructions habilitées.</w:t>
      </w:r>
    </w:p>
    <w:p>
      <w:r>
        <w:rPr>
          <w:b/>
        </w:rPr>
        <w:t>À la réception :</w:t>
      </w:r>
      <w:r>
        <w:t xml:space="preserve"> contrôler destinataire, heure, état, quantités et données requises. Recueillir nom/fonction du réceptionnaire, réserves et signature ; distinguer remise physique et décision qualité. Un refus ou une anomalie déclenche la procédure d’incident.</w:t>
      </w:r>
    </w:p>
    <w:p>
      <w:r>
        <w:rPr>
          <w:b/>
        </w:rPr>
        <w:t>Après tournée :</w:t>
      </w:r>
      <w:r>
        <w:t xml:space="preserve"> sauvegarder les données brutes, traiter les écarts, nettoyer selon procédure et enregistrer les opérations. Revoir les causes d’incident avant réutilisation. La validation du plan de conservation documentaire reste à faire ; aucune durée uniforme n’est appliquée à tous les dossiers.</w:t>
      </w:r>
    </w:p>
    <w:p>
      <w:r>
        <w:br w:type="page"/>
      </w:r>
    </w:p>
    <w:p>
      <w:pPr>
        <w:pStyle w:val="Heading1"/>
      </w:pPr>
      <w:r>
        <w:t>Annexe C — Incident et formulaires de traçabilité</w:t>
      </w:r>
    </w:p>
    <w:p>
      <w:pPr>
        <w:pStyle w:val="Heading3"/>
      </w:pPr>
      <w:r>
        <w:t>C1. Procédure d’écart de température — SW-INC-01</w:t>
      </w:r>
    </w:p>
    <w:p>
      <w:pPr>
        <w:ind w:left="113"/>
      </w:pPr>
      <w:r>
        <w:t xml:space="preserve">1. </w:t>
      </w:r>
      <w:r>
        <w:rPr>
          <w:b/>
        </w:rPr>
        <w:t>Protéger :</w:t>
      </w:r>
      <w:r>
        <w:t xml:space="preserve"> stationner en sécurité si nécessaire, maintenir les conditions possibles, identifier et isoler le lot suspect ; ne pas le livrer comme conforme.</w:t>
      </w:r>
    </w:p>
    <w:p>
      <w:pPr>
        <w:ind w:left="113"/>
      </w:pPr>
      <w:r>
        <w:t xml:space="preserve">2. </w:t>
      </w:r>
      <w:r>
        <w:rPr>
          <w:b/>
        </w:rPr>
        <w:t>Alerter :</w:t>
      </w:r>
      <w:r>
        <w:t xml:space="preserve"> prévenir exploitation et référent qualité, puis le contact habilité du client et le destinataire selon l’accord. Objectif interne proposé : alerte sans délai après détection ; fixer les délais contractuels.</w:t>
      </w:r>
    </w:p>
    <w:p>
      <w:pPr>
        <w:ind w:left="113"/>
      </w:pPr>
      <w:r>
        <w:t xml:space="preserve">3. </w:t>
      </w:r>
      <w:r>
        <w:rPr>
          <w:b/>
        </w:rPr>
        <w:t>Documenter :</w:t>
      </w:r>
      <w:r>
        <w:t xml:space="preserve"> heure, capteur, température, durée connue ou inconnue, produits/lots, portes, énergie, localisation, actions et données brutes. Ne pas reconstituer des mesures manquantes.</w:t>
      </w:r>
    </w:p>
    <w:p>
      <w:pPr>
        <w:ind w:left="113"/>
      </w:pPr>
      <w:r>
        <w:t xml:space="preserve">4. </w:t>
      </w:r>
      <w:r>
        <w:rPr>
          <w:b/>
        </w:rPr>
        <w:t>Mettre en sécurité :</w:t>
      </w:r>
      <w:r>
        <w:t xml:space="preserve"> appliquer le secours validé ; aucun transfert improvisé vers un moyen non adapté. Documenter toute nouvelle prise en charge.</w:t>
      </w:r>
    </w:p>
    <w:p>
      <w:pPr>
        <w:ind w:left="113"/>
      </w:pPr>
      <w:r>
        <w:t xml:space="preserve">5. </w:t>
      </w:r>
      <w:r>
        <w:rPr>
          <w:b/>
        </w:rPr>
        <w:t>Attendre la décision habilitée :</w:t>
      </w:r>
      <w:r>
        <w:t xml:space="preserve"> la conformité pharmaceutique n’est pas décidée par le chauffeur. Retour, maintien en attente, livraison sous statut défini ou destruction suivent les instructions légalement valables ; aucun abandon ni destruction autonome.</w:t>
      </w:r>
    </w:p>
    <w:p>
      <w:pPr>
        <w:ind w:left="113"/>
      </w:pPr>
      <w:r>
        <w:t xml:space="preserve">6. </w:t>
      </w:r>
      <w:r>
        <w:rPr>
          <w:b/>
        </w:rPr>
        <w:t>Clore :</w:t>
      </w:r>
      <w:r>
        <w:t xml:space="preserve"> conserver la décision motivée, informer l’assureur dans les délais de la police si nécessaire, analyser la cause et définir les actions correctives.</w:t>
      </w:r>
    </w:p>
    <w:p>
      <w:pPr>
        <w:pStyle w:val="Heading3"/>
      </w:pPr>
      <w:r>
        <w:t>C2. Fiche de mission — champs à renseigner</w:t>
      </w:r>
    </w:p>
    <w:tbl>
      <w:tblPr>
        <w:tblW w:type="auto" w:w="0"/>
        <w:tblLayout w:type="autofit"/>
        <w:tblLook w:firstColumn="1" w:firstRow="1" w:lastColumn="0" w:lastRow="0" w:noHBand="0" w:noVBand="1" w:val="04A0"/>
      </w:tblPr>
      <w:tblGrid>
        <w:gridCol w:w="5046"/>
        <w:gridCol w:w="5046"/>
      </w:tblGrid>
      <w:tr>
        <w:trPr>
          <w:cantSplit/>
          <w:tblHeader/>
        </w:trPr>
        <w:tc>
          <w:tcPr>
            <w:tcW w:type="dxa" w:w="5046"/>
            <w:shd w:fill="075D65"/>
          </w:tcPr>
          <w:p>
            <w:pPr>
              <w:spacing w:after="80"/>
            </w:pPr>
            <w:r>
              <w:rPr>
                <w:b/>
                <w:color w:val="FFFFFF"/>
                <w:sz w:val="18"/>
              </w:rPr>
              <w:t>Identification</w:t>
            </w:r>
          </w:p>
        </w:tc>
        <w:tc>
          <w:tcPr>
            <w:tcW w:type="dxa" w:w="5046"/>
            <w:shd w:fill="075D65"/>
          </w:tcPr>
          <w:p>
            <w:pPr>
              <w:spacing w:after="80"/>
            </w:pPr>
            <w:r>
              <w:rPr>
                <w:b/>
                <w:color w:val="FFFFFF"/>
                <w:sz w:val="18"/>
              </w:rPr>
              <w:t>Informations requises</w:t>
            </w:r>
          </w:p>
        </w:tc>
      </w:tr>
      <w:tr>
        <w:trPr>
          <w:cantSplit/>
        </w:trPr>
        <w:tc>
          <w:tcPr>
            <w:tcW w:type="dxa" w:w="5046"/>
            <w:shd w:fill="EAF3F3"/>
          </w:tcPr>
          <w:p>
            <w:pPr>
              <w:spacing w:after="80"/>
            </w:pPr>
            <w:r>
              <w:rPr>
                <w:sz w:val="18"/>
              </w:rPr>
              <w:t>Mission / date</w:t>
            </w:r>
          </w:p>
        </w:tc>
        <w:tc>
          <w:tcPr>
            <w:tcW w:type="dxa" w:w="5046"/>
            <w:shd w:fill="EAF3F3"/>
          </w:tcPr>
          <w:p>
            <w:pPr>
              <w:spacing w:after="80"/>
            </w:pPr>
            <w:r>
              <w:rPr>
                <w:sz w:val="18"/>
              </w:rPr>
              <w:t>Référence, client, offre Pharma ou Alimentaire.</w:t>
            </w:r>
          </w:p>
        </w:tc>
      </w:tr>
      <w:tr>
        <w:trPr>
          <w:cantSplit/>
        </w:trPr>
        <w:tc>
          <w:tcPr>
            <w:tcW w:type="dxa" w:w="5046"/>
            <w:shd w:fill="F8FAFA"/>
          </w:tcPr>
          <w:p>
            <w:pPr>
              <w:spacing w:after="80"/>
            </w:pPr>
            <w:r>
              <w:rPr>
                <w:sz w:val="18"/>
              </w:rPr>
              <w:t>Trajet</w:t>
            </w:r>
          </w:p>
        </w:tc>
        <w:tc>
          <w:tcPr>
            <w:tcW w:type="dxa" w:w="5046"/>
            <w:shd w:fill="F8FAFA"/>
          </w:tcPr>
          <w:p>
            <w:pPr>
              <w:spacing w:after="80"/>
            </w:pPr>
            <w:r>
              <w:rPr>
                <w:sz w:val="18"/>
              </w:rPr>
              <w:t>Expéditeur, destinataire, adresses, contacts et horaires convenus.</w:t>
            </w:r>
          </w:p>
        </w:tc>
      </w:tr>
      <w:tr>
        <w:trPr>
          <w:cantSplit/>
        </w:trPr>
        <w:tc>
          <w:tcPr>
            <w:tcW w:type="dxa" w:w="5046"/>
            <w:shd w:fill="EAF3F3"/>
          </w:tcPr>
          <w:p>
            <w:pPr>
              <w:spacing w:after="80"/>
            </w:pPr>
            <w:r>
              <w:rPr>
                <w:sz w:val="18"/>
              </w:rPr>
              <w:t>Chargement</w:t>
            </w:r>
          </w:p>
        </w:tc>
        <w:tc>
          <w:tcPr>
            <w:tcW w:type="dxa" w:w="5046"/>
            <w:shd w:fill="EAF3F3"/>
          </w:tcPr>
          <w:p>
            <w:pPr>
              <w:spacing w:after="80"/>
            </w:pPr>
            <w:r>
              <w:rPr>
                <w:sz w:val="18"/>
              </w:rPr>
              <w:t>Produits, lots/références, poids/quantités, emballages et documents remis.</w:t>
            </w:r>
          </w:p>
        </w:tc>
      </w:tr>
      <w:tr>
        <w:trPr>
          <w:cantSplit/>
        </w:trPr>
        <w:tc>
          <w:tcPr>
            <w:tcW w:type="dxa" w:w="5046"/>
            <w:shd w:fill="F8FAFA"/>
          </w:tcPr>
          <w:p>
            <w:pPr>
              <w:spacing w:after="80"/>
            </w:pPr>
            <w:r>
              <w:rPr>
                <w:sz w:val="18"/>
              </w:rPr>
              <w:t>Instructions</w:t>
            </w:r>
          </w:p>
        </w:tc>
        <w:tc>
          <w:tcPr>
            <w:tcW w:type="dxa" w:w="5046"/>
            <w:shd w:fill="F8FAFA"/>
          </w:tcPr>
          <w:p>
            <w:pPr>
              <w:spacing w:after="80"/>
            </w:pPr>
            <w:r>
              <w:rPr>
                <w:sz w:val="18"/>
              </w:rPr>
              <w:t>Conservation, seuils d’alerte, chargement, valeur déclarée et restrictions.</w:t>
            </w:r>
          </w:p>
        </w:tc>
      </w:tr>
      <w:tr>
        <w:trPr>
          <w:cantSplit/>
        </w:trPr>
        <w:tc>
          <w:tcPr>
            <w:tcW w:type="dxa" w:w="5046"/>
            <w:shd w:fill="EAF3F3"/>
          </w:tcPr>
          <w:p>
            <w:pPr>
              <w:spacing w:after="80"/>
            </w:pPr>
            <w:r>
              <w:rPr>
                <w:sz w:val="18"/>
              </w:rPr>
              <w:t>Moyens</w:t>
            </w:r>
          </w:p>
        </w:tc>
        <w:tc>
          <w:tcPr>
            <w:tcW w:type="dxa" w:w="5046"/>
            <w:shd w:fill="EAF3F3"/>
          </w:tcPr>
          <w:p>
            <w:pPr>
              <w:spacing w:after="80"/>
            </w:pPr>
            <w:r>
              <w:rPr>
                <w:sz w:val="18"/>
              </w:rPr>
              <w:t>Véhicule, conducteur, capteurs, contrôle préalable et justificatifs requis.</w:t>
            </w:r>
          </w:p>
        </w:tc>
      </w:tr>
      <w:tr>
        <w:trPr>
          <w:cantSplit/>
        </w:trPr>
        <w:tc>
          <w:tcPr>
            <w:tcW w:type="dxa" w:w="5046"/>
            <w:shd w:fill="F8FAFA"/>
          </w:tcPr>
          <w:p>
            <w:pPr>
              <w:spacing w:after="80"/>
            </w:pPr>
            <w:r>
              <w:rPr>
                <w:sz w:val="18"/>
              </w:rPr>
              <w:t>Réception</w:t>
            </w:r>
          </w:p>
        </w:tc>
        <w:tc>
          <w:tcPr>
            <w:tcW w:type="dxa" w:w="5046"/>
            <w:shd w:fill="F8FAFA"/>
          </w:tcPr>
          <w:p>
            <w:pPr>
              <w:spacing w:after="80"/>
            </w:pPr>
            <w:r>
              <w:rPr>
                <w:sz w:val="18"/>
              </w:rPr>
              <w:t>Heures réelles, état, mesures prévues, réserves et preuve de remise.</w:t>
            </w:r>
          </w:p>
        </w:tc>
      </w:tr>
    </w:tbl>
    <w:p>
      <w:pPr>
        <w:spacing w:after="40"/>
      </w:pPr>
    </w:p>
    <w:p>
      <w:pPr>
        <w:pStyle w:val="Heading3"/>
      </w:pPr>
      <w:r>
        <w:t>C3. Fiche d’incident — champs à renseigner</w:t>
      </w:r>
    </w:p>
    <w:p>
      <w:r>
        <w:t>Référence incident / mission ; détection et chronologie ; produits et lots ; mesure et capteur ; durée de l’écart (ou « inconnue ») ; état énergétique et frigorifique ; localisation ; personnes alertées et heures ; actions immédiates ; décision du responsable habilité ; preuve de décision ; déclaration assureur ; cause ; action corrective ; responsable et date de clôture.</w:t>
      </w:r>
    </w:p>
    <w:p>
      <w:pPr>
        <w:pStyle w:val="Heading3"/>
      </w:pPr>
      <w:r>
        <w:t>C4. Registre de nettoyage — champs à renseigner</w:t>
      </w:r>
    </w:p>
    <w:p>
      <w:r>
        <w:t>Véhicule / compartiment ; date et heure ; chargement précédent ; procédure et produits employés ; opérateur ; vérifications ; anomalie ; autorisation de remise en service selon procédure. Un registre rempli ne remplace pas la validation de l’efficacité du nettoyage.</w:t>
      </w:r>
    </w:p>
    <w:p>
      <w:r>
        <w:t>Les modèles de registres sont aussi disponibles dans le classeur Excel ; les données nominatives réelles doivent rester dans un espace privé.</w:t>
      </w:r>
    </w:p>
    <w:p>
      <w:r>
        <w:br w:type="page"/>
      </w:r>
    </w:p>
    <w:p>
      <w:pPr>
        <w:pStyle w:val="Heading1"/>
      </w:pPr>
      <w:r>
        <w:t>Annexe D — Fiches RH et préparation des demandes</w:t>
      </w:r>
    </w:p>
    <w:p>
      <w:pPr>
        <w:pStyle w:val="Heading3"/>
      </w:pPr>
      <w:r>
        <w:t>D1. Conducteur-livreur frigorifique — fiche de fonction proposée</w:t>
      </w:r>
    </w:p>
    <w:p>
      <w:r>
        <w:rPr>
          <w:b/>
        </w:rPr>
        <w:t>Mission :</w:t>
      </w:r>
      <w:r>
        <w:t xml:space="preserve"> réaliser les transports autorisés et documenter leur exécution. </w:t>
      </w:r>
      <w:r>
        <w:rPr>
          <w:b/>
        </w:rPr>
        <w:t>Rattachement :</w:t>
      </w:r>
      <w:r>
        <w:t xml:space="preserve"> exploitation ; coordination qualité pour les écarts. </w:t>
      </w:r>
      <w:r>
        <w:rPr>
          <w:b/>
        </w:rPr>
        <w:t>Compétences :</w:t>
      </w:r>
      <w:r>
        <w:t xml:space="preserve"> permis adapté, conduite préventive, contrôles du froid, lecture des alarmes, hygiène, arrimage et traçabilité. </w:t>
      </w:r>
      <w:r>
        <w:rPr>
          <w:b/>
        </w:rPr>
        <w:t>Limites :</w:t>
      </w:r>
      <w:r>
        <w:t xml:space="preserve"> ne modifie pas les instructions produit et ne libère pas seul un lot suspect. </w:t>
      </w:r>
      <w:r>
        <w:rPr>
          <w:b/>
        </w:rPr>
        <w:t>Pièces à vérifier :</w:t>
      </w:r>
      <w:r>
        <w:t xml:space="preserve"> identité, permis, contrat, formalités sociales et suivi de santé applicables. </w:t>
      </w:r>
      <w:r>
        <w:rPr>
          <w:b/>
        </w:rPr>
        <w:t>Évaluation :</w:t>
      </w:r>
      <w:r>
        <w:t xml:space="preserve"> tournée simulée et exercice d’alarme avant autonomie.</w:t>
      </w:r>
    </w:p>
    <w:p>
      <w:pPr>
        <w:pStyle w:val="Heading3"/>
      </w:pPr>
      <w:r>
        <w:t>D2. Référent qualité — fiche de fonction proposée</w:t>
      </w:r>
    </w:p>
    <w:p>
      <w:r>
        <w:rPr>
          <w:b/>
        </w:rPr>
        <w:t>Mission :</w:t>
      </w:r>
      <w:r>
        <w:t xml:space="preserve"> préparer procédures, contrôler les preuves, suivre étalonnage/maintenance, formation et incidents. </w:t>
      </w:r>
      <w:r>
        <w:rPr>
          <w:b/>
        </w:rPr>
        <w:t>Pouvoir interne proposé :</w:t>
      </w:r>
      <w:r>
        <w:t xml:space="preserve"> suspendre une mission dont les conditions convenues ne sont pas réunies et escalader à la direction. </w:t>
      </w:r>
      <w:r>
        <w:rPr>
          <w:b/>
        </w:rPr>
        <w:t>Limite :</w:t>
      </w:r>
      <w:r>
        <w:t xml:space="preserve"> n’est pas assimilé à un pharmacien responsable réglementaire. </w:t>
      </w:r>
      <w:r>
        <w:rPr>
          <w:b/>
        </w:rPr>
        <w:t>Besoins :</w:t>
      </w:r>
      <w:r>
        <w:t xml:space="preserve"> formation chaîne du froid et maîtrise documentaire ; qualification pharmaceutique à déterminer avec l’AIRP.</w:t>
      </w:r>
    </w:p>
    <w:p>
      <w:pPr>
        <w:pStyle w:val="Heading3"/>
      </w:pPr>
      <w:r>
        <w:t>D3. Demande AIRP — brouillon à personnaliser, non envoyé</w:t>
      </w:r>
    </w:p>
    <w:p>
      <w:r>
        <w:rPr>
          <w:b/>
        </w:rPr>
        <w:t>Objet : Qualification réglementaire d’un projet de transport frigorifique sous-traitant.</w:t>
      </w:r>
    </w:p>
    <w:p>
      <w:r>
        <w:t>Nous préparons en Côte d’Ivoire une prestation routière nationale pour des clients professionnels, portant sur des produits pharmaceutiques identifiés par ces derniers. Le scénario envisagé exclut l’achat-revente et l’entreposage ; toute modification vous sera précisée. Pourriez-vous nous indiquer : (1) le statut et les autorisations requis ; (2) les exigences d’inspection et de qualification du personnel ; (3) le référentiel qualité et les durées documentaires ; (4) les règles de sous-traitance ; (5) les conditions d’usage dédié, alterné ou multicompartiments, compte tenu d’un second marché alimentaire ; (6) les effets d’un stockage transitoire ou d’un transbordement ? Nous joindrons la fiche du véhicule, les gammes, trajets et procédures envisagés.</w:t>
      </w:r>
    </w:p>
    <w:p>
      <w:pPr>
        <w:pStyle w:val="Heading3"/>
      </w:pPr>
      <w:r>
        <w:t>D4. Autres demandes préparées — non envoyées</w:t>
      </w:r>
    </w:p>
    <w:p>
      <w:r>
        <w:rPr>
          <w:b/>
        </w:rPr>
        <w:t>Transports / DGTTC :</w:t>
      </w:r>
      <w:r>
        <w:t xml:space="preserve"> confirmer la catégorie d’activité, l’accès au transport pour compte d’autrui, les titres par entreprise/véhicule/conducteur, la réception des transformations frigorifiques, les contrôles et les formalités DUT avec l’OIC.</w:t>
      </w:r>
    </w:p>
    <w:p>
      <w:r>
        <w:rPr>
          <w:b/>
        </w:rPr>
        <w:t>MIRAH / services vétérinaires :</w:t>
      </w:r>
      <w:r>
        <w:t xml:space="preserve"> à partir d’une liste précise de denrées, confirmer agrément sanitaire, autorisations véhicule, inspection, textes techniques, températures, nettoyage, pièces, redevances et renouvellement.</w:t>
      </w:r>
    </w:p>
    <w:p>
      <w:r>
        <w:rPr>
          <w:b/>
        </w:rPr>
        <w:t>Assureur :</w:t>
      </w:r>
      <w:r>
        <w:t xml:space="preserve"> demander une proposition couvrant les deux gammes déclarées, les valeurs maximales, la panne et les variations de température, le vol et le secours, avec exclusions et franchises explicites.</w:t>
      </w:r>
    </w:p>
    <w:p>
      <w:r>
        <w:t>Aucun envoi, demande administrative, recrutement ou engagement financier n’est réalisé par ce dossier.</w:t>
      </w:r>
    </w:p>
    <w:p>
      <w:r>
        <w:br w:type="page"/>
      </w:r>
    </w:p>
    <w:p>
      <w:pPr>
        <w:pStyle w:val="Heading1"/>
      </w:pPr>
      <w:r>
        <w:t>Annexe E — Présentation orale et validation du groupe</w:t>
      </w:r>
    </w:p>
    <w:p>
      <w:pPr>
        <w:pStyle w:val="Heading3"/>
      </w:pPr>
      <w:r>
        <w:t>Texte de présentation — environ deux minutes</w:t>
      </w:r>
    </w:p>
    <w:p>
      <w:r>
        <w:t>« Mon rôle dans SOLAR WRAP est de préparer le cadre juridique et l’organisation humaine du projet. Nous voulons démarrer en Côte d’Ivoire avec un véhicule frigorifique pour des produits pharmaceutiques et alimentaires frais.</w:t>
      </w:r>
    </w:p>
    <w:p>
      <w:r>
        <w:t>Je propose de structurer le pilote comme une prestation de transport pour des clients professionnels. Pour l’entreprise, une SARL est une piste de départ ; nous devons encore comparer cette option avec une SAS selon les associés et les besoins de financement.</w:t>
      </w:r>
    </w:p>
    <w:p>
      <w:r>
        <w:t>Il y a trois vérifications principales. D’abord, les conditions d’accès au transport routier et les documents du véhicule. Ensuite, les exigences sanitaires propres aux produits. Pour les médicaments, nous devons demander à l’AIRP de qualifier notre activité : ne pas acheter les médicaments ne suffit pas à prouver que nous sommes dispensés d’autorisation. Pour les denrées animales, le Code de la santé publique vétérinaire prévoit un agrément sanitaire pour les établissements concernés de transport.</w:t>
      </w:r>
    </w:p>
    <w:p>
      <w:r>
        <w:t>Je recommande deux offres distinctes, sans chargement simultané pharma et alimentaire au lancement. La température doit être définie par produit ; on ne peut pas appliquer +2/+8 degrés à tout. Les contrats devront répartir les responsabilités en cas de panne, retard ou rupture du froid, avec une assurance qui couvre réellement ces risques.</w:t>
      </w:r>
    </w:p>
    <w:p>
      <w:r>
        <w:t>Pour l’équipe, je prévois les fonctions d’exploitation, de conduite, de qualité et de maintenance, avec des compétences et une formation vérifiées. Les exigences pharmaceutiques éventuelles restent à préciser avec l’AIRP.</w:t>
      </w:r>
    </w:p>
    <w:p>
      <w:r>
        <w:t>Mon livrable comprend la note juridique, les besoins RH, un plan d’action et des modèles de suivi. Je propose que le premier transport ne soit autorisé qu’après réunion des preuves réglementaires, techniques, contractuelles et humaines correspondant à la mission choisie. »</w:t>
      </w:r>
    </w:p>
    <w:p>
      <w:pPr>
        <w:pStyle w:val="Heading3"/>
      </w:pPr>
      <w:r>
        <w:t>Décisions à faire écrire par le groupe</w:t>
      </w:r>
    </w:p>
    <w:tbl>
      <w:tblPr>
        <w:tblW w:type="auto" w:w="0"/>
        <w:tblLayout w:type="autofit"/>
        <w:tblLook w:firstColumn="1" w:firstRow="1" w:lastColumn="0" w:lastRow="0" w:noHBand="0" w:noVBand="1" w:val="04A0"/>
      </w:tblPr>
      <w:tblGrid>
        <w:gridCol w:w="5046"/>
        <w:gridCol w:w="5046"/>
      </w:tblGrid>
      <w:tr>
        <w:trPr>
          <w:cantSplit/>
          <w:tblHeader/>
        </w:trPr>
        <w:tc>
          <w:tcPr>
            <w:tcW w:type="dxa" w:w="5046"/>
            <w:shd w:fill="075D65"/>
          </w:tcPr>
          <w:p>
            <w:pPr>
              <w:spacing w:after="80"/>
            </w:pPr>
            <w:r>
              <w:rPr>
                <w:b/>
                <w:color w:val="FFFFFF"/>
                <w:sz w:val="18"/>
              </w:rPr>
              <w:t>Question</w:t>
            </w:r>
          </w:p>
        </w:tc>
        <w:tc>
          <w:tcPr>
            <w:tcW w:type="dxa" w:w="5046"/>
            <w:shd w:fill="075D65"/>
          </w:tcPr>
          <w:p>
            <w:pPr>
              <w:spacing w:after="80"/>
            </w:pPr>
            <w:r>
              <w:rPr>
                <w:b/>
                <w:color w:val="FFFFFF"/>
                <w:sz w:val="18"/>
              </w:rPr>
              <w:t>Décision et justification à renseigner</w:t>
            </w:r>
          </w:p>
        </w:tc>
      </w:tr>
      <w:tr>
        <w:trPr>
          <w:cantSplit/>
        </w:trPr>
        <w:tc>
          <w:tcPr>
            <w:tcW w:type="dxa" w:w="5046"/>
            <w:shd w:fill="EAF3F3"/>
          </w:tcPr>
          <w:p>
            <w:pPr>
              <w:spacing w:after="80"/>
            </w:pPr>
            <w:r>
              <w:rPr>
                <w:sz w:val="18"/>
              </w:rPr>
              <w:t>Quel modèle pour le pilote ?</w:t>
            </w:r>
          </w:p>
        </w:tc>
        <w:tc>
          <w:tcPr>
            <w:tcW w:type="dxa" w:w="5046"/>
            <w:shd w:fill="EAF3F3"/>
          </w:tcPr>
          <w:p>
            <w:pPr>
              <w:spacing w:after="80"/>
            </w:pPr>
            <w:r>
              <w:rPr>
                <w:sz w:val="18"/>
              </w:rPr>
              <w:t>[Transport, vente de véhicule ou autre ; périmètre retenu]</w:t>
            </w:r>
          </w:p>
        </w:tc>
      </w:tr>
      <w:tr>
        <w:trPr>
          <w:cantSplit/>
        </w:trPr>
        <w:tc>
          <w:tcPr>
            <w:tcW w:type="dxa" w:w="5046"/>
            <w:shd w:fill="F8FAFA"/>
          </w:tcPr>
          <w:p>
            <w:pPr>
              <w:spacing w:after="80"/>
            </w:pPr>
            <w:r>
              <w:rPr>
                <w:sz w:val="18"/>
              </w:rPr>
              <w:t>Quelle première gamme ?</w:t>
            </w:r>
          </w:p>
        </w:tc>
        <w:tc>
          <w:tcPr>
            <w:tcW w:type="dxa" w:w="5046"/>
            <w:shd w:fill="F8FAFA"/>
          </w:tcPr>
          <w:p>
            <w:pPr>
              <w:spacing w:after="80"/>
            </w:pPr>
            <w:r>
              <w:rPr>
                <w:sz w:val="18"/>
              </w:rPr>
              <w:t>[Produits, conditions, trajets et moyens]</w:t>
            </w:r>
          </w:p>
        </w:tc>
      </w:tr>
      <w:tr>
        <w:trPr>
          <w:cantSplit/>
        </w:trPr>
        <w:tc>
          <w:tcPr>
            <w:tcW w:type="dxa" w:w="5046"/>
            <w:shd w:fill="EAF3F3"/>
          </w:tcPr>
          <w:p>
            <w:pPr>
              <w:spacing w:after="80"/>
            </w:pPr>
            <w:r>
              <w:rPr>
                <w:sz w:val="18"/>
              </w:rPr>
              <w:t>Quelle forme sociale ?</w:t>
            </w:r>
          </w:p>
        </w:tc>
        <w:tc>
          <w:tcPr>
            <w:tcW w:type="dxa" w:w="5046"/>
            <w:shd w:fill="EAF3F3"/>
          </w:tcPr>
          <w:p>
            <w:pPr>
              <w:spacing w:after="80"/>
            </w:pPr>
            <w:r>
              <w:rPr>
                <w:sz w:val="18"/>
              </w:rPr>
              <w:t>[Choix, associés, capital et pouvoirs]</w:t>
            </w:r>
          </w:p>
        </w:tc>
      </w:tr>
      <w:tr>
        <w:trPr>
          <w:cantSplit/>
        </w:trPr>
        <w:tc>
          <w:tcPr>
            <w:tcW w:type="dxa" w:w="5046"/>
            <w:shd w:fill="F8FAFA"/>
          </w:tcPr>
          <w:p>
            <w:pPr>
              <w:spacing w:after="80"/>
            </w:pPr>
            <w:r>
              <w:rPr>
                <w:sz w:val="18"/>
              </w:rPr>
              <w:t>Quel dispositif qualité et RH ?</w:t>
            </w:r>
          </w:p>
        </w:tc>
        <w:tc>
          <w:tcPr>
            <w:tcW w:type="dxa" w:w="5046"/>
            <w:shd w:fill="F8FAFA"/>
          </w:tcPr>
          <w:p>
            <w:pPr>
              <w:spacing w:after="80"/>
            </w:pPr>
            <w:r>
              <w:rPr>
                <w:sz w:val="18"/>
              </w:rPr>
              <w:t>[Fonctions, personnes habilitées, moyens]</w:t>
            </w:r>
          </w:p>
        </w:tc>
      </w:tr>
      <w:tr>
        <w:trPr>
          <w:cantSplit/>
        </w:trPr>
        <w:tc>
          <w:tcPr>
            <w:tcW w:type="dxa" w:w="5046"/>
            <w:shd w:fill="EAF3F3"/>
          </w:tcPr>
          <w:p>
            <w:pPr>
              <w:spacing w:after="80"/>
            </w:pPr>
            <w:r>
              <w:rPr>
                <w:sz w:val="18"/>
              </w:rPr>
              <w:t>Quelles réserves ou propositions refusées ?</w:t>
            </w:r>
          </w:p>
        </w:tc>
        <w:tc>
          <w:tcPr>
            <w:tcW w:type="dxa" w:w="5046"/>
            <w:shd w:fill="EAF3F3"/>
          </w:tcPr>
          <w:p>
            <w:pPr>
              <w:spacing w:after="80"/>
            </w:pPr>
            <w:r>
              <w:rPr>
                <w:sz w:val="18"/>
              </w:rPr>
              <w:t>[Motifs et alternative retenue]</w:t>
            </w:r>
          </w:p>
        </w:tc>
      </w:tr>
    </w:tbl>
    <w:p>
      <w:pPr>
        <w:spacing w:after="40"/>
      </w:pPr>
    </w:p>
    <w:p>
      <w:r>
        <w:rPr>
          <w:b/>
        </w:rPr>
        <w:t>Validation :</w:t>
      </w:r>
      <w:r>
        <w:t xml:space="preserve"> date [à renseigner] ; participants [à renseigner] ; décideur habilité [à renseigner]. Ce formulaire laisse les choix aux humains et ne fabrique pas un compte rendu de réunion.</w:t>
      </w:r>
    </w:p>
    <w:p>
      <w:r>
        <w:br w:type="page"/>
      </w:r>
    </w:p>
    <w:p>
      <w:pPr>
        <w:pStyle w:val="Heading1"/>
      </w:pPr>
      <w:r>
        <w:t>Sources — Cadre juridique et qualité</w:t>
      </w:r>
    </w:p>
    <w:p>
      <w:r>
        <w:rPr>
          <w:b/>
        </w:rPr>
        <w:t>Consultation : 27 octobre 2026.</w:t>
      </w:r>
      <w:r>
        <w:t xml:space="preserve"> Les numéros d’articles et paragraphes servent au contrôle des affirmations. Les sources officielles consultées ne constituent pas, à elles seules, une validation administrative du projet.</w:t>
      </w:r>
    </w:p>
    <w:p>
      <w:r>
        <w:rPr>
          <w:b/>
        </w:rPr>
        <w:t>P01 — Répartition du groupe.</w:t>
      </w:r>
      <w:r>
        <w:t xml:space="preserve"> Tableau « tâche et livrable de chacun », ligne Juridique / RH et répartition des autres pôles. </w:t>
      </w:r>
      <w:hyperlink r:id="rId11">
        <w:r>
          <w:rPr>
            <w:color w:val="075D65"/>
            <w:u w:val="single"/>
          </w:rPr>
          <w:t>Dépôt du groupe</w:t>
        </w:r>
      </w:hyperlink>
      <w:r>
        <w:t>. Les précisions Côte d’Ivoire / pharma / frais proviennent du porteur du projet dans la conversation.</w:t>
      </w:r>
    </w:p>
    <w:p>
      <w:r>
        <w:rPr>
          <w:b/>
        </w:rPr>
        <w:t>S01 — OHADA, droit des sociétés commerciales et GIE.</w:t>
      </w:r>
      <w:r>
        <w:t xml:space="preserve"> Page officielle de l’Acte uniforme révisé en 2014 ; cadre des SARL et SAS. </w:t>
      </w:r>
      <w:hyperlink r:id="rId12">
        <w:r>
          <w:rPr>
            <w:color w:val="075D65"/>
            <w:u w:val="single"/>
          </w:rPr>
          <w:t>Texte et présentation</w:t>
        </w:r>
      </w:hyperlink>
      <w:r>
        <w:t>.</w:t>
      </w:r>
    </w:p>
    <w:p>
      <w:r>
        <w:rPr>
          <w:b/>
        </w:rPr>
        <w:t>S02 — CEPICI, création d’entreprise.</w:t>
      </w:r>
      <w:r>
        <w:t xml:space="preserve"> Dossiers par forme juridique. À contrôler lors du dépôt pour les pièces, frais et modalités à jour. </w:t>
      </w:r>
      <w:hyperlink r:id="rId13">
        <w:r>
          <w:rPr>
            <w:color w:val="075D65"/>
            <w:u w:val="single"/>
          </w:rPr>
          <w:t>Guichet de création</w:t>
        </w:r>
      </w:hyperlink>
      <w:r>
        <w:t>.</w:t>
      </w:r>
    </w:p>
    <w:p>
      <w:r>
        <w:rPr>
          <w:b/>
        </w:rPr>
        <w:t>S03 — Office ivoirien des chargeurs, Document unique de transport.</w:t>
      </w:r>
      <w:r>
        <w:t xml:space="preserve"> Rubriques « Qu’est-ce que le DUT ? » et « Les transports exemptés du DUT » : rôle du document et distinction compte d’autrui / compte propre. </w:t>
      </w:r>
      <w:hyperlink r:id="rId14">
        <w:r>
          <w:rPr>
            <w:color w:val="075D65"/>
            <w:u w:val="single"/>
          </w:rPr>
          <w:t>Présentation du DUT</w:t>
        </w:r>
      </w:hyperlink>
      <w:r>
        <w:t>.</w:t>
      </w:r>
    </w:p>
    <w:p>
      <w:r>
        <w:rPr>
          <w:b/>
        </w:rPr>
        <w:t>S04 — OHADA, Acte uniforme relatif aux contrats de transport de marchandises par route, 22 mars 2003.</w:t>
      </w:r>
      <w:r>
        <w:t xml:space="preserve"> Art. 1–2 : champ ; art. 4–5 : lettre de voiture ; art. 16–18 et 21 : responsabilité ; art. 28 : règles impératives. </w:t>
      </w:r>
      <w:hyperlink r:id="rId15">
        <w:r>
          <w:rPr>
            <w:color w:val="075D65"/>
            <w:u w:val="single"/>
          </w:rPr>
          <w:t>Présentation OHADA</w:t>
        </w:r>
      </w:hyperlink>
      <w:r>
        <w:t xml:space="preserve"> ; </w:t>
      </w:r>
      <w:hyperlink r:id="rId16">
        <w:r>
          <w:rPr>
            <w:color w:val="075D65"/>
            <w:u w:val="single"/>
          </w:rPr>
          <w:t>Journal officiel, copie hébergée par le ministère de la Justice du Sénégal</w:t>
        </w:r>
      </w:hyperlink>
      <w:r>
        <w:t>.</w:t>
      </w:r>
    </w:p>
    <w:p>
      <w:r>
        <w:rPr>
          <w:b/>
        </w:rPr>
        <w:t>S05 — Côte d’Ivoire, loi n° 2017-541 du 3 août 2017 relative à la régulation du secteur pharmaceutique.</w:t>
      </w:r>
      <w:r>
        <w:t xml:space="preserve"> Art. 1 et 7 ; Journal officiel, copie hébergée FAO. </w:t>
      </w:r>
      <w:hyperlink r:id="rId17">
        <w:r>
          <w:rPr>
            <w:color w:val="075D65"/>
            <w:u w:val="single"/>
          </w:rPr>
          <w:t>Texte</w:t>
        </w:r>
      </w:hyperlink>
      <w:r>
        <w:t>.</w:t>
      </w:r>
    </w:p>
    <w:p>
      <w:r>
        <w:rPr>
          <w:b/>
        </w:rPr>
        <w:t>S06 — Côte d’Ivoire, loi n° 2015-533 du 20 juillet 2015 relative à l’exercice de la pharmacie.</w:t>
      </w:r>
      <w:r>
        <w:t xml:space="preserve"> Art. 41–44, établissements et responsabilité pharmaceutiques. Copie hébergée OMS. </w:t>
      </w:r>
      <w:hyperlink r:id="rId18">
        <w:r>
          <w:rPr>
            <w:color w:val="075D65"/>
            <w:u w:val="single"/>
          </w:rPr>
          <w:t>Texte</w:t>
        </w:r>
      </w:hyperlink>
      <w:r>
        <w:t>.</w:t>
      </w:r>
    </w:p>
    <w:p>
      <w:r>
        <w:rPr>
          <w:b/>
        </w:rPr>
        <w:t>S07 — UEMOA, guide de bonnes pratiques de distribution et d’importation, annexe à la décision n° 09/2010/CM/UEMOA.</w:t>
      </w:r>
      <w:r>
        <w:t xml:space="preserve"> § 1.19–1.24 : formation ; § 1.53–1.55 : sous-traitance ; § 2.19–2.25 : véhicules/équipements ; chapitre 4 : transport. Guide hébergé par le GUCE ivoirien ; application au statut du projet à préciser avec l’AIRP. </w:t>
      </w:r>
      <w:hyperlink r:id="rId19">
        <w:r>
          <w:rPr>
            <w:color w:val="075D65"/>
            <w:u w:val="single"/>
          </w:rPr>
          <w:t>Texte</w:t>
        </w:r>
      </w:hyperlink>
      <w:r>
        <w:t>.</w:t>
      </w:r>
    </w:p>
    <w:p>
      <w:r>
        <w:rPr>
          <w:b/>
        </w:rPr>
        <w:t>S08 — OMS, TRS 1025, annexe 7, 2020.</w:t>
      </w:r>
      <w:r>
        <w:t xml:space="preserve"> Bonnes pratiques de stockage et distribution des produits médicaux, notamment § 18.13 et 18.21–18.26. Référence technique internationale, distincte d’une autorisation nationale. </w:t>
      </w:r>
      <w:hyperlink r:id="rId20">
        <w:r>
          <w:rPr>
            <w:color w:val="075D65"/>
            <w:u w:val="single"/>
          </w:rPr>
          <w:t>Publication officielle</w:t>
        </w:r>
      </w:hyperlink>
      <w:r>
        <w:t>.</w:t>
      </w:r>
    </w:p>
    <w:p>
      <w:r>
        <w:br w:type="page"/>
      </w:r>
    </w:p>
    <w:p>
      <w:pPr>
        <w:pStyle w:val="Heading1"/>
      </w:pPr>
      <w:r>
        <w:t>Sources — Sanitaire, assurances, emploi et données</w:t>
      </w:r>
    </w:p>
    <w:p>
      <w:r>
        <w:rPr>
          <w:b/>
        </w:rPr>
        <w:t>S09 — Côte d’Ivoire, loi n° 2020-995 du 30 décembre 2020 portant Code de la santé publique vétérinaire.</w:t>
      </w:r>
      <w:r>
        <w:t xml:space="preserve"> Art. 169–175, 183 et 189 ; pages imprimées 50–52 du JO, pages PDF 18–20. Journal officiel hébergé FAO. </w:t>
      </w:r>
      <w:hyperlink r:id="rId21">
        <w:r>
          <w:rPr>
            <w:color w:val="075D65"/>
            <w:u w:val="single"/>
          </w:rPr>
          <w:t>Texte</w:t>
        </w:r>
      </w:hyperlink>
      <w:r>
        <w:t>. Les textes d’application et la procédure d’agrément restent à préciser pour le pilote.</w:t>
      </w:r>
    </w:p>
    <w:p>
      <w:r>
        <w:rPr>
          <w:b/>
        </w:rPr>
        <w:t>S10 — CIMA, Code des assurances, articles 200 et 206.</w:t>
      </w:r>
      <w:r>
        <w:t xml:space="preserve"> Obligation de responsabilité civile automobile ; l’obligation ne porte pas sur les dommages aux marchandises transportées. Une garantie du chargement ou de la panne frigorifique doit être examinée séparément. </w:t>
      </w:r>
      <w:hyperlink r:id="rId22">
        <w:r>
          <w:rPr>
            <w:color w:val="075D65"/>
            <w:u w:val="single"/>
          </w:rPr>
          <w:t>Article 200</w:t>
        </w:r>
      </w:hyperlink>
      <w:r>
        <w:t xml:space="preserve"> ; </w:t>
      </w:r>
      <w:hyperlink r:id="rId23">
        <w:r>
          <w:rPr>
            <w:color w:val="075D65"/>
            <w:u w:val="single"/>
          </w:rPr>
          <w:t>article 206, 4°</w:t>
        </w:r>
      </w:hyperlink>
      <w:r>
        <w:t>.</w:t>
      </w:r>
    </w:p>
    <w:p>
      <w:r>
        <w:rPr>
          <w:b/>
        </w:rPr>
        <w:t>S11 — Côte d’Ivoire, loi n° 2015-532 du 20 juillet 2015 portant Code du travail.</w:t>
      </w:r>
      <w:r>
        <w:t xml:space="preserve"> Art. 21.2, 41.2–41.3 et 43.1–43.2. Le catalogue CEPICI mentionne également l’ordonnance modificative n° 2021-902 : vérifier l’ensemble applicable avant contractualisation. </w:t>
      </w:r>
      <w:hyperlink r:id="rId24">
        <w:r>
          <w:rPr>
            <w:color w:val="075D65"/>
            <w:u w:val="single"/>
          </w:rPr>
          <w:t>Catalogue officiel</w:t>
        </w:r>
      </w:hyperlink>
      <w:r>
        <w:t xml:space="preserve"> ; </w:t>
      </w:r>
      <w:hyperlink r:id="rId25">
        <w:r>
          <w:rPr>
            <w:color w:val="075D65"/>
            <w:u w:val="single"/>
          </w:rPr>
          <w:t>Code de 2015, copie CEPICI</w:t>
        </w:r>
      </w:hyperlink>
      <w:r>
        <w:t>.</w:t>
      </w:r>
    </w:p>
    <w:p>
      <w:r>
        <w:rPr>
          <w:b/>
        </w:rPr>
        <w:t>S12 — CNPS Côte d’Ivoire, espace employeur.</w:t>
      </w:r>
      <w:r>
        <w:t xml:space="preserve"> Rubrique « Déclaration du travailleur » : déclaration dès le premier jour d’embauche ; obligations employeur. Ne pas reprendre les anciens montants historiques figurant ailleurs sur cette page comme barèmes actuels. </w:t>
      </w:r>
      <w:hyperlink r:id="rId26">
        <w:r>
          <w:rPr>
            <w:color w:val="075D65"/>
            <w:u w:val="single"/>
          </w:rPr>
          <w:t>Guide employeur</w:t>
        </w:r>
      </w:hyperlink>
      <w:r>
        <w:t>.</w:t>
      </w:r>
    </w:p>
    <w:p>
      <w:r>
        <w:rPr>
          <w:b/>
        </w:rPr>
        <w:t>S13 — Côte d’Ivoire, loi n° 2013-450 du 19 juin 2013 relative à la protection des données à caractère personnel.</w:t>
      </w:r>
      <w:r>
        <w:t xml:space="preserve"> Art. 5–7 : déclaration, exemptions et autorisation selon les traitements. Formalités à déterminer avec l’autorité de protection ; ne pas substituer automatiquement le RGPD européen. </w:t>
      </w:r>
      <w:hyperlink r:id="rId27">
        <w:r>
          <w:rPr>
            <w:color w:val="075D65"/>
            <w:u w:val="single"/>
          </w:rPr>
          <w:t>Loi sur le site de l’autorité</w:t>
        </w:r>
      </w:hyperlink>
      <w:r>
        <w:t xml:space="preserve"> ; </w:t>
      </w:r>
      <w:hyperlink r:id="rId28">
        <w:r>
          <w:rPr>
            <w:color w:val="075D65"/>
            <w:u w:val="single"/>
          </w:rPr>
          <w:t>obligations du responsable</w:t>
        </w:r>
      </w:hyperlink>
      <w:r>
        <w:t>.</w:t>
      </w:r>
    </w:p>
    <w:p>
      <w:r>
        <w:rPr>
          <w:b/>
        </w:rPr>
        <w:t>S14 — AIRP, présentation et compétences.</w:t>
      </w:r>
      <w:r>
        <w:t xml:space="preserve"> Autorité destinataire des questions sur le statut pharmaceutique du modèle. </w:t>
      </w:r>
      <w:hyperlink r:id="rId29">
        <w:r>
          <w:rPr>
            <w:color w:val="075D65"/>
            <w:u w:val="single"/>
          </w:rPr>
          <w:t>Institution</w:t>
        </w:r>
      </w:hyperlink>
      <w:r>
        <w:t>.</w:t>
      </w:r>
    </w:p>
    <w:p>
      <w:r>
        <w:rPr>
          <w:b/>
        </w:rPr>
        <w:t>S15 — Ministère des Transports de Côte d’Ivoire.</w:t>
      </w:r>
      <w:r>
        <w:t xml:space="preserve"> Fiche « carte de transport », p. 2 : registre des transporteurs publics et pièces ; procédure actuelle à confirmer pour le véhicule retenu. </w:t>
      </w:r>
      <w:hyperlink r:id="rId30">
        <w:r>
          <w:rPr>
            <w:color w:val="075D65"/>
            <w:u w:val="single"/>
          </w:rPr>
          <w:t>Fiche officielle</w:t>
        </w:r>
      </w:hyperlink>
      <w:r>
        <w:t>. Ce document ne constitue pas une autorisation accordée à SOLAR WRAP.</w:t>
      </w:r>
    </w:p>
    <w:p>
      <w:r>
        <w:rPr>
          <w:b/>
        </w:rPr>
        <w:t>S16 — Ministère des Ressources animales et halieutiques.</w:t>
      </w:r>
      <w:r>
        <w:t xml:space="preserve"> Point d’entrée pour les services vétérinaires compétents et les démarches DAOA. </w:t>
      </w:r>
      <w:hyperlink r:id="rId31">
        <w:r>
          <w:rPr>
            <w:color w:val="075D65"/>
            <w:u w:val="single"/>
          </w:rPr>
          <w:t>Portail</w:t>
        </w:r>
      </w:hyperlink>
      <w:r>
        <w:t>. Les modalités propres au projet restent à obtenir.</w:t>
      </w:r>
    </w:p>
    <w:p>
      <w:r>
        <w:rPr>
          <w:b/>
        </w:rPr>
        <w:t>S17 — OAPI, marques.</w:t>
      </w:r>
      <w:r>
        <w:t xml:space="preserve"> Références et procédures de protection des signes distinctifs dans le système régional. </w:t>
      </w:r>
      <w:hyperlink r:id="rId32">
        <w:r>
          <w:rPr>
            <w:color w:val="075D65"/>
            <w:u w:val="single"/>
          </w:rPr>
          <w:t>Organisation africaine de la propriété intellectuelle</w:t>
        </w:r>
      </w:hyperlink>
      <w:r>
        <w:t>.</w:t>
      </w:r>
    </w:p>
    <w:p>
      <w:pPr>
        <w:pStyle w:val="Heading3"/>
      </w:pPr>
      <w:r>
        <w:t>Limites de la vérification et suivi</w:t>
      </w:r>
    </w:p>
    <w:p>
      <w:r>
        <w:t>Les titres routiers exacts et leur régime actuel, l’application du statut pharmaceutique au prestataire, les formalités sanitaires par produit et les barèmes sociaux n’ont pas tous été établis de façon définitive. Ils sont identifiés comme démarches à compléter. Aucun ancien décret routier n’est utilisé ici comme preuve autonome d’un régime actuel.</w:t>
      </w:r>
    </w:p>
    <w:p>
      <w:r>
        <w:t>La gamme exacte des produits, le budget, les trajets, les caractéristiques du véhicule, les associés et les données RH ne sont pas établis. Ils devront être renseignés sans inventer de faits, prix, agréments, partenaires ou contrats.</w:t>
      </w:r>
    </w:p>
    <w:p>
      <w:r>
        <w:rPr>
          <w:b/>
        </w:rPr>
        <w:t>Version :</w:t>
      </w:r>
      <w:r>
        <w:t xml:space="preserve"> ce dossier Côte d’Ivoire remplace, pour le présent projet, la note générique initiale fondée sur l’hypothèse française. Celle-ci reste une ancienne version et ne doit pas servir de référence opérationnelle.</w:t>
      </w:r>
    </w:p>
    <w:sectPr w:rsidR="00FC693F" w:rsidRPr="0006063C" w:rsidSect="00034616">
      <w:headerReference w:type="default" r:id="rId9"/>
      <w:footerReference w:type="default" r:id="rId10"/>
      <w:pgSz w:w="11906" w:h="16838"/>
      <w:pgMar w:top="935"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Groupe 8  ·  Version 2  ·  27 octobre 2026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075D65"/>
        <w:sz w:val="16"/>
      </w:rPr>
      <w:t>SOLAR WRAP   /   CÔTE D’IVOIRE                                      JURIDIQUE &amp; RH — MAXIME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7343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80"/>
      <w:outlineLvl w:val="0"/>
    </w:pPr>
    <w:rPr>
      <w:rFonts w:asciiTheme="majorHAnsi" w:eastAsiaTheme="majorEastAsia" w:hAnsiTheme="majorHAnsi" w:cstheme="majorBidi" w:ascii="Calibri" w:hAnsi="Calibri"/>
      <w:b/>
      <w:bCs/>
      <w:color w:val="075D65"/>
      <w:sz w:val="38"/>
      <w:szCs w:val="28"/>
    </w:rPr>
  </w:style>
  <w:style w:type="paragraph" w:styleId="Heading2">
    <w:name w:val="heading 2"/>
    <w:basedOn w:val="Normal"/>
    <w:next w:val="Normal"/>
    <w:link w:val="Heading2Char"/>
    <w:uiPriority w:val="9"/>
    <w:unhideWhenUsed/>
    <w:qFormat/>
    <w:rsid w:val="00FC693F"/>
    <w:pPr>
      <w:keepNext/>
      <w:keepLines/>
      <w:spacing w:before="80" w:after="180"/>
      <w:outlineLvl w:val="1"/>
    </w:pPr>
    <w:rPr>
      <w:rFonts w:asciiTheme="majorHAnsi" w:eastAsiaTheme="majorEastAsia" w:hAnsiTheme="majorHAnsi" w:cstheme="majorBidi" w:ascii="Calibri" w:hAnsi="Calibri"/>
      <w:b/>
      <w:bCs/>
      <w:color w:val="075D65"/>
      <w:sz w:val="32"/>
      <w:szCs w:val="26"/>
    </w:rPr>
  </w:style>
  <w:style w:type="paragraph" w:styleId="Heading3">
    <w:name w:val="heading 3"/>
    <w:basedOn w:val="Normal"/>
    <w:next w:val="Normal"/>
    <w:link w:val="Heading3Char"/>
    <w:uiPriority w:val="9"/>
    <w:unhideWhenUsed/>
    <w:qFormat/>
    <w:rsid w:val="00FC693F"/>
    <w:pPr>
      <w:keepNext/>
      <w:keepLines/>
      <w:spacing w:before="80" w:after="180"/>
      <w:outlineLvl w:val="2"/>
    </w:pPr>
    <w:rPr>
      <w:rFonts w:asciiTheme="majorHAnsi" w:eastAsiaTheme="majorEastAsia" w:hAnsiTheme="majorHAnsi" w:cstheme="majorBidi" w:ascii="Calibri" w:hAnsi="Calibri"/>
      <w:b/>
      <w:bCs/>
      <w:color w:val="075D6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80" w:line="240" w:lineRule="auto" w:before="80"/>
      <w:contextualSpacing/>
    </w:pPr>
    <w:rPr>
      <w:rFonts w:asciiTheme="majorHAnsi" w:eastAsiaTheme="majorEastAsia" w:hAnsiTheme="majorHAnsi" w:cstheme="majorBidi" w:ascii="Calibri" w:hAnsi="Calibri"/>
      <w:color w:val="075D65"/>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anobla78-prog/GROUPE-8-PROJET-SOLAR-WRAP/blob/main/tache%20et%20livrable%20de%20chacun.md" TargetMode="External"/><Relationship Id="rId12" Type="http://schemas.openxmlformats.org/officeDocument/2006/relationships/hyperlink" Target="https://www.ohada.org/droit-des-societes-commerciales-et-du-gie/" TargetMode="External"/><Relationship Id="rId13" Type="http://schemas.openxmlformats.org/officeDocument/2006/relationships/hyperlink" Target="https://www.cepici.ci/index.php/creation-entreprise" TargetMode="External"/><Relationship Id="rId14" Type="http://schemas.openxmlformats.org/officeDocument/2006/relationships/hyperlink" Target="https://www.oic.ci/source/fr/includes/dut/fr/index.php" TargetMode="External"/><Relationship Id="rId15" Type="http://schemas.openxmlformats.org/officeDocument/2006/relationships/hyperlink" Target="https://www.ohada.org/contrats-de-transport-de-marchandises-par-route/" TargetMode="External"/><Relationship Id="rId16" Type="http://schemas.openxmlformats.org/officeDocument/2006/relationships/hyperlink" Target="https://justice.sec.gouv.sn/wp-content/uploads/textes-reglements/OHADA/Acte-uniforme-relatif-contrats-transport-marchandises-route.pdf" TargetMode="External"/><Relationship Id="rId17" Type="http://schemas.openxmlformats.org/officeDocument/2006/relationships/hyperlink" Target="https://faolex.fao.org/docs/pdf/IVC187369.pdf" TargetMode="External"/><Relationship Id="rId18" Type="http://schemas.openxmlformats.org/officeDocument/2006/relationships/hyperlink" Target="https://extranet.who.int/cpcd/sites/default/files/public_file_repository/CIV_Cote-d-Ivoire_Loi_2015-533-exercice-pharmacie_2015.pdf" TargetMode="External"/><Relationship Id="rId19" Type="http://schemas.openxmlformats.org/officeDocument/2006/relationships/hyperlink" Target="https://www.gucecotedivoire.ci/pwic/wp-content/uploads/LOIS/UEMOA-BPD.pdf" TargetMode="External"/><Relationship Id="rId20" Type="http://schemas.openxmlformats.org/officeDocument/2006/relationships/hyperlink" Target="https://www.who.int/fr/publications/m/item/trs-1025-annex-7" TargetMode="External"/><Relationship Id="rId21" Type="http://schemas.openxmlformats.org/officeDocument/2006/relationships/hyperlink" Target="https://faolex.fao.org/docs/pdf/ivc209979.pdf" TargetMode="External"/><Relationship Id="rId22" Type="http://schemas.openxmlformats.org/officeDocument/2006/relationships/hyperlink" Target="https://cima-afrique.org/wp-content/code-cima/fr/Article200Personnesassujetties-P.html" TargetMode="External"/><Relationship Id="rId23" Type="http://schemas.openxmlformats.org/officeDocument/2006/relationships/hyperlink" Target="https://cima-afrique.org/wp-content/code-cima/fr/Article206Exclusionsautorisees.html" TargetMode="External"/><Relationship Id="rId24" Type="http://schemas.openxmlformats.org/officeDocument/2006/relationships/hyperlink" Target="https://www.cepici.ci/index.php/autre-code" TargetMode="External"/><Relationship Id="rId25" Type="http://schemas.openxmlformats.org/officeDocument/2006/relationships/hyperlink" Target="https://www.cepici.ci/admin/pdf/codeinvestir/1741193063.pdf" TargetMode="External"/><Relationship Id="rId26" Type="http://schemas.openxmlformats.org/officeDocument/2006/relationships/hyperlink" Target="https://www.cnps.ci/employeur/" TargetMode="External"/><Relationship Id="rId27" Type="http://schemas.openxmlformats.org/officeDocument/2006/relationships/hyperlink" Target="https://www.autoritedeprotection.ci/docs/Loi-2013-450.pdf" TargetMode="External"/><Relationship Id="rId28" Type="http://schemas.openxmlformats.org/officeDocument/2006/relationships/hyperlink" Target="https://www.autoritedeprotection.ci/obligation-du-responsable-du-traitement/" TargetMode="External"/><Relationship Id="rId29" Type="http://schemas.openxmlformats.org/officeDocument/2006/relationships/hyperlink" Target="https://airp.ci/a-propos-de-nous/1/linstitution" TargetMode="External"/><Relationship Id="rId30" Type="http://schemas.openxmlformats.org/officeDocument/2006/relationships/hyperlink" Target="https://www.transports.gouv.ci/sites/default/files/carte_transport.pdf" TargetMode="External"/><Relationship Id="rId31" Type="http://schemas.openxmlformats.org/officeDocument/2006/relationships/hyperlink" Target="https://www.ressourcesanimales.gouv.ci/" TargetMode="External"/><Relationship Id="rId32" Type="http://schemas.openxmlformats.org/officeDocument/2006/relationships/hyperlink" Target="https://oapi.i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SOLAR WRAP — Note juridique et organisation RH — Côte d’Ivoire</dc:title>
  <dc:subject/>
  <dc:creator>Maxime — Groupe 8</dc:creator>
  <cp:keywords/>
  <dc:description>generated by python-docx</dc:description>
  <cp:lastModifiedBy/>
  <cp:revision>1</cp:revision>
  <dcterms:created xsi:type="dcterms:W3CDTF">2013-12-23T23:15:00Z</dcterms:created>
  <dcterms:modified xsi:type="dcterms:W3CDTF">2013-12-23T23:15:00Z</dcterms:modified>
  <cp:category/>
</cp:coreProperties>
</file>