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57"/>
        <w:gridCol w:w="3005"/>
      </w:tblGrid>
      <w:tr>
        <w:tc>
          <w:tcPr>
            <w:tcW w:type="dxa" w:w="5156"/>
            <w:shd w:fill="17324D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1"/>
              </w:rPr>
              <w:t>SOLAR WRAP</w:t>
            </w:r>
          </w:p>
        </w:tc>
        <w:tc>
          <w:tcPr>
            <w:tcW w:type="dxa" w:w="5156"/>
            <w:shd w:fill="17324D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FFFFFF"/>
                <w:sz w:val="17"/>
              </w:rPr>
              <w:t>NOTE COMEX • 26/10/2026</w:t>
            </w:r>
          </w:p>
        </w:tc>
      </w:tr>
    </w:tbl>
    <w:p/>
    <w:p>
      <w:pPr>
        <w:pStyle w:val="Title"/>
        <w:jc w:val="left"/>
      </w:pPr>
      <w:r>
        <w:t>Proposition de valeur et positionnement stratégique</w:t>
      </w:r>
    </w:p>
    <w:p>
      <w:pPr>
        <w:spacing w:after="200"/>
      </w:pPr>
      <w:r>
        <w:rPr>
          <w:rFonts w:ascii="Arial" w:hAnsi="Arial"/>
          <w:b/>
          <w:color w:val="C99927"/>
          <w:sz w:val="24"/>
        </w:rPr>
        <w:t>Vehicle Energy Skin pour les flottes professionnelles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FF7E2"/>
            <w:tcMar>
              <w:top w:w="180" w:type="dxa"/>
              <w:start w:w="180" w:type="dxa"/>
              <w:bottom w:w="180" w:type="dxa"/>
              <w:end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42F4A"/>
                <w:sz w:val="22"/>
              </w:rPr>
              <w:t>SOLAR WRAP aide les entreprises disposant de flottes de camions, bus, utilitaires ou véhicules hybrides et électriques à réduire leur consommation d’énergie, leurs coûts d’exploitation et leur empreinte carbone, en transformant les surfaces disponibles du véhicule en surfaces de production d’électricité solaire.</w:t>
            </w:r>
          </w:p>
        </w:tc>
      </w:tr>
    </w:tbl>
    <w:p>
      <w:pPr>
        <w:pStyle w:val="Heading1"/>
      </w:pPr>
      <w:r>
        <w:t>1. Le problème client</w:t>
      </w:r>
    </w:p>
    <w:p>
      <w:pPr>
        <w:pStyle w:val="ListBullet"/>
        <w:spacing w:after="40"/>
        <w:ind w:left="170"/>
      </w:pPr>
      <w:r>
        <w:rPr>
          <w:rFonts w:ascii="Arial" w:hAnsi="Arial"/>
          <w:sz w:val="20"/>
        </w:rPr>
        <w:t>Les flottes professionnelles consomment quotidiennement du carburant ou de l’électricité pour la traction et les équipements auxiliaires.</w:t>
      </w:r>
    </w:p>
    <w:p>
      <w:pPr>
        <w:pStyle w:val="ListBullet"/>
        <w:spacing w:after="40"/>
        <w:ind w:left="170"/>
      </w:pPr>
      <w:r>
        <w:rPr>
          <w:rFonts w:ascii="Arial" w:hAnsi="Arial"/>
          <w:sz w:val="20"/>
        </w:rPr>
        <w:t>Les camions frigorifiques, bus et véhicules industriels ont en plus des besoins énergétiques permanents : froid, climatisation, ventilation, électronique, batteries auxiliaires.</w:t>
      </w:r>
    </w:p>
    <w:p>
      <w:pPr>
        <w:pStyle w:val="ListBullet"/>
        <w:spacing w:after="40"/>
        <w:ind w:left="170"/>
      </w:pPr>
      <w:r>
        <w:rPr>
          <w:rFonts w:ascii="Arial" w:hAnsi="Arial"/>
          <w:sz w:val="20"/>
        </w:rPr>
        <w:t>Une grande partie des surfaces du véhicule reste exposée au soleil mais ne produit aucune énergie.</w:t>
      </w:r>
    </w:p>
    <w:p>
      <w:pPr>
        <w:pStyle w:val="ListBullet"/>
        <w:spacing w:after="40"/>
        <w:ind w:left="170"/>
      </w:pPr>
      <w:r>
        <w:rPr>
          <w:rFonts w:ascii="Arial" w:hAnsi="Arial"/>
          <w:sz w:val="20"/>
        </w:rPr>
        <w:t>Les entreprises doivent simultanément réduire leur TCO, maîtriser leurs dépenses énergétiques et diminuer leurs émissions de CO₂.</w:t>
      </w:r>
    </w:p>
    <w:p>
      <w:pPr>
        <w:pStyle w:val="Heading1"/>
      </w:pPr>
      <w:r>
        <w:t>2. La solution SOLAR WRAP</w:t>
      </w:r>
    </w:p>
    <w:p>
      <w:pPr>
        <w:spacing w:after="80"/>
      </w:pPr>
      <w:r>
        <w:rPr>
          <w:b/>
          <w:color w:val="142F4A"/>
        </w:rPr>
        <w:t>SOLAR WRAP est une solution photovoltaïque intégrée au véhicule, pensée comme une « peau énergétique ».</w:t>
      </w:r>
    </w:p>
    <w:p>
      <w:pPr>
        <w:pStyle w:val="ListBullet"/>
        <w:spacing w:after="40"/>
        <w:ind w:left="170"/>
      </w:pPr>
      <w:r>
        <w:rPr>
          <w:rFonts w:ascii="Arial" w:hAnsi="Arial"/>
          <w:sz w:val="20"/>
        </w:rPr>
        <w:t>Utilisation de modules photovoltaïques à haut rendement sur les zones adaptées, notamment les toits.</w:t>
      </w:r>
    </w:p>
    <w:p>
      <w:pPr>
        <w:pStyle w:val="ListBullet"/>
        <w:spacing w:after="40"/>
        <w:ind w:left="170"/>
      </w:pPr>
      <w:r>
        <w:rPr>
          <w:rFonts w:ascii="Arial" w:hAnsi="Arial"/>
          <w:sz w:val="20"/>
        </w:rPr>
        <w:t>Utilisation de films photovoltaïques flexibles sur les surfaces courbes ou difficiles à équiper avec des panneaux traditionnels.</w:t>
      </w:r>
    </w:p>
    <w:p>
      <w:pPr>
        <w:pStyle w:val="ListBullet"/>
        <w:spacing w:after="40"/>
        <w:ind w:left="170"/>
      </w:pPr>
      <w:r>
        <w:rPr>
          <w:rFonts w:ascii="Arial" w:hAnsi="Arial"/>
          <w:sz w:val="20"/>
        </w:rPr>
        <w:t>Installation pensée pour être légère, intégrée, modulaire et compatible avec le retrofit de véhicules existants.</w:t>
      </w:r>
    </w:p>
    <w:p>
      <w:pPr>
        <w:pStyle w:val="ListBullet"/>
        <w:spacing w:after="40"/>
        <w:ind w:left="170"/>
      </w:pPr>
      <w:r>
        <w:rPr>
          <w:rFonts w:ascii="Arial" w:hAnsi="Arial"/>
          <w:sz w:val="20"/>
        </w:rPr>
        <w:t>Gestion intelligente de l’énergie produite via SOLAR CONTROL : suivi des kWh, économies réalisées, CO₂ évité et performance par véhicule.</w:t>
      </w:r>
    </w:p>
    <w:p>
      <w:pPr>
        <w:pStyle w:val="Heading1"/>
      </w:pPr>
      <w:r>
        <w:t>3. Notre différenciation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9"/>
              </w:rPr>
              <w:t>Solutions photovoltaïques conventionnelles</w:t>
            </w:r>
          </w:p>
        </w:tc>
        <w:tc>
          <w:tcPr>
            <w:tcW w:type="dxa" w:w="5156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9"/>
              </w:rPr>
              <w:t>SOLAR WRAP</w:t>
            </w:r>
          </w:p>
        </w:tc>
      </w:tr>
      <w:tr>
        <w:tc>
          <w:tcPr>
            <w:tcW w:type="dxa" w:w="51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Principalement adaptées aux surfaces planes</w:t>
            </w:r>
          </w:p>
        </w:tc>
        <w:tc>
          <w:tcPr>
            <w:tcW w:type="dxa" w:w="51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Exploite aussi les surfaces courbes et complexes</w:t>
            </w:r>
          </w:p>
        </w:tc>
      </w:tr>
      <w:tr>
        <w:tc>
          <w:tcPr>
            <w:tcW w:type="dxa" w:w="51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Intégration souvent ajoutée au véhicule</w:t>
            </w:r>
          </w:p>
        </w:tc>
        <w:tc>
          <w:tcPr>
            <w:tcW w:type="dxa" w:w="51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Approche pensée dès l’origine comme une peau énergétique</w:t>
            </w:r>
          </w:p>
        </w:tc>
      </w:tr>
      <w:tr>
        <w:tc>
          <w:tcPr>
            <w:tcW w:type="dxa" w:w="51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Solution essentiellement matérielle</w:t>
            </w:r>
          </w:p>
        </w:tc>
        <w:tc>
          <w:tcPr>
            <w:tcW w:type="dxa" w:w="51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Matériel + électronique + données + monitoring</w:t>
            </w:r>
          </w:p>
        </w:tc>
      </w:tr>
      <w:tr>
        <w:tc>
          <w:tcPr>
            <w:tcW w:type="dxa" w:w="51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Peu de personnalisation par véhicule</w:t>
            </w:r>
          </w:p>
        </w:tc>
        <w:tc>
          <w:tcPr>
            <w:tcW w:type="dxa" w:w="51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Kits et architecture adaptés à chaque catégorie de flotte</w:t>
            </w:r>
          </w:p>
        </w:tc>
      </w:tr>
      <w:tr>
        <w:tc>
          <w:tcPr>
            <w:tcW w:type="dxa" w:w="51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Valeur centrée sur les kWh produits</w:t>
            </w:r>
          </w:p>
        </w:tc>
        <w:tc>
          <w:tcPr>
            <w:tcW w:type="dxa" w:w="51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Valeur centrée sur le TCO, les économies et la décarbonation mesurable</w:t>
            </w:r>
          </w:p>
        </w:tc>
      </w:tr>
    </w:tbl>
    <w:p>
      <w:pPr>
        <w:pStyle w:val="Heading1"/>
      </w:pPr>
      <w:r>
        <w:t>4. Cible prioritaire</w:t>
      </w:r>
    </w:p>
    <w:p>
      <w:r>
        <w:rPr>
          <w:b/>
          <w:color w:val="142F4A"/>
        </w:rPr>
        <w:t>Beachhead market recommandé : grandes flottes de véhicules frigorifiques.</w:t>
      </w:r>
    </w:p>
    <w:p>
      <w:pPr>
        <w:pStyle w:val="ListBullet"/>
        <w:spacing w:after="40"/>
        <w:ind w:left="170"/>
      </w:pPr>
      <w:r>
        <w:rPr>
          <w:rFonts w:ascii="Arial" w:hAnsi="Arial"/>
          <w:sz w:val="20"/>
        </w:rPr>
        <w:t>Flottes de camions frigorifiques, semi-remorques, porteurs et véhicules de distribution.</w:t>
      </w:r>
    </w:p>
    <w:p>
      <w:pPr>
        <w:pStyle w:val="ListBullet"/>
        <w:spacing w:after="40"/>
        <w:ind w:left="170"/>
      </w:pPr>
      <w:r>
        <w:rPr>
          <w:rFonts w:ascii="Arial" w:hAnsi="Arial"/>
          <w:sz w:val="20"/>
        </w:rPr>
        <w:t>Entreprises de transport alimentaire, logistique sous température dirigée, distribution et transport pharmaceutique.</w:t>
      </w:r>
    </w:p>
    <w:p>
      <w:pPr>
        <w:pStyle w:val="ListBullet"/>
        <w:spacing w:after="40"/>
        <w:ind w:left="170"/>
      </w:pPr>
      <w:r>
        <w:rPr>
          <w:rFonts w:ascii="Arial" w:hAnsi="Arial"/>
          <w:sz w:val="20"/>
        </w:rPr>
        <w:t>En priorité : flottes de plus de 100 véhicules, usage quotidien, stationnement extérieur et consommation auxiliaire élevée.</w:t>
      </w:r>
    </w:p>
    <w:p>
      <w:pPr>
        <w:pStyle w:val="Heading1"/>
      </w:pPr>
      <w:r>
        <w:t>5. Bénéfices attendus pour le client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FINANCIER</w:t>
            </w:r>
          </w:p>
        </w:tc>
        <w:tc>
          <w:tcPr>
            <w:tcW w:type="dxa" w:w="3437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OPÉRATIONNEL</w:t>
            </w:r>
          </w:p>
        </w:tc>
        <w:tc>
          <w:tcPr>
            <w:tcW w:type="dxa" w:w="3437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ENVIRONNEMENTAL</w:t>
            </w:r>
          </w:p>
        </w:tc>
      </w:tr>
      <w:tr>
        <w:tc>
          <w:tcPr>
            <w:tcW w:type="dxa" w:w="3437"/>
            <w:tcMar>
              <w:top w:w="140" w:type="dxa"/>
              <w:start w:w="140" w:type="dxa"/>
              <w:bottom w:w="140" w:type="dxa"/>
              <w:end w:w="140" w:type="dxa"/>
            </w:tcMar>
          </w:tcPr>
          <w:p>
            <w:r>
              <w:rPr>
                <w:rFonts w:ascii="Arial" w:hAnsi="Arial"/>
                <w:sz w:val="18"/>
              </w:rPr>
              <w:t>Réduction des dépenses de carburant ou d’électricité</w:t>
              <w:br/>
              <w:t>Amélioration du TCO</w:t>
              <w:br/>
              <w:t>ROI cible à démontrer sur 3–5 ans</w:t>
            </w:r>
          </w:p>
        </w:tc>
        <w:tc>
          <w:tcPr>
            <w:tcW w:type="dxa" w:w="3437"/>
            <w:tcMar>
              <w:top w:w="140" w:type="dxa"/>
              <w:start w:w="140" w:type="dxa"/>
              <w:bottom w:w="140" w:type="dxa"/>
              <w:end w:w="140" w:type="dxa"/>
            </w:tcMar>
          </w:tcPr>
          <w:p>
            <w:r>
              <w:rPr>
                <w:rFonts w:ascii="Arial" w:hAnsi="Arial"/>
                <w:sz w:val="18"/>
              </w:rPr>
              <w:t>Production d’énergie directement sur le véhicule</w:t>
              <w:br/>
              <w:t>Soutien aux auxiliaires et batteries</w:t>
              <w:br/>
              <w:t>Réduction de la dépendance énergétique</w:t>
            </w:r>
          </w:p>
        </w:tc>
        <w:tc>
          <w:tcPr>
            <w:tcW w:type="dxa" w:w="3437"/>
            <w:tcMar>
              <w:top w:w="140" w:type="dxa"/>
              <w:start w:w="140" w:type="dxa"/>
              <w:bottom w:w="140" w:type="dxa"/>
              <w:end w:w="140" w:type="dxa"/>
            </w:tcMar>
          </w:tcPr>
          <w:p>
            <w:r>
              <w:rPr>
                <w:rFonts w:ascii="Arial" w:hAnsi="Arial"/>
                <w:sz w:val="18"/>
              </w:rPr>
              <w:t>Réduction mesurable des émissions de CO₂</w:t>
              <w:br/>
              <w:t>Données pour reporting ESG / décarbonation</w:t>
              <w:br/>
              <w:t>Valorisation de la politique environnementale</w:t>
            </w:r>
          </w:p>
        </w:tc>
      </w:tr>
    </w:tbl>
    <w:p>
      <w:pPr>
        <w:pStyle w:val="Heading1"/>
      </w:pPr>
      <w:r>
        <w:t>6. Modèle économique envisagé</w:t>
      </w:r>
    </w:p>
    <w:p>
      <w:pPr>
        <w:pStyle w:val="ListBullet"/>
        <w:spacing w:after="40"/>
        <w:ind w:left="170"/>
      </w:pPr>
      <w:r>
        <w:rPr>
          <w:rFonts w:ascii="Arial" w:hAnsi="Arial"/>
          <w:sz w:val="20"/>
        </w:rPr>
        <w:t>Vente et installation du système SOLAR WRAP par véhicule.</w:t>
      </w:r>
    </w:p>
    <w:p>
      <w:pPr>
        <w:pStyle w:val="ListBullet"/>
        <w:spacing w:after="40"/>
        <w:ind w:left="170"/>
      </w:pPr>
      <w:r>
        <w:rPr>
          <w:rFonts w:ascii="Arial" w:hAnsi="Arial"/>
          <w:sz w:val="20"/>
        </w:rPr>
        <w:t>Abonnement SOLAR CONTROL pour monitoring énergétique, économies, CO₂ évité et maintenance.</w:t>
      </w:r>
    </w:p>
    <w:p>
      <w:pPr>
        <w:pStyle w:val="ListBullet"/>
        <w:spacing w:after="40"/>
        <w:ind w:left="170"/>
      </w:pPr>
      <w:r>
        <w:rPr>
          <w:rFonts w:ascii="Arial" w:hAnsi="Arial"/>
          <w:sz w:val="20"/>
        </w:rPr>
        <w:t>Contrats-cadres avec grands gestionnaires de flotte.</w:t>
      </w:r>
    </w:p>
    <w:p>
      <w:pPr>
        <w:pStyle w:val="ListBullet"/>
        <w:spacing w:after="40"/>
        <w:ind w:left="170"/>
      </w:pPr>
      <w:r>
        <w:rPr>
          <w:rFonts w:ascii="Arial" w:hAnsi="Arial"/>
          <w:sz w:val="20"/>
        </w:rPr>
        <w:t>Formation et certification d’un réseau d’installateurs.</w:t>
      </w:r>
    </w:p>
    <w:p>
      <w:pPr>
        <w:pStyle w:val="ListBullet"/>
        <w:spacing w:after="40"/>
        <w:ind w:left="170"/>
      </w:pPr>
      <w:r>
        <w:rPr>
          <w:rFonts w:ascii="Arial" w:hAnsi="Arial"/>
          <w:sz w:val="20"/>
        </w:rPr>
        <w:t>À terme : licences OEM, royalties et modèle Energy-as-a-Service.</w:t>
      </w:r>
    </w:p>
    <w:p>
      <w:pPr>
        <w:pStyle w:val="Heading1"/>
      </w:pPr>
      <w:r>
        <w:t>7. Proposition de valeur COMEX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17324D"/>
            <w:tcMar>
              <w:top w:w="200" w:type="dxa"/>
              <w:start w:w="220" w:type="dxa"/>
              <w:bottom w:w="200" w:type="dxa"/>
              <w:end w:w="2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« SOLAR WRAP transforme les surfaces inutilisées des véhicules professionnels en actifs énergétiques afin de réduire durablement leur consommation, leur coût d’exploitation et leur empreinte carbone. »</w:t>
            </w:r>
          </w:p>
        </w:tc>
      </w:tr>
    </w:tbl>
    <w:p>
      <w:pPr>
        <w:pStyle w:val="Heading1"/>
      </w:pPr>
      <w:r>
        <w:t>8. Ce qu’il faut maintenant valider</w:t>
      </w:r>
    </w:p>
    <w:p>
      <w:pPr>
        <w:pStyle w:val="ListBullet"/>
        <w:spacing w:after="40"/>
        <w:ind w:left="170"/>
      </w:pPr>
      <w:r>
        <w:rPr>
          <w:rFonts w:ascii="Arial" w:hAnsi="Arial"/>
          <w:sz w:val="20"/>
        </w:rPr>
        <w:t>Production réelle en kWh selon le type de véhicule, la surface, le climat et l’usage.</w:t>
      </w:r>
    </w:p>
    <w:p>
      <w:pPr>
        <w:pStyle w:val="ListBullet"/>
        <w:spacing w:after="40"/>
        <w:ind w:left="170"/>
      </w:pPr>
      <w:r>
        <w:rPr>
          <w:rFonts w:ascii="Arial" w:hAnsi="Arial"/>
          <w:sz w:val="20"/>
        </w:rPr>
        <w:t>Coût industriel du système et temps de pose.</w:t>
      </w:r>
    </w:p>
    <w:p>
      <w:pPr>
        <w:pStyle w:val="ListBullet"/>
        <w:spacing w:after="40"/>
        <w:ind w:left="170"/>
      </w:pPr>
      <w:r>
        <w:rPr>
          <w:rFonts w:ascii="Arial" w:hAnsi="Arial"/>
          <w:sz w:val="20"/>
        </w:rPr>
        <w:t>Économies réelles par véhicule et retour sur investissement client.</w:t>
      </w:r>
    </w:p>
    <w:p>
      <w:pPr>
        <w:pStyle w:val="ListBullet"/>
        <w:spacing w:after="40"/>
        <w:ind w:left="170"/>
      </w:pPr>
      <w:r>
        <w:rPr>
          <w:rFonts w:ascii="Arial" w:hAnsi="Arial"/>
          <w:sz w:val="20"/>
        </w:rPr>
        <w:t>Durabilité : UV, température, vibrations, lavage, impacts et maintenance.</w:t>
      </w:r>
    </w:p>
    <w:p>
      <w:pPr>
        <w:pStyle w:val="ListBullet"/>
        <w:spacing w:after="40"/>
        <w:ind w:left="170"/>
      </w:pPr>
      <w:r>
        <w:rPr>
          <w:rFonts w:ascii="Arial" w:hAnsi="Arial"/>
          <w:sz w:val="20"/>
        </w:rPr>
        <w:t>Homologation, garantie, assurance et propriété intellectuelle.</w:t>
      </w:r>
    </w:p>
    <w:p>
      <w:pPr>
        <w:pStyle w:val="ListBullet"/>
        <w:spacing w:after="40"/>
        <w:ind w:left="170"/>
      </w:pPr>
      <w:r>
        <w:rPr>
          <w:rFonts w:ascii="Arial" w:hAnsi="Arial"/>
          <w:sz w:val="20"/>
        </w:rPr>
        <w:t>Intérêt client : interviews de 10 à 20 gestionnaires de flottes et pilote sur 5 à 20 véhicules.</w:t>
      </w:r>
    </w:p>
    <w:p/>
    <w:p>
      <w:pPr>
        <w:jc w:val="center"/>
      </w:pPr>
      <w:r>
        <w:rPr>
          <w:rFonts w:ascii="Arial" w:hAnsi="Arial"/>
          <w:i/>
          <w:color w:val="5F6770"/>
          <w:sz w:val="16"/>
        </w:rPr>
        <w:t>SOLAR WRAP • Document de travail COMEX • Hypothèses à valider par prototype et tests clients</w:t>
      </w:r>
    </w:p>
    <w:sectPr w:rsidR="00FC693F" w:rsidRPr="0006063C" w:rsidSect="00034616">
      <w:pgSz w:w="12240" w:h="15840"/>
      <w:pgMar w:top="850" w:right="964" w:bottom="794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142F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42F4A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42F4A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Label">
    <w:name w:val="Small Label"/>
    <w:pPr>
      <w:spacing w:after="40"/>
    </w:pPr>
    <w:rPr>
      <w:rFonts w:ascii="Arial" w:hAnsi="Arial"/>
      <w:b/>
      <w:color w:val="C99927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