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97D3FDE"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 xml:space="preserve">Dear </w:t>
      </w:r>
      <w:r w:rsidR="002B64C2">
        <w:rPr>
          <w:rFonts w:ascii="Oxygen" w:hAnsi="Oxygen"/>
          <w:sz w:val="20"/>
          <w:szCs w:val="20"/>
          <w:lang w:val="en-US"/>
        </w:rPr>
        <w:t>D</w:t>
      </w:r>
      <w:r w:rsidR="009F5BF2">
        <w:rPr>
          <w:rFonts w:ascii="Oxygen" w:hAnsi="Oxygen"/>
          <w:sz w:val="20"/>
          <w:szCs w:val="20"/>
          <w:lang w:val="en-US"/>
        </w:rPr>
        <w:t>r</w:t>
      </w:r>
      <w:r w:rsidRPr="0087324B">
        <w:rPr>
          <w:rFonts w:ascii="Oxygen" w:hAnsi="Oxygen"/>
          <w:sz w:val="20"/>
          <w:szCs w:val="20"/>
          <w:lang w:val="en-US"/>
        </w:rPr>
        <w:t xml:space="preserve">. </w:t>
      </w:r>
      <w:r w:rsidR="002B64C2">
        <w:rPr>
          <w:rFonts w:ascii="Oxygen" w:hAnsi="Oxygen"/>
          <w:sz w:val="20"/>
          <w:szCs w:val="20"/>
          <w:lang w:val="en-US"/>
        </w:rPr>
        <w:t>Ranjit Kr. Sur</w:t>
      </w:r>
      <w:r w:rsidR="00180ED0" w:rsidRPr="0087324B">
        <w:rPr>
          <w:rFonts w:ascii="Oxygen" w:hAnsi="Oxygen"/>
          <w:sz w:val="20"/>
          <w:szCs w:val="20"/>
          <w:lang w:val="en-US"/>
        </w:rPr>
        <w:t>,</w:t>
      </w:r>
    </w:p>
    <w:p w14:paraId="5E14A2CA" w14:textId="5C80E683"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466A31B1"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DF309B">
        <w:rPr>
          <w:rFonts w:ascii="Oxygen" w:hAnsi="Oxygen" w:cs="Helvetica"/>
          <w:color w:val="333E49"/>
          <w:sz w:val="20"/>
          <w:szCs w:val="20"/>
        </w:rPr>
        <w:t>01</w:t>
      </w:r>
      <w:r>
        <w:rPr>
          <w:rFonts w:ascii="Oxygen" w:hAnsi="Oxygen" w:cs="Helvetica"/>
          <w:color w:val="333E49"/>
          <w:sz w:val="20"/>
          <w:szCs w:val="20"/>
        </w:rPr>
        <w:t>/</w:t>
      </w:r>
      <w:r w:rsidR="00DF309B">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DF309B">
        <w:rPr>
          <w:rFonts w:ascii="Oxygen" w:hAnsi="Oxygen" w:cs="Helvetica"/>
          <w:color w:val="333E49"/>
          <w:sz w:val="20"/>
          <w:szCs w:val="20"/>
        </w:rPr>
        <w:t>Fri</w:t>
      </w:r>
      <w:r>
        <w:rPr>
          <w:rFonts w:ascii="Oxygen" w:hAnsi="Oxygen" w:cs="Helvetica"/>
          <w:color w:val="333E49"/>
          <w:sz w:val="20"/>
          <w:szCs w:val="20"/>
        </w:rPr>
        <w:t>day,</w:t>
      </w:r>
      <w:r w:rsidRPr="0087324B">
        <w:rPr>
          <w:rFonts w:ascii="Oxygen" w:hAnsi="Oxygen" w:cs="Helvetica"/>
          <w:color w:val="333E49"/>
          <w:sz w:val="20"/>
          <w:szCs w:val="20"/>
        </w:rPr>
        <w:t xml:space="preserve"> at </w:t>
      </w:r>
      <w:r w:rsidR="00236CD7">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74B51B01"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1FACC0FA"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00BEBB9C"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220" w:type="dxa"/>
        <w:jc w:val="center"/>
        <w:tblCellMar>
          <w:left w:w="0" w:type="dxa"/>
          <w:right w:w="0" w:type="dxa"/>
        </w:tblCellMar>
        <w:tblLook w:val="04A0" w:firstRow="1" w:lastRow="0" w:firstColumn="1" w:lastColumn="0" w:noHBand="0" w:noVBand="1"/>
      </w:tblPr>
      <w:tblGrid>
        <w:gridCol w:w="3140"/>
        <w:gridCol w:w="1020"/>
        <w:gridCol w:w="1020"/>
        <w:gridCol w:w="1020"/>
        <w:gridCol w:w="1020"/>
      </w:tblGrid>
      <w:tr w:rsidR="0075489A" w14:paraId="2526F742" w14:textId="77777777" w:rsidTr="0075489A">
        <w:trPr>
          <w:trHeight w:val="293"/>
          <w:jc w:val="center"/>
        </w:trPr>
        <w:tc>
          <w:tcPr>
            <w:tcW w:w="314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706DF4BF"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45533BB9"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75489A" w14:paraId="62DEC50B" w14:textId="77777777" w:rsidTr="0075489A">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2E86AA7" w14:textId="77777777" w:rsidR="0075489A" w:rsidRDefault="0075489A" w:rsidP="0075489A">
            <w:pPr>
              <w:spacing w:after="0"/>
              <w:rPr>
                <w:rFonts w:ascii="Oxygen" w:hAnsi="Oxygen" w:cs="Calibri"/>
                <w:b/>
                <w:bCs/>
                <w:color w:val="FFFFFF"/>
                <w:sz w:val="18"/>
                <w:szCs w:val="18"/>
              </w:rPr>
            </w:pP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0950740B"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E8088A2"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406A95C"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1E9C07AA" w14:textId="77777777" w:rsidR="0075489A" w:rsidRDefault="0075489A" w:rsidP="0075489A">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75489A" w14:paraId="074C2085" w14:textId="77777777" w:rsidTr="0075489A">
        <w:trPr>
          <w:trHeight w:val="285"/>
          <w:jc w:val="center"/>
        </w:trPr>
        <w:tc>
          <w:tcPr>
            <w:tcW w:w="314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73A315B" w14:textId="66DFC8EE"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WB - XII - </w:t>
            </w:r>
            <w:r w:rsidR="00623A2F">
              <w:rPr>
                <w:rFonts w:ascii="Oxygen" w:hAnsi="Oxygen" w:cs="Calibri"/>
                <w:b/>
                <w:bCs/>
                <w:sz w:val="18"/>
                <w:szCs w:val="18"/>
              </w:rPr>
              <w:t>Statistics</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E843B4A"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1E34772"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738B7C8"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EF458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2475</w:t>
            </w:r>
          </w:p>
        </w:tc>
      </w:tr>
      <w:tr w:rsidR="0075489A" w14:paraId="717E1FF9"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E88502F" w14:textId="64758E97"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WB - XI - </w:t>
            </w:r>
            <w:r w:rsidR="00623A2F">
              <w:rPr>
                <w:rFonts w:ascii="Oxygen" w:hAnsi="Oxygen" w:cs="Calibri"/>
                <w:b/>
                <w:bCs/>
                <w:sz w:val="18"/>
                <w:szCs w:val="18"/>
              </w:rPr>
              <w:t>Statistics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78C197"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A77F45"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CA437F"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8C3946"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2475</w:t>
            </w:r>
          </w:p>
        </w:tc>
      </w:tr>
      <w:tr w:rsidR="0075489A" w14:paraId="10B210CB"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E9D82E1" w14:textId="77777777" w:rsidR="0075489A" w:rsidRDefault="0075489A" w:rsidP="0075489A">
            <w:pPr>
              <w:spacing w:after="0"/>
              <w:jc w:val="center"/>
              <w:rPr>
                <w:rFonts w:ascii="Oxygen" w:hAnsi="Oxygen" w:cs="Calibri"/>
                <w:b/>
                <w:bCs/>
                <w:sz w:val="18"/>
                <w:szCs w:val="18"/>
              </w:rPr>
            </w:pPr>
            <w:r>
              <w:rPr>
                <w:rFonts w:ascii="Oxygen" w:hAnsi="Oxygen" w:cs="Calibri"/>
                <w:b/>
                <w:bCs/>
                <w:sz w:val="18"/>
                <w:szCs w:val="18"/>
              </w:rPr>
              <w:t>B.Com. - Business Mathematics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B2A91C"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0E79E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668625F"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D92B838"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1650</w:t>
            </w:r>
          </w:p>
        </w:tc>
      </w:tr>
      <w:tr w:rsidR="0075489A" w14:paraId="5BD257B7"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A3AE40F" w14:textId="77777777" w:rsidR="0075489A" w:rsidRDefault="0075489A" w:rsidP="0075489A">
            <w:pPr>
              <w:spacing w:after="0"/>
              <w:jc w:val="center"/>
              <w:rPr>
                <w:rFonts w:ascii="Oxygen" w:hAnsi="Oxygen" w:cs="Calibri"/>
                <w:b/>
                <w:bCs/>
                <w:sz w:val="18"/>
                <w:szCs w:val="18"/>
              </w:rPr>
            </w:pPr>
            <w:r>
              <w:rPr>
                <w:rFonts w:ascii="Oxygen" w:hAnsi="Oxygen" w:cs="Calibri"/>
                <w:b/>
                <w:bCs/>
                <w:sz w:val="18"/>
                <w:szCs w:val="18"/>
              </w:rPr>
              <w:t>B.Com. - Business Statistics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4BE2A6"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A42D3EB"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0C8C180"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0B43141"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1650</w:t>
            </w:r>
          </w:p>
        </w:tc>
      </w:tr>
      <w:tr w:rsidR="0075489A" w14:paraId="79797D50"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F7BDDCD" w14:textId="0168D465"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B.B.A. - Essentials of </w:t>
            </w:r>
            <w:r w:rsidR="00623A2F">
              <w:rPr>
                <w:rFonts w:ascii="Oxygen" w:hAnsi="Oxygen" w:cs="Calibri"/>
                <w:b/>
                <w:bCs/>
                <w:sz w:val="18"/>
                <w:szCs w:val="18"/>
              </w:rPr>
              <w:t>Mathematics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F8BE8A"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B28F66"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F33F8AB"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7D7B64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1650</w:t>
            </w:r>
          </w:p>
        </w:tc>
      </w:tr>
      <w:tr w:rsidR="0075489A" w14:paraId="042B2ED0"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4C961FE" w14:textId="59FB2F4C"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B.B.A. - Essentials of </w:t>
            </w:r>
            <w:r w:rsidR="00623A2F">
              <w:rPr>
                <w:rFonts w:ascii="Oxygen" w:hAnsi="Oxygen" w:cs="Calibri"/>
                <w:b/>
                <w:bCs/>
                <w:sz w:val="18"/>
                <w:szCs w:val="18"/>
              </w:rPr>
              <w:t>Statistics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C137E5"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8A383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9C534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8349454"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1650</w:t>
            </w:r>
          </w:p>
        </w:tc>
      </w:tr>
      <w:tr w:rsidR="0075489A" w14:paraId="2E695D7C"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7AFA24E" w14:textId="3615CFBE"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B.B.A. - Advanced Math &amp; </w:t>
            </w:r>
            <w:r w:rsidR="00623A2F">
              <w:rPr>
                <w:rFonts w:ascii="Oxygen" w:hAnsi="Oxygen" w:cs="Calibri"/>
                <w:b/>
                <w:bCs/>
                <w:sz w:val="18"/>
                <w:szCs w:val="18"/>
              </w:rPr>
              <w:t>Statistics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F23B69"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DE2A60"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00C68D6"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1EA9EB"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1650</w:t>
            </w:r>
          </w:p>
        </w:tc>
      </w:tr>
      <w:tr w:rsidR="0075489A" w14:paraId="2D79C08D" w14:textId="77777777" w:rsidTr="0075489A">
        <w:trPr>
          <w:trHeight w:val="285"/>
          <w:jc w:val="center"/>
        </w:trPr>
        <w:tc>
          <w:tcPr>
            <w:tcW w:w="31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B3431F8" w14:textId="1B04DB58" w:rsidR="0075489A" w:rsidRDefault="0075489A" w:rsidP="0075489A">
            <w:pPr>
              <w:spacing w:after="0"/>
              <w:jc w:val="center"/>
              <w:rPr>
                <w:rFonts w:ascii="Oxygen" w:hAnsi="Oxygen" w:cs="Calibri"/>
                <w:b/>
                <w:bCs/>
                <w:sz w:val="18"/>
                <w:szCs w:val="18"/>
              </w:rPr>
            </w:pPr>
            <w:r>
              <w:rPr>
                <w:rFonts w:ascii="Oxygen" w:hAnsi="Oxygen" w:cs="Calibri"/>
                <w:b/>
                <w:bCs/>
                <w:sz w:val="18"/>
                <w:szCs w:val="18"/>
              </w:rPr>
              <w:t xml:space="preserve">C.A. - Found - Biz Math &amp; </w:t>
            </w:r>
            <w:r w:rsidR="00623A2F">
              <w:rPr>
                <w:rFonts w:ascii="Oxygen" w:hAnsi="Oxygen" w:cs="Calibri"/>
                <w:b/>
                <w:bCs/>
                <w:sz w:val="18"/>
                <w:szCs w:val="18"/>
              </w:rPr>
              <w:t>Statistics</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C6DBB5B"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7857</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B957BE"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3929</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67EB04"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1964</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AFCDE0" w14:textId="77777777" w:rsidR="0075489A" w:rsidRDefault="0075489A" w:rsidP="0075489A">
            <w:pPr>
              <w:spacing w:after="0"/>
              <w:jc w:val="center"/>
              <w:rPr>
                <w:rFonts w:ascii="Oxygen" w:hAnsi="Oxygen" w:cs="Calibri"/>
                <w:color w:val="000000"/>
                <w:sz w:val="18"/>
                <w:szCs w:val="18"/>
              </w:rPr>
            </w:pPr>
            <w:r>
              <w:rPr>
                <w:rFonts w:ascii="Oxygen" w:hAnsi="Oxygen" w:cs="Calibri"/>
                <w:color w:val="000000"/>
                <w:sz w:val="18"/>
                <w:szCs w:val="18"/>
              </w:rPr>
              <w:t>982</w:t>
            </w:r>
          </w:p>
        </w:tc>
      </w:tr>
    </w:tbl>
    <w:p w14:paraId="1235652D" w14:textId="669A4C45" w:rsidR="00593E00" w:rsidRPr="00660206" w:rsidRDefault="0075489A" w:rsidP="00825C4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BC87" w14:textId="77777777" w:rsidR="009A1DE4" w:rsidRDefault="009A1DE4" w:rsidP="00425576">
      <w:pPr>
        <w:spacing w:after="0" w:line="240" w:lineRule="auto"/>
      </w:pPr>
      <w:r>
        <w:separator/>
      </w:r>
    </w:p>
  </w:endnote>
  <w:endnote w:type="continuationSeparator" w:id="0">
    <w:p w14:paraId="3AE854A2" w14:textId="77777777" w:rsidR="009A1DE4" w:rsidRDefault="009A1DE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73B8" w14:textId="77777777" w:rsidR="009A1DE4" w:rsidRDefault="009A1DE4" w:rsidP="00425576">
      <w:pPr>
        <w:spacing w:after="0" w:line="240" w:lineRule="auto"/>
      </w:pPr>
      <w:r>
        <w:separator/>
      </w:r>
    </w:p>
  </w:footnote>
  <w:footnote w:type="continuationSeparator" w:id="0">
    <w:p w14:paraId="4BF9A3E4" w14:textId="77777777" w:rsidR="009A1DE4" w:rsidRDefault="009A1DE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55994"/>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36CD7"/>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B64C2"/>
    <w:rsid w:val="002C3760"/>
    <w:rsid w:val="002C5839"/>
    <w:rsid w:val="002C6066"/>
    <w:rsid w:val="002E161C"/>
    <w:rsid w:val="002F2F1B"/>
    <w:rsid w:val="0030428A"/>
    <w:rsid w:val="00312D61"/>
    <w:rsid w:val="00322855"/>
    <w:rsid w:val="0032356D"/>
    <w:rsid w:val="003262EA"/>
    <w:rsid w:val="00331833"/>
    <w:rsid w:val="00332332"/>
    <w:rsid w:val="00334B28"/>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75C3D"/>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23A2F"/>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5489A"/>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1DE4"/>
    <w:rsid w:val="009A2D27"/>
    <w:rsid w:val="009A3BE5"/>
    <w:rsid w:val="009B262C"/>
    <w:rsid w:val="009B6633"/>
    <w:rsid w:val="009C6543"/>
    <w:rsid w:val="009D46DA"/>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45A2"/>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309B"/>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0271"/>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79097360">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9</cp:revision>
  <cp:lastPrinted>2023-08-25T08:50:00Z</cp:lastPrinted>
  <dcterms:created xsi:type="dcterms:W3CDTF">2023-08-27T06:29:00Z</dcterms:created>
  <dcterms:modified xsi:type="dcterms:W3CDTF">2023-08-27T08:41:00Z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