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53A2" w:rsidRPr="00B053A2" w:rsidRDefault="00B053A2" w:rsidP="00B053A2">
      <w:pPr>
        <w:jc w:val="center"/>
        <w:rPr>
          <w:b/>
          <w:smallCaps/>
          <w:sz w:val="40"/>
          <w:szCs w:val="94"/>
        </w:rPr>
      </w:pPr>
    </w:p>
    <w:p w:rsidR="00B053A2" w:rsidRPr="00B053A2" w:rsidRDefault="00B053A2" w:rsidP="00B053A2">
      <w:pPr>
        <w:jc w:val="center"/>
        <w:rPr>
          <w:b/>
          <w:smallCaps/>
          <w:sz w:val="94"/>
          <w:szCs w:val="94"/>
        </w:rPr>
      </w:pPr>
      <w:r w:rsidRPr="00B053A2">
        <w:rPr>
          <w:b/>
          <w:smallCaps/>
          <w:sz w:val="94"/>
          <w:szCs w:val="94"/>
        </w:rPr>
        <w:t>Data Impact Evaluation</w:t>
      </w:r>
    </w:p>
    <w:p w:rsidR="00B204C9" w:rsidRDefault="00B053A2" w:rsidP="00B053A2">
      <w:pPr>
        <w:jc w:val="center"/>
        <w:rPr>
          <w:b/>
          <w:smallCaps/>
          <w:sz w:val="46"/>
          <w:szCs w:val="46"/>
        </w:rPr>
      </w:pPr>
      <w:r w:rsidRPr="00B053A2">
        <w:rPr>
          <w:b/>
          <w:smallCaps/>
          <w:sz w:val="46"/>
          <w:szCs w:val="46"/>
        </w:rPr>
        <w:t xml:space="preserve">AI Based </w:t>
      </w:r>
      <w:r w:rsidR="00B204C9" w:rsidRPr="00B053A2">
        <w:rPr>
          <w:b/>
          <w:smallCaps/>
          <w:sz w:val="46"/>
          <w:szCs w:val="46"/>
        </w:rPr>
        <w:t>Electricity Demand Forecasting System</w:t>
      </w:r>
    </w:p>
    <w:p w:rsidR="00B053A2" w:rsidRPr="00B053A2" w:rsidRDefault="00B053A2" w:rsidP="00B053A2">
      <w:pPr>
        <w:jc w:val="center"/>
        <w:rPr>
          <w:rFonts w:eastAsia="Times New Roman"/>
          <w:b/>
          <w:bCs/>
          <w:smallCaps/>
          <w:sz w:val="40"/>
          <w:szCs w:val="46"/>
          <w:lang w:eastAsia="en-AU"/>
        </w:rPr>
      </w:pPr>
    </w:p>
    <w:p w:rsidR="007E0906" w:rsidRDefault="00394551" w:rsidP="00B053A2">
      <w:pPr>
        <w:jc w:val="center"/>
        <w:rPr>
          <w:rFonts w:asciiTheme="majorHAnsi" w:hAnsiTheme="majorHAnsi" w:cstheme="majorHAnsi"/>
          <w:sz w:val="28"/>
        </w:rPr>
      </w:pPr>
      <w:r w:rsidRPr="00394551">
        <w:rPr>
          <w:rFonts w:asciiTheme="majorHAnsi" w:hAnsiTheme="majorHAnsi" w:cstheme="majorHAnsi"/>
          <w:noProof/>
          <w:sz w:val="28"/>
          <w:lang w:eastAsia="en-AU"/>
        </w:rPr>
        <w:drawing>
          <wp:inline distT="0" distB="0" distL="0" distR="0">
            <wp:extent cx="5731510" cy="3821007"/>
            <wp:effectExtent l="0" t="0" r="2540" b="8255"/>
            <wp:docPr id="4" name="Picture 4" descr="C:\Users\User\Downloads\Ethical balance in energy foreca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User\Downloads\Ethical balance in energy forecasting.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B053A2" w:rsidRPr="00B053A2" w:rsidRDefault="00B053A2" w:rsidP="00B053A2">
      <w:pPr>
        <w:jc w:val="center"/>
        <w:rPr>
          <w:rFonts w:asciiTheme="majorHAnsi" w:hAnsiTheme="majorHAnsi" w:cstheme="majorHAnsi"/>
          <w:sz w:val="40"/>
        </w:rPr>
      </w:pPr>
    </w:p>
    <w:tbl>
      <w:tblPr>
        <w:tblStyle w:val="TableGrid"/>
        <w:tblW w:w="8505" w:type="dxa"/>
        <w:tblInd w:w="279" w:type="dxa"/>
        <w:tblLook w:val="04A0" w:firstRow="1" w:lastRow="0" w:firstColumn="1" w:lastColumn="0" w:noHBand="0" w:noVBand="1"/>
      </w:tblPr>
      <w:tblGrid>
        <w:gridCol w:w="2268"/>
        <w:gridCol w:w="6237"/>
      </w:tblGrid>
      <w:tr w:rsidR="00B053A2" w:rsidRPr="000032AD" w:rsidTr="00B053A2">
        <w:tc>
          <w:tcPr>
            <w:tcW w:w="2268" w:type="dxa"/>
          </w:tcPr>
          <w:p w:rsidR="00B053A2" w:rsidRPr="00B053A2" w:rsidRDefault="00B053A2" w:rsidP="00C13E7F">
            <w:pPr>
              <w:jc w:val="both"/>
              <w:rPr>
                <w:rFonts w:asciiTheme="majorHAnsi" w:hAnsiTheme="majorHAnsi" w:cstheme="majorHAnsi"/>
                <w:b/>
                <w:bCs/>
                <w:color w:val="262626" w:themeColor="text1" w:themeTint="D9"/>
                <w:sz w:val="24"/>
                <w:szCs w:val="24"/>
              </w:rPr>
            </w:pPr>
            <w:r w:rsidRPr="00B053A2">
              <w:rPr>
                <w:rFonts w:asciiTheme="majorHAnsi" w:hAnsiTheme="majorHAnsi" w:cstheme="majorHAnsi"/>
                <w:b/>
                <w:bCs/>
                <w:color w:val="262626" w:themeColor="text1" w:themeTint="D9"/>
                <w:sz w:val="24"/>
                <w:szCs w:val="24"/>
              </w:rPr>
              <w:t>Author</w:t>
            </w:r>
          </w:p>
        </w:tc>
        <w:tc>
          <w:tcPr>
            <w:tcW w:w="6237" w:type="dxa"/>
          </w:tcPr>
          <w:p w:rsidR="00B053A2" w:rsidRPr="00B053A2" w:rsidRDefault="00B053A2" w:rsidP="00C13E7F">
            <w:pPr>
              <w:jc w:val="both"/>
              <w:rPr>
                <w:rFonts w:asciiTheme="majorHAnsi" w:hAnsiTheme="majorHAnsi" w:cstheme="majorHAnsi"/>
                <w:color w:val="262626" w:themeColor="text1" w:themeTint="D9"/>
                <w:sz w:val="24"/>
                <w:szCs w:val="24"/>
              </w:rPr>
            </w:pPr>
            <w:r w:rsidRPr="00B053A2">
              <w:rPr>
                <w:rFonts w:asciiTheme="majorHAnsi" w:hAnsiTheme="majorHAnsi" w:cstheme="majorHAnsi"/>
                <w:color w:val="262626" w:themeColor="text1" w:themeTint="D9"/>
                <w:sz w:val="24"/>
                <w:szCs w:val="24"/>
              </w:rPr>
              <w:t>Anirban Chakrabarty</w:t>
            </w:r>
          </w:p>
        </w:tc>
      </w:tr>
      <w:tr w:rsidR="00B053A2" w:rsidRPr="000032AD" w:rsidTr="00B053A2">
        <w:tc>
          <w:tcPr>
            <w:tcW w:w="2268" w:type="dxa"/>
          </w:tcPr>
          <w:p w:rsidR="00B053A2" w:rsidRPr="00B053A2" w:rsidRDefault="00B053A2" w:rsidP="00C13E7F">
            <w:pPr>
              <w:jc w:val="both"/>
              <w:rPr>
                <w:rFonts w:asciiTheme="majorHAnsi" w:hAnsiTheme="majorHAnsi" w:cstheme="majorHAnsi"/>
                <w:b/>
                <w:bCs/>
                <w:color w:val="262626" w:themeColor="text1" w:themeTint="D9"/>
                <w:sz w:val="24"/>
                <w:szCs w:val="24"/>
              </w:rPr>
            </w:pPr>
            <w:r w:rsidRPr="00B053A2">
              <w:rPr>
                <w:rFonts w:asciiTheme="majorHAnsi" w:hAnsiTheme="majorHAnsi" w:cstheme="majorHAnsi"/>
                <w:b/>
                <w:bCs/>
                <w:color w:val="262626" w:themeColor="text1" w:themeTint="D9"/>
                <w:sz w:val="24"/>
                <w:szCs w:val="24"/>
              </w:rPr>
              <w:t xml:space="preserve">zlD  </w:t>
            </w:r>
          </w:p>
        </w:tc>
        <w:tc>
          <w:tcPr>
            <w:tcW w:w="6237" w:type="dxa"/>
          </w:tcPr>
          <w:p w:rsidR="00B053A2" w:rsidRPr="00B053A2" w:rsidRDefault="00B053A2" w:rsidP="00C13E7F">
            <w:pPr>
              <w:jc w:val="both"/>
              <w:rPr>
                <w:rFonts w:asciiTheme="majorHAnsi" w:hAnsiTheme="majorHAnsi" w:cstheme="majorHAnsi"/>
                <w:color w:val="262626" w:themeColor="text1" w:themeTint="D9"/>
                <w:sz w:val="24"/>
                <w:szCs w:val="24"/>
              </w:rPr>
            </w:pPr>
            <w:r w:rsidRPr="00B053A2">
              <w:rPr>
                <w:rFonts w:asciiTheme="majorHAnsi" w:hAnsiTheme="majorHAnsi" w:cstheme="majorHAnsi"/>
                <w:color w:val="262626" w:themeColor="text1" w:themeTint="D9"/>
                <w:sz w:val="24"/>
                <w:szCs w:val="24"/>
              </w:rPr>
              <w:t>z5626947</w:t>
            </w:r>
          </w:p>
        </w:tc>
      </w:tr>
      <w:tr w:rsidR="00B053A2" w:rsidRPr="000032AD" w:rsidTr="00B053A2">
        <w:tc>
          <w:tcPr>
            <w:tcW w:w="2268" w:type="dxa"/>
          </w:tcPr>
          <w:p w:rsidR="00B053A2" w:rsidRPr="00B053A2" w:rsidRDefault="00B053A2" w:rsidP="00C13E7F">
            <w:pPr>
              <w:jc w:val="both"/>
              <w:rPr>
                <w:rFonts w:asciiTheme="majorHAnsi" w:hAnsiTheme="majorHAnsi" w:cstheme="majorHAnsi"/>
                <w:b/>
                <w:bCs/>
                <w:color w:val="262626" w:themeColor="text1" w:themeTint="D9"/>
                <w:sz w:val="24"/>
                <w:szCs w:val="24"/>
              </w:rPr>
            </w:pPr>
            <w:r w:rsidRPr="00B053A2">
              <w:rPr>
                <w:rFonts w:asciiTheme="majorHAnsi" w:hAnsiTheme="majorHAnsi" w:cstheme="majorHAnsi"/>
                <w:b/>
                <w:bCs/>
                <w:color w:val="262626" w:themeColor="text1" w:themeTint="D9"/>
                <w:sz w:val="24"/>
                <w:szCs w:val="24"/>
              </w:rPr>
              <w:t xml:space="preserve">Course </w:t>
            </w:r>
          </w:p>
        </w:tc>
        <w:tc>
          <w:tcPr>
            <w:tcW w:w="6237" w:type="dxa"/>
          </w:tcPr>
          <w:p w:rsidR="00B053A2" w:rsidRPr="00B053A2" w:rsidRDefault="00B053A2" w:rsidP="00C13E7F">
            <w:pPr>
              <w:spacing w:line="278" w:lineRule="auto"/>
              <w:jc w:val="both"/>
              <w:rPr>
                <w:rFonts w:asciiTheme="majorHAnsi" w:hAnsiTheme="majorHAnsi" w:cstheme="majorHAnsi"/>
                <w:color w:val="262626" w:themeColor="text1" w:themeTint="D9"/>
                <w:sz w:val="24"/>
                <w:szCs w:val="24"/>
              </w:rPr>
            </w:pPr>
            <w:r w:rsidRPr="00B053A2">
              <w:rPr>
                <w:rFonts w:asciiTheme="majorHAnsi" w:hAnsiTheme="majorHAnsi" w:cstheme="majorHAnsi"/>
                <w:color w:val="000000"/>
                <w:sz w:val="24"/>
                <w:szCs w:val="24"/>
                <w:shd w:val="clear" w:color="auto" w:fill="FFFFFF"/>
              </w:rPr>
              <w:t>ZZBU6505-Data and Ethics</w:t>
            </w:r>
            <w:r w:rsidRPr="00B053A2">
              <w:rPr>
                <w:rFonts w:asciiTheme="majorHAnsi" w:hAnsiTheme="majorHAnsi" w:cstheme="majorHAnsi"/>
                <w:color w:val="262626" w:themeColor="text1" w:themeTint="D9"/>
                <w:sz w:val="24"/>
                <w:szCs w:val="24"/>
              </w:rPr>
              <w:t xml:space="preserve"> (H226</w:t>
            </w:r>
            <w:r w:rsidRPr="00B053A2">
              <w:rPr>
                <w:rFonts w:asciiTheme="majorHAnsi" w:hAnsiTheme="majorHAnsi" w:cstheme="majorHAnsi"/>
                <w:color w:val="262626" w:themeColor="text1" w:themeTint="D9"/>
                <w:sz w:val="24"/>
                <w:szCs w:val="24"/>
              </w:rPr>
              <w:t xml:space="preserve"> Online)</w:t>
            </w:r>
          </w:p>
        </w:tc>
      </w:tr>
      <w:tr w:rsidR="00B053A2" w:rsidRPr="000032AD" w:rsidTr="00B053A2">
        <w:tc>
          <w:tcPr>
            <w:tcW w:w="2268" w:type="dxa"/>
          </w:tcPr>
          <w:p w:rsidR="00B053A2" w:rsidRPr="00B053A2" w:rsidRDefault="00B053A2" w:rsidP="00C13E7F">
            <w:pPr>
              <w:jc w:val="both"/>
              <w:rPr>
                <w:rFonts w:asciiTheme="majorHAnsi" w:hAnsiTheme="majorHAnsi" w:cstheme="majorHAnsi"/>
                <w:b/>
                <w:bCs/>
                <w:color w:val="262626" w:themeColor="text1" w:themeTint="D9"/>
                <w:sz w:val="24"/>
                <w:szCs w:val="24"/>
              </w:rPr>
            </w:pPr>
            <w:r w:rsidRPr="00B053A2">
              <w:rPr>
                <w:rFonts w:asciiTheme="majorHAnsi" w:hAnsiTheme="majorHAnsi" w:cstheme="majorHAnsi"/>
                <w:b/>
                <w:bCs/>
                <w:color w:val="262626" w:themeColor="text1" w:themeTint="D9"/>
                <w:sz w:val="24"/>
                <w:szCs w:val="24"/>
              </w:rPr>
              <w:t xml:space="preserve">Tutorial Time </w:t>
            </w:r>
          </w:p>
        </w:tc>
        <w:tc>
          <w:tcPr>
            <w:tcW w:w="6237" w:type="dxa"/>
          </w:tcPr>
          <w:p w:rsidR="00B053A2" w:rsidRPr="00B053A2" w:rsidRDefault="00B053A2" w:rsidP="00C13E7F">
            <w:pPr>
              <w:jc w:val="both"/>
              <w:rPr>
                <w:rFonts w:asciiTheme="majorHAnsi" w:hAnsiTheme="majorHAnsi" w:cstheme="majorHAnsi"/>
                <w:color w:val="262626" w:themeColor="text1" w:themeTint="D9"/>
                <w:sz w:val="24"/>
                <w:szCs w:val="24"/>
              </w:rPr>
            </w:pPr>
            <w:r>
              <w:rPr>
                <w:rFonts w:asciiTheme="majorHAnsi" w:hAnsiTheme="majorHAnsi" w:cstheme="majorHAnsi"/>
                <w:color w:val="262626" w:themeColor="text1" w:themeTint="D9"/>
                <w:sz w:val="24"/>
                <w:szCs w:val="24"/>
              </w:rPr>
              <w:t>March - April 2026</w:t>
            </w:r>
          </w:p>
        </w:tc>
      </w:tr>
      <w:tr w:rsidR="00B053A2" w:rsidRPr="000032AD" w:rsidTr="00B053A2">
        <w:tc>
          <w:tcPr>
            <w:tcW w:w="2268" w:type="dxa"/>
          </w:tcPr>
          <w:p w:rsidR="00B053A2" w:rsidRPr="00B053A2" w:rsidRDefault="001A6D22" w:rsidP="00C13E7F">
            <w:pPr>
              <w:jc w:val="both"/>
              <w:rPr>
                <w:rFonts w:asciiTheme="majorHAnsi" w:hAnsiTheme="majorHAnsi" w:cstheme="majorHAnsi"/>
                <w:b/>
                <w:bCs/>
                <w:color w:val="262626" w:themeColor="text1" w:themeTint="D9"/>
                <w:sz w:val="24"/>
                <w:szCs w:val="24"/>
              </w:rPr>
            </w:pPr>
            <w:r>
              <w:rPr>
                <w:rFonts w:asciiTheme="majorHAnsi" w:hAnsiTheme="majorHAnsi" w:cstheme="majorHAnsi"/>
                <w:b/>
                <w:bCs/>
                <w:color w:val="262626" w:themeColor="text1" w:themeTint="D9"/>
                <w:sz w:val="24"/>
                <w:szCs w:val="24"/>
              </w:rPr>
              <w:t>Teaching Team</w:t>
            </w:r>
          </w:p>
        </w:tc>
        <w:tc>
          <w:tcPr>
            <w:tcW w:w="6237" w:type="dxa"/>
          </w:tcPr>
          <w:p w:rsidR="00B053A2" w:rsidRPr="00F26015" w:rsidRDefault="001A6D22" w:rsidP="00F26015">
            <w:pPr>
              <w:jc w:val="both"/>
              <w:rPr>
                <w:rFonts w:ascii="Helvetica" w:hAnsi="Helvetica" w:cs="Times New Roman"/>
                <w:color w:val="333333"/>
                <w:sz w:val="36"/>
                <w:szCs w:val="36"/>
              </w:rPr>
            </w:pPr>
            <w:r>
              <w:rPr>
                <w:rFonts w:asciiTheme="majorHAnsi" w:hAnsiTheme="majorHAnsi" w:cstheme="majorHAnsi"/>
                <w:color w:val="262626" w:themeColor="text1" w:themeTint="D9"/>
                <w:sz w:val="24"/>
                <w:szCs w:val="24"/>
              </w:rPr>
              <w:t xml:space="preserve">Dr. </w:t>
            </w:r>
            <w:r w:rsidRPr="00F26015">
              <w:rPr>
                <w:rFonts w:asciiTheme="majorHAnsi" w:hAnsiTheme="majorHAnsi" w:cstheme="majorHAnsi"/>
                <w:color w:val="262626" w:themeColor="text1" w:themeTint="D9"/>
                <w:sz w:val="24"/>
                <w:szCs w:val="24"/>
              </w:rPr>
              <w:t>Tracy Wilcox</w:t>
            </w:r>
            <w:r w:rsidR="00F26015">
              <w:rPr>
                <w:rFonts w:asciiTheme="majorHAnsi" w:hAnsiTheme="majorHAnsi" w:cstheme="majorHAnsi"/>
                <w:color w:val="262626" w:themeColor="text1" w:themeTint="D9"/>
                <w:sz w:val="24"/>
                <w:szCs w:val="24"/>
              </w:rPr>
              <w:t xml:space="preserve">, Dr. </w:t>
            </w:r>
            <w:r w:rsidR="00F26015" w:rsidRPr="00F26015">
              <w:rPr>
                <w:rFonts w:asciiTheme="majorHAnsi" w:hAnsiTheme="majorHAnsi" w:cstheme="majorHAnsi"/>
                <w:color w:val="262626" w:themeColor="text1" w:themeTint="D9"/>
                <w:sz w:val="24"/>
                <w:szCs w:val="24"/>
              </w:rPr>
              <w:t>Burcin Hatipoglu</w:t>
            </w:r>
            <w:r w:rsidR="00B52EB1">
              <w:rPr>
                <w:rFonts w:asciiTheme="majorHAnsi" w:hAnsiTheme="majorHAnsi" w:cstheme="majorHAnsi"/>
                <w:color w:val="262626" w:themeColor="text1" w:themeTint="D9"/>
                <w:sz w:val="24"/>
                <w:szCs w:val="24"/>
              </w:rPr>
              <w:t xml:space="preserve">, </w:t>
            </w:r>
            <w:r w:rsidR="00F26015" w:rsidRPr="00F26015">
              <w:rPr>
                <w:rFonts w:asciiTheme="majorHAnsi" w:hAnsiTheme="majorHAnsi" w:cstheme="majorHAnsi"/>
                <w:color w:val="262626" w:themeColor="text1" w:themeTint="D9"/>
                <w:sz w:val="24"/>
                <w:szCs w:val="24"/>
              </w:rPr>
              <w:t>Nidal Danoun</w:t>
            </w:r>
          </w:p>
        </w:tc>
      </w:tr>
      <w:tr w:rsidR="00B053A2" w:rsidRPr="000032AD" w:rsidTr="00B053A2">
        <w:tc>
          <w:tcPr>
            <w:tcW w:w="2268" w:type="dxa"/>
          </w:tcPr>
          <w:p w:rsidR="00B053A2" w:rsidRPr="00B053A2" w:rsidRDefault="00B053A2" w:rsidP="00C13E7F">
            <w:pPr>
              <w:jc w:val="both"/>
              <w:rPr>
                <w:rFonts w:asciiTheme="majorHAnsi" w:hAnsiTheme="majorHAnsi" w:cstheme="majorHAnsi"/>
                <w:b/>
                <w:bCs/>
                <w:color w:val="262626" w:themeColor="text1" w:themeTint="D9"/>
                <w:sz w:val="24"/>
                <w:szCs w:val="24"/>
              </w:rPr>
            </w:pPr>
            <w:r w:rsidRPr="00B053A2">
              <w:rPr>
                <w:rFonts w:asciiTheme="majorHAnsi" w:hAnsiTheme="majorHAnsi" w:cstheme="majorHAnsi"/>
                <w:b/>
                <w:bCs/>
                <w:color w:val="262626" w:themeColor="text1" w:themeTint="D9"/>
                <w:sz w:val="24"/>
                <w:szCs w:val="24"/>
              </w:rPr>
              <w:t>Date</w:t>
            </w:r>
          </w:p>
        </w:tc>
        <w:tc>
          <w:tcPr>
            <w:tcW w:w="6237" w:type="dxa"/>
          </w:tcPr>
          <w:p w:rsidR="00B053A2" w:rsidRPr="00B053A2" w:rsidRDefault="00F26015" w:rsidP="00F26015">
            <w:pPr>
              <w:jc w:val="both"/>
              <w:rPr>
                <w:rFonts w:asciiTheme="majorHAnsi" w:hAnsiTheme="majorHAnsi" w:cstheme="majorHAnsi"/>
                <w:color w:val="262626" w:themeColor="text1" w:themeTint="D9"/>
                <w:sz w:val="24"/>
                <w:szCs w:val="24"/>
              </w:rPr>
            </w:pPr>
            <w:r>
              <w:rPr>
                <w:rFonts w:asciiTheme="majorHAnsi" w:hAnsiTheme="majorHAnsi" w:cstheme="majorHAnsi"/>
                <w:color w:val="262626" w:themeColor="text1" w:themeTint="D9"/>
                <w:sz w:val="24"/>
                <w:szCs w:val="24"/>
              </w:rPr>
              <w:t>06</w:t>
            </w:r>
            <w:r w:rsidR="00B053A2" w:rsidRPr="00B053A2">
              <w:rPr>
                <w:rFonts w:asciiTheme="majorHAnsi" w:hAnsiTheme="majorHAnsi" w:cstheme="majorHAnsi"/>
                <w:color w:val="262626" w:themeColor="text1" w:themeTint="D9"/>
                <w:sz w:val="24"/>
                <w:szCs w:val="24"/>
              </w:rPr>
              <w:t>/A</w:t>
            </w:r>
            <w:r>
              <w:rPr>
                <w:rFonts w:asciiTheme="majorHAnsi" w:hAnsiTheme="majorHAnsi" w:cstheme="majorHAnsi"/>
                <w:color w:val="262626" w:themeColor="text1" w:themeTint="D9"/>
                <w:sz w:val="24"/>
                <w:szCs w:val="24"/>
              </w:rPr>
              <w:t>pril</w:t>
            </w:r>
            <w:r w:rsidR="00B053A2" w:rsidRPr="00B053A2">
              <w:rPr>
                <w:rFonts w:asciiTheme="majorHAnsi" w:hAnsiTheme="majorHAnsi" w:cstheme="majorHAnsi"/>
                <w:color w:val="262626" w:themeColor="text1" w:themeTint="D9"/>
                <w:sz w:val="24"/>
                <w:szCs w:val="24"/>
              </w:rPr>
              <w:t>/202</w:t>
            </w:r>
            <w:r>
              <w:rPr>
                <w:rFonts w:asciiTheme="majorHAnsi" w:hAnsiTheme="majorHAnsi" w:cstheme="majorHAnsi"/>
                <w:color w:val="262626" w:themeColor="text1" w:themeTint="D9"/>
                <w:sz w:val="24"/>
                <w:szCs w:val="24"/>
              </w:rPr>
              <w:t>6</w:t>
            </w:r>
          </w:p>
        </w:tc>
      </w:tr>
    </w:tbl>
    <w:p w:rsidR="00B053A2" w:rsidRDefault="00B053A2">
      <w:pPr>
        <w:rPr>
          <w:rFonts w:asciiTheme="majorHAnsi" w:hAnsiTheme="majorHAnsi" w:cstheme="majorHAnsi"/>
          <w:sz w:val="40"/>
        </w:rPr>
      </w:pPr>
    </w:p>
    <w:p w:rsidR="00B053A2" w:rsidRDefault="00B053A2">
      <w:pPr>
        <w:rPr>
          <w:rFonts w:asciiTheme="majorHAnsi" w:hAnsiTheme="majorHAnsi" w:cstheme="majorHAnsi"/>
          <w:sz w:val="40"/>
        </w:rPr>
      </w:pPr>
      <w:r>
        <w:rPr>
          <w:rFonts w:asciiTheme="majorHAnsi" w:hAnsiTheme="majorHAnsi" w:cstheme="majorHAnsi"/>
          <w:sz w:val="40"/>
        </w:rPr>
        <w:br w:type="page"/>
      </w:r>
    </w:p>
    <w:sdt>
      <w:sdtPr>
        <w:id w:val="1038778899"/>
        <w:docPartObj>
          <w:docPartGallery w:val="Table of Contents"/>
          <w:docPartUnique/>
        </w:docPartObj>
      </w:sdtPr>
      <w:sdtEndPr>
        <w:rPr>
          <w:rFonts w:asciiTheme="minorHAnsi" w:eastAsiaTheme="minorHAnsi" w:hAnsiTheme="minorHAnsi" w:cstheme="minorBidi"/>
          <w:b/>
          <w:bCs/>
          <w:noProof/>
          <w:color w:val="auto"/>
          <w:sz w:val="22"/>
          <w:szCs w:val="22"/>
          <w:lang w:val="en-AU"/>
        </w:rPr>
      </w:sdtEndPr>
      <w:sdtContent>
        <w:p w:rsidR="007E0906" w:rsidRDefault="007E0906">
          <w:pPr>
            <w:pStyle w:val="TOCHeading"/>
          </w:pPr>
          <w:r>
            <w:t>Contents</w:t>
          </w:r>
        </w:p>
        <w:p w:rsidR="00DD6FC8" w:rsidRDefault="007E0906">
          <w:pPr>
            <w:pStyle w:val="TOC2"/>
            <w:tabs>
              <w:tab w:val="left" w:pos="660"/>
              <w:tab w:val="right" w:leader="dot" w:pos="9016"/>
            </w:tabs>
            <w:rPr>
              <w:rFonts w:eastAsiaTheme="minorEastAsia"/>
              <w:noProof/>
              <w:lang w:eastAsia="en-AU"/>
            </w:rPr>
          </w:pPr>
          <w:r>
            <w:rPr>
              <w:b/>
              <w:bCs/>
              <w:noProof/>
            </w:rPr>
            <w:fldChar w:fldCharType="begin"/>
          </w:r>
          <w:r>
            <w:rPr>
              <w:b/>
              <w:bCs/>
              <w:noProof/>
            </w:rPr>
            <w:instrText xml:space="preserve"> TOC \o "1-3" \h \z \u </w:instrText>
          </w:r>
          <w:r>
            <w:rPr>
              <w:b/>
              <w:bCs/>
              <w:noProof/>
            </w:rPr>
            <w:fldChar w:fldCharType="separate"/>
          </w:r>
          <w:hyperlink w:anchor="_Toc226463269" w:history="1">
            <w:r w:rsidR="00DD6FC8" w:rsidRPr="00466257">
              <w:rPr>
                <w:rStyle w:val="Hyperlink"/>
                <w:rFonts w:asciiTheme="majorHAnsi" w:hAnsiTheme="majorHAnsi" w:cstheme="majorHAnsi"/>
                <w:noProof/>
              </w:rPr>
              <w:t>1.</w:t>
            </w:r>
            <w:r w:rsidR="00DD6FC8">
              <w:rPr>
                <w:rFonts w:eastAsiaTheme="minorEastAsia"/>
                <w:noProof/>
                <w:lang w:eastAsia="en-AU"/>
              </w:rPr>
              <w:tab/>
            </w:r>
            <w:r w:rsidR="00DD6FC8" w:rsidRPr="00466257">
              <w:rPr>
                <w:rStyle w:val="Hyperlink"/>
                <w:rFonts w:asciiTheme="majorHAnsi" w:hAnsiTheme="majorHAnsi" w:cstheme="majorHAnsi"/>
                <w:noProof/>
              </w:rPr>
              <w:t>Data Scenario</w:t>
            </w:r>
            <w:r w:rsidR="00DD6FC8">
              <w:rPr>
                <w:noProof/>
                <w:webHidden/>
              </w:rPr>
              <w:tab/>
            </w:r>
            <w:r w:rsidR="00DD6FC8">
              <w:rPr>
                <w:noProof/>
                <w:webHidden/>
              </w:rPr>
              <w:fldChar w:fldCharType="begin"/>
            </w:r>
            <w:r w:rsidR="00DD6FC8">
              <w:rPr>
                <w:noProof/>
                <w:webHidden/>
              </w:rPr>
              <w:instrText xml:space="preserve"> PAGEREF _Toc226463269 \h </w:instrText>
            </w:r>
            <w:r w:rsidR="00DD6FC8">
              <w:rPr>
                <w:noProof/>
                <w:webHidden/>
              </w:rPr>
            </w:r>
            <w:r w:rsidR="00DD6FC8">
              <w:rPr>
                <w:noProof/>
                <w:webHidden/>
              </w:rPr>
              <w:fldChar w:fldCharType="separate"/>
            </w:r>
            <w:r w:rsidR="0071034D">
              <w:rPr>
                <w:noProof/>
                <w:webHidden/>
              </w:rPr>
              <w:t>3</w:t>
            </w:r>
            <w:r w:rsidR="00DD6FC8">
              <w:rPr>
                <w:noProof/>
                <w:webHidden/>
              </w:rPr>
              <w:fldChar w:fldCharType="end"/>
            </w:r>
          </w:hyperlink>
        </w:p>
        <w:p w:rsidR="00DD6FC8" w:rsidRDefault="00DD6FC8">
          <w:pPr>
            <w:pStyle w:val="TOC2"/>
            <w:tabs>
              <w:tab w:val="left" w:pos="660"/>
              <w:tab w:val="right" w:leader="dot" w:pos="9016"/>
            </w:tabs>
            <w:rPr>
              <w:rFonts w:eastAsiaTheme="minorEastAsia"/>
              <w:noProof/>
              <w:lang w:eastAsia="en-AU"/>
            </w:rPr>
          </w:pPr>
          <w:hyperlink w:anchor="_Toc226463270" w:history="1">
            <w:r w:rsidRPr="00466257">
              <w:rPr>
                <w:rStyle w:val="Hyperlink"/>
                <w:rFonts w:asciiTheme="majorHAnsi" w:hAnsiTheme="majorHAnsi" w:cstheme="majorHAnsi"/>
                <w:noProof/>
              </w:rPr>
              <w:t>2.</w:t>
            </w:r>
            <w:r>
              <w:rPr>
                <w:rFonts w:eastAsiaTheme="minorEastAsia"/>
                <w:noProof/>
                <w:lang w:eastAsia="en-AU"/>
              </w:rPr>
              <w:tab/>
            </w:r>
            <w:r w:rsidRPr="00466257">
              <w:rPr>
                <w:rStyle w:val="Hyperlink"/>
                <w:rFonts w:asciiTheme="majorHAnsi" w:hAnsiTheme="majorHAnsi" w:cstheme="majorHAnsi"/>
                <w:noProof/>
              </w:rPr>
              <w:t>Stakeholders</w:t>
            </w:r>
            <w:r>
              <w:rPr>
                <w:noProof/>
                <w:webHidden/>
              </w:rPr>
              <w:tab/>
            </w:r>
            <w:r>
              <w:rPr>
                <w:noProof/>
                <w:webHidden/>
              </w:rPr>
              <w:fldChar w:fldCharType="begin"/>
            </w:r>
            <w:r>
              <w:rPr>
                <w:noProof/>
                <w:webHidden/>
              </w:rPr>
              <w:instrText xml:space="preserve"> PAGEREF _Toc226463270 \h </w:instrText>
            </w:r>
            <w:r>
              <w:rPr>
                <w:noProof/>
                <w:webHidden/>
              </w:rPr>
            </w:r>
            <w:r>
              <w:rPr>
                <w:noProof/>
                <w:webHidden/>
              </w:rPr>
              <w:fldChar w:fldCharType="separate"/>
            </w:r>
            <w:r w:rsidR="0071034D">
              <w:rPr>
                <w:noProof/>
                <w:webHidden/>
              </w:rPr>
              <w:t>5</w:t>
            </w:r>
            <w:r>
              <w:rPr>
                <w:noProof/>
                <w:webHidden/>
              </w:rPr>
              <w:fldChar w:fldCharType="end"/>
            </w:r>
          </w:hyperlink>
        </w:p>
        <w:p w:rsidR="00DD6FC8" w:rsidRDefault="00DD6FC8">
          <w:pPr>
            <w:pStyle w:val="TOC3"/>
            <w:tabs>
              <w:tab w:val="right" w:leader="dot" w:pos="9016"/>
            </w:tabs>
            <w:rPr>
              <w:rFonts w:eastAsiaTheme="minorEastAsia"/>
              <w:noProof/>
              <w:lang w:eastAsia="en-AU"/>
            </w:rPr>
          </w:pPr>
          <w:hyperlink w:anchor="_Toc226463271" w:history="1">
            <w:r w:rsidRPr="00DD6FC8">
              <w:rPr>
                <w:rStyle w:val="Hyperlink"/>
                <w:rFonts w:asciiTheme="majorHAnsi" w:eastAsia="Times New Roman" w:hAnsiTheme="majorHAnsi" w:cstheme="majorHAnsi"/>
                <w:bCs/>
                <w:noProof/>
                <w:lang w:eastAsia="en-AU"/>
              </w:rPr>
              <w:t>Table 1: Stakeholder Analysis</w:t>
            </w:r>
            <w:r>
              <w:rPr>
                <w:noProof/>
                <w:webHidden/>
              </w:rPr>
              <w:tab/>
            </w:r>
            <w:r>
              <w:rPr>
                <w:noProof/>
                <w:webHidden/>
              </w:rPr>
              <w:fldChar w:fldCharType="begin"/>
            </w:r>
            <w:r>
              <w:rPr>
                <w:noProof/>
                <w:webHidden/>
              </w:rPr>
              <w:instrText xml:space="preserve"> PAGEREF _Toc226463271 \h </w:instrText>
            </w:r>
            <w:r>
              <w:rPr>
                <w:noProof/>
                <w:webHidden/>
              </w:rPr>
            </w:r>
            <w:r>
              <w:rPr>
                <w:noProof/>
                <w:webHidden/>
              </w:rPr>
              <w:fldChar w:fldCharType="separate"/>
            </w:r>
            <w:r w:rsidR="0071034D">
              <w:rPr>
                <w:noProof/>
                <w:webHidden/>
              </w:rPr>
              <w:t>5</w:t>
            </w:r>
            <w:r>
              <w:rPr>
                <w:noProof/>
                <w:webHidden/>
              </w:rPr>
              <w:fldChar w:fldCharType="end"/>
            </w:r>
          </w:hyperlink>
        </w:p>
        <w:p w:rsidR="00DD6FC8" w:rsidRDefault="00DD6FC8">
          <w:pPr>
            <w:pStyle w:val="TOC3"/>
            <w:tabs>
              <w:tab w:val="right" w:leader="dot" w:pos="9016"/>
            </w:tabs>
            <w:rPr>
              <w:rFonts w:eastAsiaTheme="minorEastAsia"/>
              <w:noProof/>
              <w:lang w:eastAsia="en-AU"/>
            </w:rPr>
          </w:pPr>
          <w:hyperlink w:anchor="_Toc226463272" w:history="1">
            <w:r w:rsidRPr="00DD6FC8">
              <w:rPr>
                <w:rStyle w:val="Hyperlink"/>
                <w:rFonts w:asciiTheme="majorHAnsi" w:eastAsia="Times New Roman" w:hAnsiTheme="majorHAnsi" w:cstheme="majorHAnsi"/>
                <w:bCs/>
                <w:noProof/>
                <w:lang w:eastAsia="en-AU"/>
              </w:rPr>
              <w:t>Analytical Discussion</w:t>
            </w:r>
            <w:r>
              <w:rPr>
                <w:noProof/>
                <w:webHidden/>
              </w:rPr>
              <w:tab/>
            </w:r>
            <w:r>
              <w:rPr>
                <w:noProof/>
                <w:webHidden/>
              </w:rPr>
              <w:fldChar w:fldCharType="begin"/>
            </w:r>
            <w:r>
              <w:rPr>
                <w:noProof/>
                <w:webHidden/>
              </w:rPr>
              <w:instrText xml:space="preserve"> PAGEREF _Toc226463272 \h </w:instrText>
            </w:r>
            <w:r>
              <w:rPr>
                <w:noProof/>
                <w:webHidden/>
              </w:rPr>
            </w:r>
            <w:r>
              <w:rPr>
                <w:noProof/>
                <w:webHidden/>
              </w:rPr>
              <w:fldChar w:fldCharType="separate"/>
            </w:r>
            <w:r w:rsidR="0071034D">
              <w:rPr>
                <w:noProof/>
                <w:webHidden/>
              </w:rPr>
              <w:t>5</w:t>
            </w:r>
            <w:r>
              <w:rPr>
                <w:noProof/>
                <w:webHidden/>
              </w:rPr>
              <w:fldChar w:fldCharType="end"/>
            </w:r>
          </w:hyperlink>
        </w:p>
        <w:p w:rsidR="00DD6FC8" w:rsidRDefault="00DD6FC8">
          <w:pPr>
            <w:pStyle w:val="TOC2"/>
            <w:tabs>
              <w:tab w:val="left" w:pos="660"/>
              <w:tab w:val="right" w:leader="dot" w:pos="9016"/>
            </w:tabs>
            <w:rPr>
              <w:rFonts w:eastAsiaTheme="minorEastAsia"/>
              <w:noProof/>
              <w:lang w:eastAsia="en-AU"/>
            </w:rPr>
          </w:pPr>
          <w:hyperlink w:anchor="_Toc226463273" w:history="1">
            <w:r w:rsidRPr="00466257">
              <w:rPr>
                <w:rStyle w:val="Hyperlink"/>
                <w:rFonts w:asciiTheme="majorHAnsi" w:hAnsiTheme="majorHAnsi" w:cstheme="majorHAnsi"/>
                <w:noProof/>
              </w:rPr>
              <w:t>3.</w:t>
            </w:r>
            <w:r>
              <w:rPr>
                <w:rFonts w:eastAsiaTheme="minorEastAsia"/>
                <w:noProof/>
                <w:lang w:eastAsia="en-AU"/>
              </w:rPr>
              <w:tab/>
            </w:r>
            <w:r w:rsidRPr="00466257">
              <w:rPr>
                <w:rStyle w:val="Hyperlink"/>
                <w:rFonts w:asciiTheme="majorHAnsi" w:hAnsiTheme="majorHAnsi" w:cstheme="majorHAnsi"/>
                <w:noProof/>
              </w:rPr>
              <w:t>Impact on Stakeholders</w:t>
            </w:r>
            <w:r>
              <w:rPr>
                <w:noProof/>
                <w:webHidden/>
              </w:rPr>
              <w:tab/>
            </w:r>
            <w:r>
              <w:rPr>
                <w:noProof/>
                <w:webHidden/>
              </w:rPr>
              <w:fldChar w:fldCharType="begin"/>
            </w:r>
            <w:r>
              <w:rPr>
                <w:noProof/>
                <w:webHidden/>
              </w:rPr>
              <w:instrText xml:space="preserve"> PAGEREF _Toc226463273 \h </w:instrText>
            </w:r>
            <w:r>
              <w:rPr>
                <w:noProof/>
                <w:webHidden/>
              </w:rPr>
            </w:r>
            <w:r>
              <w:rPr>
                <w:noProof/>
                <w:webHidden/>
              </w:rPr>
              <w:fldChar w:fldCharType="separate"/>
            </w:r>
            <w:r w:rsidR="0071034D">
              <w:rPr>
                <w:noProof/>
                <w:webHidden/>
              </w:rPr>
              <w:t>7</w:t>
            </w:r>
            <w:r>
              <w:rPr>
                <w:noProof/>
                <w:webHidden/>
              </w:rPr>
              <w:fldChar w:fldCharType="end"/>
            </w:r>
          </w:hyperlink>
        </w:p>
        <w:p w:rsidR="00DD6FC8" w:rsidRDefault="00DD6FC8">
          <w:pPr>
            <w:pStyle w:val="TOC3"/>
            <w:tabs>
              <w:tab w:val="right" w:leader="dot" w:pos="9016"/>
            </w:tabs>
            <w:rPr>
              <w:rFonts w:eastAsiaTheme="minorEastAsia"/>
              <w:noProof/>
              <w:lang w:eastAsia="en-AU"/>
            </w:rPr>
          </w:pPr>
          <w:hyperlink w:anchor="_Toc226463274" w:history="1">
            <w:r w:rsidRPr="00466257">
              <w:rPr>
                <w:rStyle w:val="Hyperlink"/>
                <w:rFonts w:asciiTheme="majorHAnsi" w:hAnsiTheme="majorHAnsi" w:cstheme="majorHAnsi"/>
                <w:noProof/>
              </w:rPr>
              <w:t>Intended Impacts</w:t>
            </w:r>
            <w:r>
              <w:rPr>
                <w:noProof/>
                <w:webHidden/>
              </w:rPr>
              <w:tab/>
            </w:r>
            <w:r>
              <w:rPr>
                <w:noProof/>
                <w:webHidden/>
              </w:rPr>
              <w:fldChar w:fldCharType="begin"/>
            </w:r>
            <w:r>
              <w:rPr>
                <w:noProof/>
                <w:webHidden/>
              </w:rPr>
              <w:instrText xml:space="preserve"> PAGEREF _Toc226463274 \h </w:instrText>
            </w:r>
            <w:r>
              <w:rPr>
                <w:noProof/>
                <w:webHidden/>
              </w:rPr>
            </w:r>
            <w:r>
              <w:rPr>
                <w:noProof/>
                <w:webHidden/>
              </w:rPr>
              <w:fldChar w:fldCharType="separate"/>
            </w:r>
            <w:r w:rsidR="0071034D">
              <w:rPr>
                <w:noProof/>
                <w:webHidden/>
              </w:rPr>
              <w:t>7</w:t>
            </w:r>
            <w:r>
              <w:rPr>
                <w:noProof/>
                <w:webHidden/>
              </w:rPr>
              <w:fldChar w:fldCharType="end"/>
            </w:r>
          </w:hyperlink>
        </w:p>
        <w:p w:rsidR="00DD6FC8" w:rsidRDefault="00DD6FC8">
          <w:pPr>
            <w:pStyle w:val="TOC3"/>
            <w:tabs>
              <w:tab w:val="right" w:leader="dot" w:pos="9016"/>
            </w:tabs>
            <w:rPr>
              <w:rFonts w:eastAsiaTheme="minorEastAsia"/>
              <w:noProof/>
              <w:lang w:eastAsia="en-AU"/>
            </w:rPr>
          </w:pPr>
          <w:hyperlink w:anchor="_Toc226463275" w:history="1">
            <w:r w:rsidRPr="00466257">
              <w:rPr>
                <w:rStyle w:val="Hyperlink"/>
                <w:rFonts w:asciiTheme="majorHAnsi" w:hAnsiTheme="majorHAnsi" w:cstheme="majorHAnsi"/>
                <w:noProof/>
              </w:rPr>
              <w:t>Unintended and Adverse Impacts</w:t>
            </w:r>
            <w:r>
              <w:rPr>
                <w:noProof/>
                <w:webHidden/>
              </w:rPr>
              <w:tab/>
            </w:r>
            <w:r>
              <w:rPr>
                <w:noProof/>
                <w:webHidden/>
              </w:rPr>
              <w:fldChar w:fldCharType="begin"/>
            </w:r>
            <w:r>
              <w:rPr>
                <w:noProof/>
                <w:webHidden/>
              </w:rPr>
              <w:instrText xml:space="preserve"> PAGEREF _Toc226463275 \h </w:instrText>
            </w:r>
            <w:r>
              <w:rPr>
                <w:noProof/>
                <w:webHidden/>
              </w:rPr>
            </w:r>
            <w:r>
              <w:rPr>
                <w:noProof/>
                <w:webHidden/>
              </w:rPr>
              <w:fldChar w:fldCharType="separate"/>
            </w:r>
            <w:r w:rsidR="0071034D">
              <w:rPr>
                <w:noProof/>
                <w:webHidden/>
              </w:rPr>
              <w:t>7</w:t>
            </w:r>
            <w:r>
              <w:rPr>
                <w:noProof/>
                <w:webHidden/>
              </w:rPr>
              <w:fldChar w:fldCharType="end"/>
            </w:r>
          </w:hyperlink>
        </w:p>
        <w:p w:rsidR="00DD6FC8" w:rsidRDefault="00DD6FC8">
          <w:pPr>
            <w:pStyle w:val="TOC3"/>
            <w:tabs>
              <w:tab w:val="right" w:leader="dot" w:pos="9016"/>
            </w:tabs>
            <w:rPr>
              <w:rFonts w:eastAsiaTheme="minorEastAsia"/>
              <w:noProof/>
              <w:lang w:eastAsia="en-AU"/>
            </w:rPr>
          </w:pPr>
          <w:hyperlink w:anchor="_Toc226463276" w:history="1">
            <w:r w:rsidRPr="00466257">
              <w:rPr>
                <w:rStyle w:val="Hyperlink"/>
                <w:rFonts w:asciiTheme="majorHAnsi" w:hAnsiTheme="majorHAnsi" w:cstheme="majorHAnsi"/>
                <w:noProof/>
              </w:rPr>
              <w:t>Ethical Evaluation and Public Interest</w:t>
            </w:r>
            <w:r>
              <w:rPr>
                <w:noProof/>
                <w:webHidden/>
              </w:rPr>
              <w:tab/>
            </w:r>
            <w:r>
              <w:rPr>
                <w:noProof/>
                <w:webHidden/>
              </w:rPr>
              <w:fldChar w:fldCharType="begin"/>
            </w:r>
            <w:r>
              <w:rPr>
                <w:noProof/>
                <w:webHidden/>
              </w:rPr>
              <w:instrText xml:space="preserve"> PAGEREF _Toc226463276 \h </w:instrText>
            </w:r>
            <w:r>
              <w:rPr>
                <w:noProof/>
                <w:webHidden/>
              </w:rPr>
            </w:r>
            <w:r>
              <w:rPr>
                <w:noProof/>
                <w:webHidden/>
              </w:rPr>
              <w:fldChar w:fldCharType="separate"/>
            </w:r>
            <w:r w:rsidR="0071034D">
              <w:rPr>
                <w:noProof/>
                <w:webHidden/>
              </w:rPr>
              <w:t>7</w:t>
            </w:r>
            <w:r>
              <w:rPr>
                <w:noProof/>
                <w:webHidden/>
              </w:rPr>
              <w:fldChar w:fldCharType="end"/>
            </w:r>
          </w:hyperlink>
        </w:p>
        <w:p w:rsidR="00DD6FC8" w:rsidRDefault="00DD6FC8">
          <w:pPr>
            <w:pStyle w:val="TOC2"/>
            <w:tabs>
              <w:tab w:val="right" w:leader="dot" w:pos="9016"/>
            </w:tabs>
            <w:rPr>
              <w:rFonts w:eastAsiaTheme="minorEastAsia"/>
              <w:noProof/>
              <w:lang w:eastAsia="en-AU"/>
            </w:rPr>
          </w:pPr>
          <w:hyperlink w:anchor="_Toc226463277" w:history="1">
            <w:r w:rsidRPr="00466257">
              <w:rPr>
                <w:rStyle w:val="Hyperlink"/>
                <w:rFonts w:asciiTheme="majorHAnsi" w:hAnsiTheme="majorHAnsi" w:cstheme="majorHAnsi"/>
                <w:noProof/>
              </w:rPr>
              <w:t>Appendix: Methodology and Supporting Materials</w:t>
            </w:r>
            <w:r>
              <w:rPr>
                <w:noProof/>
                <w:webHidden/>
              </w:rPr>
              <w:tab/>
            </w:r>
            <w:r>
              <w:rPr>
                <w:noProof/>
                <w:webHidden/>
              </w:rPr>
              <w:fldChar w:fldCharType="begin"/>
            </w:r>
            <w:r>
              <w:rPr>
                <w:noProof/>
                <w:webHidden/>
              </w:rPr>
              <w:instrText xml:space="preserve"> PAGEREF _Toc226463277 \h </w:instrText>
            </w:r>
            <w:r>
              <w:rPr>
                <w:noProof/>
                <w:webHidden/>
              </w:rPr>
            </w:r>
            <w:r>
              <w:rPr>
                <w:noProof/>
                <w:webHidden/>
              </w:rPr>
              <w:fldChar w:fldCharType="separate"/>
            </w:r>
            <w:r w:rsidR="0071034D">
              <w:rPr>
                <w:noProof/>
                <w:webHidden/>
              </w:rPr>
              <w:t>9</w:t>
            </w:r>
            <w:r>
              <w:rPr>
                <w:noProof/>
                <w:webHidden/>
              </w:rPr>
              <w:fldChar w:fldCharType="end"/>
            </w:r>
          </w:hyperlink>
        </w:p>
        <w:p w:rsidR="00DD6FC8" w:rsidRDefault="00DD6FC8">
          <w:pPr>
            <w:pStyle w:val="TOC3"/>
            <w:tabs>
              <w:tab w:val="right" w:leader="dot" w:pos="9016"/>
            </w:tabs>
            <w:rPr>
              <w:rFonts w:eastAsiaTheme="minorEastAsia"/>
              <w:noProof/>
              <w:lang w:eastAsia="en-AU"/>
            </w:rPr>
          </w:pPr>
          <w:hyperlink w:anchor="_Toc226463278" w:history="1">
            <w:r w:rsidRPr="00DD6FC8">
              <w:rPr>
                <w:rStyle w:val="Hyperlink"/>
                <w:rFonts w:asciiTheme="majorHAnsi" w:eastAsia="Times New Roman" w:hAnsiTheme="majorHAnsi" w:cstheme="majorHAnsi"/>
                <w:noProof/>
                <w:lang w:eastAsia="en-AU"/>
              </w:rPr>
              <w:t>A1. Methodology</w:t>
            </w:r>
            <w:r>
              <w:rPr>
                <w:noProof/>
                <w:webHidden/>
              </w:rPr>
              <w:tab/>
            </w:r>
            <w:r>
              <w:rPr>
                <w:noProof/>
                <w:webHidden/>
              </w:rPr>
              <w:fldChar w:fldCharType="begin"/>
            </w:r>
            <w:r>
              <w:rPr>
                <w:noProof/>
                <w:webHidden/>
              </w:rPr>
              <w:instrText xml:space="preserve"> PAGEREF _Toc226463278 \h </w:instrText>
            </w:r>
            <w:r>
              <w:rPr>
                <w:noProof/>
                <w:webHidden/>
              </w:rPr>
            </w:r>
            <w:r>
              <w:rPr>
                <w:noProof/>
                <w:webHidden/>
              </w:rPr>
              <w:fldChar w:fldCharType="separate"/>
            </w:r>
            <w:r w:rsidR="0071034D">
              <w:rPr>
                <w:noProof/>
                <w:webHidden/>
              </w:rPr>
              <w:t>9</w:t>
            </w:r>
            <w:r>
              <w:rPr>
                <w:noProof/>
                <w:webHidden/>
              </w:rPr>
              <w:fldChar w:fldCharType="end"/>
            </w:r>
          </w:hyperlink>
        </w:p>
        <w:p w:rsidR="00DD6FC8" w:rsidRDefault="00DD6FC8">
          <w:pPr>
            <w:pStyle w:val="TOC3"/>
            <w:tabs>
              <w:tab w:val="right" w:leader="dot" w:pos="9016"/>
            </w:tabs>
            <w:rPr>
              <w:rFonts w:eastAsiaTheme="minorEastAsia"/>
              <w:noProof/>
              <w:lang w:eastAsia="en-AU"/>
            </w:rPr>
          </w:pPr>
          <w:hyperlink w:anchor="_Toc226463279" w:history="1">
            <w:r w:rsidRPr="00DD6FC8">
              <w:rPr>
                <w:rStyle w:val="Hyperlink"/>
                <w:rFonts w:asciiTheme="majorHAnsi" w:eastAsia="Times New Roman" w:hAnsiTheme="majorHAnsi" w:cstheme="majorHAnsi"/>
                <w:bCs/>
                <w:noProof/>
                <w:lang w:eastAsia="en-AU"/>
              </w:rPr>
              <w:t xml:space="preserve">A2. </w:t>
            </w:r>
            <w:r w:rsidRPr="00DD6FC8">
              <w:rPr>
                <w:rStyle w:val="Hyperlink"/>
                <w:rFonts w:asciiTheme="majorHAnsi" w:eastAsia="Times New Roman" w:hAnsiTheme="majorHAnsi" w:cstheme="majorHAnsi"/>
                <w:noProof/>
                <w:lang w:eastAsia="en-AU"/>
              </w:rPr>
              <w:t>Use of Artificial Intelligence (AI) and Its Limitations</w:t>
            </w:r>
            <w:r>
              <w:rPr>
                <w:noProof/>
                <w:webHidden/>
              </w:rPr>
              <w:tab/>
            </w:r>
            <w:r>
              <w:rPr>
                <w:noProof/>
                <w:webHidden/>
              </w:rPr>
              <w:fldChar w:fldCharType="begin"/>
            </w:r>
            <w:r>
              <w:rPr>
                <w:noProof/>
                <w:webHidden/>
              </w:rPr>
              <w:instrText xml:space="preserve"> PAGEREF _Toc226463279 \h </w:instrText>
            </w:r>
            <w:r>
              <w:rPr>
                <w:noProof/>
                <w:webHidden/>
              </w:rPr>
            </w:r>
            <w:r>
              <w:rPr>
                <w:noProof/>
                <w:webHidden/>
              </w:rPr>
              <w:fldChar w:fldCharType="separate"/>
            </w:r>
            <w:r w:rsidR="0071034D">
              <w:rPr>
                <w:noProof/>
                <w:webHidden/>
              </w:rPr>
              <w:t>9</w:t>
            </w:r>
            <w:r>
              <w:rPr>
                <w:noProof/>
                <w:webHidden/>
              </w:rPr>
              <w:fldChar w:fldCharType="end"/>
            </w:r>
          </w:hyperlink>
          <w:bookmarkStart w:id="0" w:name="_GoBack"/>
          <w:bookmarkEnd w:id="0"/>
        </w:p>
        <w:p w:rsidR="00DD6FC8" w:rsidRDefault="00DD6FC8">
          <w:pPr>
            <w:pStyle w:val="TOC3"/>
            <w:tabs>
              <w:tab w:val="right" w:leader="dot" w:pos="9016"/>
            </w:tabs>
            <w:rPr>
              <w:rFonts w:eastAsiaTheme="minorEastAsia"/>
              <w:noProof/>
              <w:lang w:eastAsia="en-AU"/>
            </w:rPr>
          </w:pPr>
          <w:hyperlink w:anchor="_Toc226463280" w:history="1">
            <w:r w:rsidRPr="00DD6FC8">
              <w:rPr>
                <w:rStyle w:val="Hyperlink"/>
                <w:rFonts w:asciiTheme="majorHAnsi" w:eastAsia="Times New Roman" w:hAnsiTheme="majorHAnsi" w:cstheme="majorHAnsi"/>
                <w:noProof/>
                <w:lang w:eastAsia="en-AU"/>
              </w:rPr>
              <w:t>A3. References</w:t>
            </w:r>
            <w:r>
              <w:rPr>
                <w:noProof/>
                <w:webHidden/>
              </w:rPr>
              <w:tab/>
            </w:r>
            <w:r>
              <w:rPr>
                <w:noProof/>
                <w:webHidden/>
              </w:rPr>
              <w:fldChar w:fldCharType="begin"/>
            </w:r>
            <w:r>
              <w:rPr>
                <w:noProof/>
                <w:webHidden/>
              </w:rPr>
              <w:instrText xml:space="preserve"> PAGEREF _Toc226463280 \h </w:instrText>
            </w:r>
            <w:r>
              <w:rPr>
                <w:noProof/>
                <w:webHidden/>
              </w:rPr>
            </w:r>
            <w:r>
              <w:rPr>
                <w:noProof/>
                <w:webHidden/>
              </w:rPr>
              <w:fldChar w:fldCharType="separate"/>
            </w:r>
            <w:r w:rsidR="0071034D">
              <w:rPr>
                <w:noProof/>
                <w:webHidden/>
              </w:rPr>
              <w:t>10</w:t>
            </w:r>
            <w:r>
              <w:rPr>
                <w:noProof/>
                <w:webHidden/>
              </w:rPr>
              <w:fldChar w:fldCharType="end"/>
            </w:r>
          </w:hyperlink>
        </w:p>
        <w:p w:rsidR="007E0906" w:rsidRDefault="007E0906">
          <w:r>
            <w:rPr>
              <w:b/>
              <w:bCs/>
              <w:noProof/>
            </w:rPr>
            <w:fldChar w:fldCharType="end"/>
          </w:r>
        </w:p>
      </w:sdtContent>
    </w:sdt>
    <w:p w:rsidR="007E0906" w:rsidRDefault="007E0906">
      <w:pPr>
        <w:rPr>
          <w:rFonts w:asciiTheme="majorHAnsi" w:eastAsia="Times New Roman" w:hAnsiTheme="majorHAnsi" w:cstheme="majorHAnsi"/>
          <w:b/>
          <w:bCs/>
          <w:sz w:val="28"/>
          <w:szCs w:val="36"/>
          <w:lang w:eastAsia="en-AU"/>
        </w:rPr>
      </w:pPr>
      <w:r>
        <w:rPr>
          <w:rFonts w:asciiTheme="majorHAnsi" w:hAnsiTheme="majorHAnsi" w:cstheme="majorHAnsi"/>
          <w:sz w:val="28"/>
        </w:rPr>
        <w:br w:type="page"/>
      </w:r>
    </w:p>
    <w:p w:rsidR="005D41A0" w:rsidRPr="00B204C9" w:rsidRDefault="00B204C9" w:rsidP="00B204C9">
      <w:pPr>
        <w:pStyle w:val="Heading2"/>
        <w:numPr>
          <w:ilvl w:val="0"/>
          <w:numId w:val="3"/>
        </w:numPr>
        <w:rPr>
          <w:rFonts w:asciiTheme="majorHAnsi" w:hAnsiTheme="majorHAnsi" w:cstheme="majorHAnsi"/>
          <w:sz w:val="28"/>
        </w:rPr>
      </w:pPr>
      <w:bookmarkStart w:id="1" w:name="_Toc226463269"/>
      <w:r>
        <w:rPr>
          <w:rFonts w:asciiTheme="majorHAnsi" w:hAnsiTheme="majorHAnsi" w:cstheme="majorHAnsi"/>
          <w:sz w:val="28"/>
        </w:rPr>
        <w:lastRenderedPageBreak/>
        <w:t>Data Scenario</w:t>
      </w:r>
      <w:bookmarkEnd w:id="1"/>
    </w:p>
    <w:p w:rsidR="00CD0D37" w:rsidRPr="00CD0D37" w:rsidRDefault="00CD0D37" w:rsidP="00A30FEF">
      <w:pPr>
        <w:pStyle w:val="NormalWeb"/>
        <w:jc w:val="both"/>
        <w:rPr>
          <w:rFonts w:asciiTheme="majorHAnsi" w:hAnsiTheme="majorHAnsi" w:cstheme="majorHAnsi"/>
          <w:sz w:val="22"/>
        </w:rPr>
      </w:pPr>
      <w:r w:rsidRPr="00CD0D37">
        <w:rPr>
          <w:rFonts w:asciiTheme="majorHAnsi" w:hAnsiTheme="majorHAnsi" w:cstheme="majorHAnsi"/>
          <w:sz w:val="22"/>
        </w:rPr>
        <w:t>Th</w:t>
      </w:r>
      <w:r>
        <w:rPr>
          <w:rFonts w:asciiTheme="majorHAnsi" w:hAnsiTheme="majorHAnsi" w:cstheme="majorHAnsi"/>
          <w:sz w:val="22"/>
        </w:rPr>
        <w:t xml:space="preserve">e </w:t>
      </w:r>
      <w:r w:rsidRPr="00CD0D37">
        <w:rPr>
          <w:rFonts w:asciiTheme="majorHAnsi" w:hAnsiTheme="majorHAnsi" w:cstheme="majorHAnsi"/>
          <w:b/>
          <w:sz w:val="22"/>
        </w:rPr>
        <w:t>AI Based Electricity Demand Forecasting System</w:t>
      </w:r>
      <w:r>
        <w:rPr>
          <w:rFonts w:asciiTheme="majorHAnsi" w:hAnsiTheme="majorHAnsi" w:cstheme="majorHAnsi"/>
          <w:sz w:val="22"/>
        </w:rPr>
        <w:t xml:space="preserve"> for </w:t>
      </w:r>
      <w:r w:rsidRPr="00CD0D37">
        <w:rPr>
          <w:rFonts w:asciiTheme="majorHAnsi" w:hAnsiTheme="majorHAnsi" w:cstheme="majorHAnsi"/>
          <w:sz w:val="22"/>
        </w:rPr>
        <w:t>New South Wales</w:t>
      </w:r>
      <w:r>
        <w:rPr>
          <w:rFonts w:asciiTheme="majorHAnsi" w:hAnsiTheme="majorHAnsi" w:cstheme="majorHAnsi"/>
          <w:sz w:val="22"/>
        </w:rPr>
        <w:t xml:space="preserve"> </w:t>
      </w:r>
      <w:r>
        <w:rPr>
          <w:rFonts w:asciiTheme="majorHAnsi" w:hAnsiTheme="majorHAnsi" w:cstheme="majorHAnsi"/>
          <w:sz w:val="22"/>
        </w:rPr>
        <w:t xml:space="preserve">forecasts </w:t>
      </w:r>
      <w:r w:rsidRPr="00CD0D37">
        <w:rPr>
          <w:rFonts w:asciiTheme="majorHAnsi" w:hAnsiTheme="majorHAnsi" w:cstheme="majorHAnsi"/>
          <w:sz w:val="22"/>
        </w:rPr>
        <w:t xml:space="preserve">electricity demand using large-scale historical and real-time data from the New South Wales (NSW) </w:t>
      </w:r>
      <w:r>
        <w:rPr>
          <w:rFonts w:asciiTheme="majorHAnsi" w:hAnsiTheme="majorHAnsi" w:cstheme="majorHAnsi"/>
          <w:sz w:val="22"/>
        </w:rPr>
        <w:t>suburbs</w:t>
      </w:r>
      <w:r w:rsidRPr="00CD0D37">
        <w:rPr>
          <w:rFonts w:asciiTheme="majorHAnsi" w:hAnsiTheme="majorHAnsi" w:cstheme="majorHAnsi"/>
          <w:sz w:val="22"/>
        </w:rPr>
        <w:t xml:space="preserve"> within the National Electricity Market (NEM)</w:t>
      </w:r>
      <w:r w:rsidR="005F7B7B">
        <w:rPr>
          <w:rFonts w:asciiTheme="majorHAnsi" w:hAnsiTheme="majorHAnsi" w:cstheme="majorHAnsi"/>
          <w:sz w:val="22"/>
        </w:rPr>
        <w:t xml:space="preserve"> </w:t>
      </w:r>
      <w:sdt>
        <w:sdtPr>
          <w:rPr>
            <w:rFonts w:asciiTheme="majorHAnsi" w:hAnsiTheme="majorHAnsi" w:cstheme="majorHAnsi"/>
            <w:sz w:val="22"/>
          </w:rPr>
          <w:id w:val="565228047"/>
          <w:citation/>
        </w:sdtPr>
        <w:sdtContent>
          <w:r w:rsidR="005F7B7B">
            <w:rPr>
              <w:rFonts w:asciiTheme="majorHAnsi" w:hAnsiTheme="majorHAnsi" w:cstheme="majorHAnsi"/>
              <w:sz w:val="22"/>
            </w:rPr>
            <w:fldChar w:fldCharType="begin"/>
          </w:r>
          <w:r w:rsidR="005F7B7B">
            <w:rPr>
              <w:rFonts w:asciiTheme="majorHAnsi" w:hAnsiTheme="majorHAnsi" w:cstheme="majorHAnsi"/>
              <w:sz w:val="22"/>
              <w:lang w:val="en-US"/>
            </w:rPr>
            <w:instrText xml:space="preserve"> CITATION AEM23 \l 1033 </w:instrText>
          </w:r>
          <w:r w:rsidR="005F7B7B">
            <w:rPr>
              <w:rFonts w:asciiTheme="majorHAnsi" w:hAnsiTheme="majorHAnsi" w:cstheme="majorHAnsi"/>
              <w:sz w:val="22"/>
            </w:rPr>
            <w:fldChar w:fldCharType="separate"/>
          </w:r>
          <w:r w:rsidR="005F7B7B" w:rsidRPr="005F7B7B">
            <w:rPr>
              <w:rFonts w:asciiTheme="majorHAnsi" w:hAnsiTheme="majorHAnsi" w:cstheme="majorHAnsi"/>
              <w:noProof/>
              <w:sz w:val="22"/>
              <w:lang w:val="en-US"/>
            </w:rPr>
            <w:t>(AEMO, 2023)</w:t>
          </w:r>
          <w:r w:rsidR="005F7B7B">
            <w:rPr>
              <w:rFonts w:asciiTheme="majorHAnsi" w:hAnsiTheme="majorHAnsi" w:cstheme="majorHAnsi"/>
              <w:sz w:val="22"/>
            </w:rPr>
            <w:fldChar w:fldCharType="end"/>
          </w:r>
        </w:sdtContent>
      </w:sdt>
      <w:r w:rsidRPr="00CD0D37">
        <w:rPr>
          <w:rFonts w:asciiTheme="majorHAnsi" w:hAnsiTheme="majorHAnsi" w:cstheme="majorHAnsi"/>
          <w:sz w:val="22"/>
        </w:rPr>
        <w:t xml:space="preserve">. The primary purpose of this system is to </w:t>
      </w:r>
      <w:r w:rsidRPr="00CD0D37">
        <w:rPr>
          <w:rStyle w:val="Strong"/>
          <w:rFonts w:asciiTheme="majorHAnsi" w:hAnsiTheme="majorHAnsi" w:cstheme="majorHAnsi"/>
          <w:sz w:val="22"/>
        </w:rPr>
        <w:t xml:space="preserve">predict short-term electricity demand </w:t>
      </w:r>
      <w:r w:rsidRPr="00CD0D37">
        <w:rPr>
          <w:rStyle w:val="Strong"/>
          <w:rFonts w:asciiTheme="majorHAnsi" w:hAnsiTheme="majorHAnsi" w:cstheme="majorHAnsi"/>
          <w:b w:val="0"/>
          <w:sz w:val="22"/>
        </w:rPr>
        <w:t>at fine temporal granularity (5-minute to 30-minute intervals)</w:t>
      </w:r>
      <w:r w:rsidRPr="00CD0D37">
        <w:rPr>
          <w:rFonts w:asciiTheme="majorHAnsi" w:hAnsiTheme="majorHAnsi" w:cstheme="majorHAnsi"/>
          <w:sz w:val="22"/>
        </w:rPr>
        <w:t xml:space="preserve"> to support grid stability, optimise generation dispatch, and inform energy pricing and policy decisions. Accurate forecasting is critical because even marginal improvements can significantly reduce operational costs for providers while improving affordability and reliability for consumers.</w:t>
      </w:r>
    </w:p>
    <w:p w:rsidR="00CD0D37" w:rsidRPr="00CD0D37" w:rsidRDefault="00CD0D37" w:rsidP="00A30FEF">
      <w:pPr>
        <w:pStyle w:val="NormalWeb"/>
        <w:jc w:val="both"/>
        <w:rPr>
          <w:rFonts w:asciiTheme="majorHAnsi" w:hAnsiTheme="majorHAnsi" w:cstheme="majorHAnsi"/>
          <w:sz w:val="22"/>
        </w:rPr>
      </w:pPr>
      <w:r w:rsidRPr="00CD0D37">
        <w:rPr>
          <w:rFonts w:asciiTheme="majorHAnsi" w:hAnsiTheme="majorHAnsi" w:cstheme="majorHAnsi"/>
          <w:sz w:val="22"/>
        </w:rPr>
        <w:t xml:space="preserve">The data collected for this system is predominantly </w:t>
      </w:r>
      <w:r w:rsidRPr="00CD0D37">
        <w:rPr>
          <w:rStyle w:val="Strong"/>
          <w:rFonts w:asciiTheme="majorHAnsi" w:hAnsiTheme="majorHAnsi" w:cstheme="majorHAnsi"/>
          <w:sz w:val="22"/>
        </w:rPr>
        <w:t xml:space="preserve">operational, environmental, </w:t>
      </w:r>
      <w:r w:rsidRPr="00CD0D37">
        <w:rPr>
          <w:rStyle w:val="Strong"/>
          <w:rFonts w:asciiTheme="majorHAnsi" w:hAnsiTheme="majorHAnsi" w:cstheme="majorHAnsi"/>
          <w:b w:val="0"/>
          <w:sz w:val="22"/>
        </w:rPr>
        <w:t>and</w:t>
      </w:r>
      <w:r w:rsidRPr="00CD0D37">
        <w:rPr>
          <w:rStyle w:val="Strong"/>
          <w:rFonts w:asciiTheme="majorHAnsi" w:hAnsiTheme="majorHAnsi" w:cstheme="majorHAnsi"/>
          <w:sz w:val="22"/>
        </w:rPr>
        <w:t xml:space="preserve"> economic </w:t>
      </w:r>
      <w:r w:rsidRPr="00CD0D37">
        <w:rPr>
          <w:rStyle w:val="Strong"/>
          <w:rFonts w:asciiTheme="majorHAnsi" w:hAnsiTheme="majorHAnsi" w:cstheme="majorHAnsi"/>
          <w:b w:val="0"/>
          <w:sz w:val="22"/>
        </w:rPr>
        <w:t>in nature</w:t>
      </w:r>
      <w:r w:rsidRPr="00CD0D37">
        <w:rPr>
          <w:rFonts w:asciiTheme="majorHAnsi" w:hAnsiTheme="majorHAnsi" w:cstheme="majorHAnsi"/>
          <w:sz w:val="22"/>
        </w:rPr>
        <w:t>. Core datasets include total electricity demand (MW), forecast demand, and air temperature readings sourced from AEMO’s Market Management System and meteorological stations</w:t>
      </w:r>
      <w:r w:rsidR="005F7B7B">
        <w:rPr>
          <w:rFonts w:asciiTheme="majorHAnsi" w:hAnsiTheme="majorHAnsi" w:cstheme="majorHAnsi"/>
          <w:sz w:val="22"/>
        </w:rPr>
        <w:t xml:space="preserve"> </w:t>
      </w:r>
      <w:sdt>
        <w:sdtPr>
          <w:rPr>
            <w:rFonts w:asciiTheme="majorHAnsi" w:hAnsiTheme="majorHAnsi" w:cstheme="majorHAnsi"/>
            <w:sz w:val="22"/>
          </w:rPr>
          <w:id w:val="1135613991"/>
          <w:citation/>
        </w:sdtPr>
        <w:sdtContent>
          <w:r w:rsidR="005F7B7B">
            <w:rPr>
              <w:rFonts w:asciiTheme="majorHAnsi" w:hAnsiTheme="majorHAnsi" w:cstheme="majorHAnsi"/>
              <w:sz w:val="22"/>
            </w:rPr>
            <w:fldChar w:fldCharType="begin"/>
          </w:r>
          <w:r w:rsidR="005F7B7B">
            <w:rPr>
              <w:rFonts w:asciiTheme="majorHAnsi" w:hAnsiTheme="majorHAnsi" w:cstheme="majorHAnsi"/>
              <w:sz w:val="22"/>
              <w:lang w:val="en-US"/>
            </w:rPr>
            <w:instrText xml:space="preserve"> CITATION Cli21 \l 1033 </w:instrText>
          </w:r>
          <w:r w:rsidR="005F7B7B">
            <w:rPr>
              <w:rFonts w:asciiTheme="majorHAnsi" w:hAnsiTheme="majorHAnsi" w:cstheme="majorHAnsi"/>
              <w:sz w:val="22"/>
            </w:rPr>
            <w:fldChar w:fldCharType="separate"/>
          </w:r>
          <w:r w:rsidR="005F7B7B" w:rsidRPr="005F7B7B">
            <w:rPr>
              <w:rFonts w:asciiTheme="majorHAnsi" w:hAnsiTheme="majorHAnsi" w:cstheme="majorHAnsi"/>
              <w:noProof/>
              <w:sz w:val="22"/>
              <w:lang w:val="en-US"/>
            </w:rPr>
            <w:t>(Climate data online, 2021)</w:t>
          </w:r>
          <w:r w:rsidR="005F7B7B">
            <w:rPr>
              <w:rFonts w:asciiTheme="majorHAnsi" w:hAnsiTheme="majorHAnsi" w:cstheme="majorHAnsi"/>
              <w:sz w:val="22"/>
            </w:rPr>
            <w:fldChar w:fldCharType="end"/>
          </w:r>
        </w:sdtContent>
      </w:sdt>
      <w:r w:rsidRPr="00CD0D37">
        <w:rPr>
          <w:rFonts w:asciiTheme="majorHAnsi" w:hAnsiTheme="majorHAnsi" w:cstheme="majorHAnsi"/>
          <w:sz w:val="22"/>
        </w:rPr>
        <w:t xml:space="preserve">. These are supplemented with </w:t>
      </w:r>
      <w:r w:rsidRPr="00CD0D37">
        <w:rPr>
          <w:rStyle w:val="Strong"/>
          <w:rFonts w:asciiTheme="majorHAnsi" w:hAnsiTheme="majorHAnsi" w:cstheme="majorHAnsi"/>
          <w:b w:val="0"/>
          <w:sz w:val="22"/>
        </w:rPr>
        <w:t>macroeconomic indicators</w:t>
      </w:r>
      <w:r w:rsidRPr="00CD0D37">
        <w:rPr>
          <w:rFonts w:asciiTheme="majorHAnsi" w:hAnsiTheme="majorHAnsi" w:cstheme="majorHAnsi"/>
          <w:sz w:val="22"/>
        </w:rPr>
        <w:t xml:space="preserve"> such as </w:t>
      </w:r>
      <w:r w:rsidR="00C22C18">
        <w:rPr>
          <w:rFonts w:asciiTheme="majorHAnsi" w:hAnsiTheme="majorHAnsi" w:cstheme="majorHAnsi"/>
          <w:sz w:val="22"/>
        </w:rPr>
        <w:t>Australian GDP indexe</w:t>
      </w:r>
      <w:r w:rsidRPr="00CD0D37">
        <w:rPr>
          <w:rFonts w:asciiTheme="majorHAnsi" w:hAnsiTheme="majorHAnsi" w:cstheme="majorHAnsi"/>
          <w:sz w:val="22"/>
        </w:rPr>
        <w:t>s, interest rates, and ASX market signals to capture broader economic activity</w:t>
      </w:r>
      <w:r w:rsidR="005F7B7B">
        <w:rPr>
          <w:rFonts w:asciiTheme="majorHAnsi" w:hAnsiTheme="majorHAnsi" w:cstheme="majorHAnsi"/>
          <w:sz w:val="22"/>
        </w:rPr>
        <w:t xml:space="preserve"> </w:t>
      </w:r>
      <w:sdt>
        <w:sdtPr>
          <w:rPr>
            <w:rFonts w:asciiTheme="majorHAnsi" w:hAnsiTheme="majorHAnsi" w:cstheme="majorHAnsi"/>
            <w:sz w:val="22"/>
          </w:rPr>
          <w:id w:val="1195349264"/>
          <w:citation/>
        </w:sdtPr>
        <w:sdtContent>
          <w:r w:rsidR="005F7B7B">
            <w:rPr>
              <w:rFonts w:asciiTheme="majorHAnsi" w:hAnsiTheme="majorHAnsi" w:cstheme="majorHAnsi"/>
              <w:sz w:val="22"/>
            </w:rPr>
            <w:fldChar w:fldCharType="begin"/>
          </w:r>
          <w:r w:rsidR="005F7B7B">
            <w:rPr>
              <w:rFonts w:asciiTheme="majorHAnsi" w:hAnsiTheme="majorHAnsi" w:cstheme="majorHAnsi"/>
              <w:sz w:val="22"/>
              <w:lang w:val="en-US"/>
            </w:rPr>
            <w:instrText xml:space="preserve"> CITATION IEA22 \l 1033 </w:instrText>
          </w:r>
          <w:r w:rsidR="005F7B7B">
            <w:rPr>
              <w:rFonts w:asciiTheme="majorHAnsi" w:hAnsiTheme="majorHAnsi" w:cstheme="majorHAnsi"/>
              <w:sz w:val="22"/>
            </w:rPr>
            <w:fldChar w:fldCharType="separate"/>
          </w:r>
          <w:r w:rsidR="005F7B7B" w:rsidRPr="005F7B7B">
            <w:rPr>
              <w:rFonts w:asciiTheme="majorHAnsi" w:hAnsiTheme="majorHAnsi" w:cstheme="majorHAnsi"/>
              <w:noProof/>
              <w:sz w:val="22"/>
              <w:lang w:val="en-US"/>
            </w:rPr>
            <w:t>(IEA, 2022)</w:t>
          </w:r>
          <w:r w:rsidR="005F7B7B">
            <w:rPr>
              <w:rFonts w:asciiTheme="majorHAnsi" w:hAnsiTheme="majorHAnsi" w:cstheme="majorHAnsi"/>
              <w:sz w:val="22"/>
            </w:rPr>
            <w:fldChar w:fldCharType="end"/>
          </w:r>
        </w:sdtContent>
      </w:sdt>
      <w:r w:rsidRPr="00CD0D37">
        <w:rPr>
          <w:rFonts w:asciiTheme="majorHAnsi" w:hAnsiTheme="majorHAnsi" w:cstheme="majorHAnsi"/>
          <w:sz w:val="22"/>
        </w:rPr>
        <w:t xml:space="preserve">. While the data is largely </w:t>
      </w:r>
      <w:r w:rsidRPr="00CD0D37">
        <w:rPr>
          <w:rStyle w:val="Strong"/>
          <w:rFonts w:asciiTheme="majorHAnsi" w:hAnsiTheme="majorHAnsi" w:cstheme="majorHAnsi"/>
          <w:sz w:val="22"/>
        </w:rPr>
        <w:t>aggregated and non-personal</w:t>
      </w:r>
      <w:r w:rsidRPr="00CD0D37">
        <w:rPr>
          <w:rFonts w:asciiTheme="majorHAnsi" w:hAnsiTheme="majorHAnsi" w:cstheme="majorHAnsi"/>
          <w:sz w:val="22"/>
        </w:rPr>
        <w:t xml:space="preserve">, it indirectly reflects consumption behaviours at a population level and is therefore classified as </w:t>
      </w:r>
      <w:r w:rsidRPr="00CD0D37">
        <w:rPr>
          <w:rStyle w:val="Strong"/>
          <w:rFonts w:asciiTheme="majorHAnsi" w:hAnsiTheme="majorHAnsi" w:cstheme="majorHAnsi"/>
          <w:sz w:val="22"/>
        </w:rPr>
        <w:t xml:space="preserve">internal </w:t>
      </w:r>
      <w:r w:rsidRPr="00CD0D37">
        <w:rPr>
          <w:rStyle w:val="Strong"/>
          <w:rFonts w:asciiTheme="majorHAnsi" w:hAnsiTheme="majorHAnsi" w:cstheme="majorHAnsi"/>
          <w:b w:val="0"/>
          <w:sz w:val="22"/>
        </w:rPr>
        <w:t>and</w:t>
      </w:r>
      <w:r w:rsidRPr="00CD0D37">
        <w:rPr>
          <w:rStyle w:val="Strong"/>
          <w:rFonts w:asciiTheme="majorHAnsi" w:hAnsiTheme="majorHAnsi" w:cstheme="majorHAnsi"/>
          <w:sz w:val="22"/>
        </w:rPr>
        <w:t xml:space="preserve"> sensitive</w:t>
      </w:r>
      <w:r w:rsidRPr="00CD0D37">
        <w:rPr>
          <w:rFonts w:asciiTheme="majorHAnsi" w:hAnsiTheme="majorHAnsi" w:cstheme="majorHAnsi"/>
          <w:sz w:val="22"/>
        </w:rPr>
        <w:t xml:space="preserve">. If extended to smart meter granularity, the same system could involve </w:t>
      </w:r>
      <w:r w:rsidRPr="00CD0D37">
        <w:rPr>
          <w:rStyle w:val="Strong"/>
          <w:rFonts w:asciiTheme="majorHAnsi" w:hAnsiTheme="majorHAnsi" w:cstheme="majorHAnsi"/>
          <w:sz w:val="22"/>
        </w:rPr>
        <w:t>confidential personal data</w:t>
      </w:r>
      <w:r w:rsidRPr="00CD0D37">
        <w:rPr>
          <w:rFonts w:asciiTheme="majorHAnsi" w:hAnsiTheme="majorHAnsi" w:cstheme="majorHAnsi"/>
          <w:sz w:val="22"/>
        </w:rPr>
        <w:t>, raising privacy and regulatory concerns.</w:t>
      </w:r>
    </w:p>
    <w:p w:rsidR="00A30FEF" w:rsidRDefault="00A30FEF" w:rsidP="00A30FEF">
      <w:pPr>
        <w:pStyle w:val="NormalWeb"/>
        <w:jc w:val="both"/>
        <w:rPr>
          <w:rFonts w:asciiTheme="majorHAnsi" w:hAnsiTheme="majorHAnsi" w:cstheme="majorHAnsi"/>
          <w:sz w:val="22"/>
        </w:rPr>
      </w:pPr>
      <w:r w:rsidRPr="00A30FEF">
        <w:rPr>
          <w:rFonts w:asciiTheme="majorHAnsi" w:hAnsiTheme="majorHAnsi" w:cstheme="majorHAnsi"/>
          <w:sz w:val="22"/>
        </w:rPr>
        <w:drawing>
          <wp:inline distT="0" distB="0" distL="0" distR="0" wp14:anchorId="123E6CFB" wp14:editId="6FF15852">
            <wp:extent cx="6449751" cy="3881437"/>
            <wp:effectExtent l="0" t="0" r="825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17258" cy="3922062"/>
                    </a:xfrm>
                    <a:prstGeom prst="rect">
                      <a:avLst/>
                    </a:prstGeom>
                  </pic:spPr>
                </pic:pic>
              </a:graphicData>
            </a:graphic>
          </wp:inline>
        </w:drawing>
      </w:r>
    </w:p>
    <w:p w:rsidR="00CD0D37" w:rsidRPr="00CD0D37" w:rsidRDefault="00CD0D37" w:rsidP="00A30FEF">
      <w:pPr>
        <w:pStyle w:val="NormalWeb"/>
        <w:jc w:val="both"/>
        <w:rPr>
          <w:rFonts w:asciiTheme="majorHAnsi" w:hAnsiTheme="majorHAnsi" w:cstheme="majorHAnsi"/>
          <w:sz w:val="22"/>
        </w:rPr>
      </w:pPr>
      <w:r w:rsidRPr="00CD0D37">
        <w:rPr>
          <w:rFonts w:asciiTheme="majorHAnsi" w:hAnsiTheme="majorHAnsi" w:cstheme="majorHAnsi"/>
          <w:sz w:val="22"/>
        </w:rPr>
        <w:t xml:space="preserve">The </w:t>
      </w:r>
      <w:r w:rsidRPr="00CD0D37">
        <w:rPr>
          <w:rStyle w:val="Strong"/>
          <w:rFonts w:asciiTheme="majorHAnsi" w:hAnsiTheme="majorHAnsi" w:cstheme="majorHAnsi"/>
          <w:sz w:val="22"/>
        </w:rPr>
        <w:t>data supply chain</w:t>
      </w:r>
      <w:r w:rsidRPr="00CD0D37">
        <w:rPr>
          <w:rFonts w:asciiTheme="majorHAnsi" w:hAnsiTheme="majorHAnsi" w:cstheme="majorHAnsi"/>
          <w:sz w:val="22"/>
        </w:rPr>
        <w:t xml:space="preserve"> follows a structured lifecycle</w:t>
      </w:r>
      <w:r w:rsidR="005F7B7B">
        <w:rPr>
          <w:rFonts w:asciiTheme="majorHAnsi" w:hAnsiTheme="majorHAnsi" w:cstheme="majorHAnsi"/>
          <w:sz w:val="22"/>
        </w:rPr>
        <w:t xml:space="preserve"> </w:t>
      </w:r>
      <w:sdt>
        <w:sdtPr>
          <w:rPr>
            <w:rFonts w:asciiTheme="majorHAnsi" w:hAnsiTheme="majorHAnsi" w:cstheme="majorHAnsi"/>
            <w:sz w:val="22"/>
          </w:rPr>
          <w:id w:val="-1690281629"/>
          <w:citation/>
        </w:sdtPr>
        <w:sdtContent>
          <w:r w:rsidR="005F7B7B">
            <w:rPr>
              <w:rFonts w:asciiTheme="majorHAnsi" w:hAnsiTheme="majorHAnsi" w:cstheme="majorHAnsi"/>
              <w:sz w:val="22"/>
            </w:rPr>
            <w:fldChar w:fldCharType="begin"/>
          </w:r>
          <w:r w:rsidR="005F7B7B">
            <w:rPr>
              <w:rFonts w:asciiTheme="majorHAnsi" w:hAnsiTheme="majorHAnsi" w:cstheme="majorHAnsi"/>
              <w:sz w:val="22"/>
              <w:lang w:val="en-US"/>
            </w:rPr>
            <w:instrText xml:space="preserve"> CITATION UNS26 \l 1033 </w:instrText>
          </w:r>
          <w:r w:rsidR="005F7B7B">
            <w:rPr>
              <w:rFonts w:asciiTheme="majorHAnsi" w:hAnsiTheme="majorHAnsi" w:cstheme="majorHAnsi"/>
              <w:sz w:val="22"/>
            </w:rPr>
            <w:fldChar w:fldCharType="separate"/>
          </w:r>
          <w:r w:rsidR="005F7B7B" w:rsidRPr="005F7B7B">
            <w:rPr>
              <w:rFonts w:asciiTheme="majorHAnsi" w:hAnsiTheme="majorHAnsi" w:cstheme="majorHAnsi"/>
              <w:noProof/>
              <w:sz w:val="22"/>
              <w:lang w:val="en-US"/>
            </w:rPr>
            <w:t>(UNSW, ZZBU6505 Data and Ethics, 2026)</w:t>
          </w:r>
          <w:r w:rsidR="005F7B7B">
            <w:rPr>
              <w:rFonts w:asciiTheme="majorHAnsi" w:hAnsiTheme="majorHAnsi" w:cstheme="majorHAnsi"/>
              <w:sz w:val="22"/>
            </w:rPr>
            <w:fldChar w:fldCharType="end"/>
          </w:r>
        </w:sdtContent>
      </w:sdt>
      <w:r w:rsidRPr="00CD0D37">
        <w:rPr>
          <w:rFonts w:asciiTheme="majorHAnsi" w:hAnsiTheme="majorHAnsi" w:cstheme="majorHAnsi"/>
          <w:sz w:val="22"/>
        </w:rPr>
        <w:t xml:space="preserve">. Upstream, data is acquired from multiple sources including AEMO databases, weather stations, and financial datasets. These inputs are ingested through APIs and batch pipelines into a central processing environment. The data then undergoes rigorous </w:t>
      </w:r>
      <w:r w:rsidRPr="00CD0D37">
        <w:rPr>
          <w:rStyle w:val="Strong"/>
          <w:rFonts w:asciiTheme="majorHAnsi" w:hAnsiTheme="majorHAnsi" w:cstheme="majorHAnsi"/>
          <w:sz w:val="22"/>
        </w:rPr>
        <w:t>validation and cleaning</w:t>
      </w:r>
      <w:r w:rsidRPr="00CD0D37">
        <w:rPr>
          <w:rFonts w:asciiTheme="majorHAnsi" w:hAnsiTheme="majorHAnsi" w:cstheme="majorHAnsi"/>
          <w:sz w:val="22"/>
        </w:rPr>
        <w:t>, ensuring timestamp continuity and addressing missing values through interpolation. Exploratory data analysis reveals key drivers of demand, particularly the strong non-linear relationship between temperature and electricity consumption</w:t>
      </w:r>
      <w:r w:rsidR="003374BC">
        <w:rPr>
          <w:rFonts w:asciiTheme="majorHAnsi" w:hAnsiTheme="majorHAnsi" w:cstheme="majorHAnsi"/>
          <w:sz w:val="22"/>
        </w:rPr>
        <w:t xml:space="preserve"> due to higher demand due to heating &amp; cooling requirements during extreme weathers</w:t>
      </w:r>
      <w:r w:rsidRPr="00CD0D37">
        <w:rPr>
          <w:rFonts w:asciiTheme="majorHAnsi" w:hAnsiTheme="majorHAnsi" w:cstheme="majorHAnsi"/>
          <w:sz w:val="22"/>
        </w:rPr>
        <w:t>, as well as consistent intraday and weekly cycles.</w:t>
      </w:r>
    </w:p>
    <w:p w:rsidR="00CD0D37" w:rsidRDefault="00CD0D37" w:rsidP="00A30FEF">
      <w:pPr>
        <w:pStyle w:val="NormalWeb"/>
        <w:jc w:val="both"/>
        <w:rPr>
          <w:rFonts w:asciiTheme="majorHAnsi" w:hAnsiTheme="majorHAnsi" w:cstheme="majorHAnsi"/>
          <w:sz w:val="22"/>
        </w:rPr>
      </w:pPr>
      <w:r w:rsidRPr="00CD0D37">
        <w:rPr>
          <w:rFonts w:asciiTheme="majorHAnsi" w:hAnsiTheme="majorHAnsi" w:cstheme="majorHAnsi"/>
          <w:sz w:val="22"/>
        </w:rPr>
        <w:lastRenderedPageBreak/>
        <w:t xml:space="preserve">Following this, extensive </w:t>
      </w:r>
      <w:r w:rsidRPr="00CD0D37">
        <w:rPr>
          <w:rStyle w:val="Strong"/>
          <w:rFonts w:asciiTheme="majorHAnsi" w:hAnsiTheme="majorHAnsi" w:cstheme="majorHAnsi"/>
          <w:sz w:val="22"/>
        </w:rPr>
        <w:t>feature engineering and transformation</w:t>
      </w:r>
      <w:r w:rsidRPr="00CD0D37">
        <w:rPr>
          <w:rFonts w:asciiTheme="majorHAnsi" w:hAnsiTheme="majorHAnsi" w:cstheme="majorHAnsi"/>
          <w:sz w:val="22"/>
        </w:rPr>
        <w:t xml:space="preserve"> are applied to enhance predictive capability. Temporal variables are encoded cyclically, while lag features and rolling statistics capture persistence and trends. Additional engineered variables, such as Heating and Cooling Degree Days (HDD/CDD), interaction terms, and calendar effects (e.g., holidays, COVID period), allow the model to capture complex behavioural and environmental dynamics. The final dataset consists of a </w:t>
      </w:r>
      <w:r w:rsidRPr="00CD0D37">
        <w:rPr>
          <w:rStyle w:val="Strong"/>
          <w:rFonts w:asciiTheme="majorHAnsi" w:hAnsiTheme="majorHAnsi" w:cstheme="majorHAnsi"/>
          <w:sz w:val="22"/>
        </w:rPr>
        <w:t>model-ready feature space</w:t>
      </w:r>
      <w:r w:rsidRPr="00CD0D37">
        <w:rPr>
          <w:rFonts w:asciiTheme="majorHAnsi" w:hAnsiTheme="majorHAnsi" w:cstheme="majorHAnsi"/>
          <w:sz w:val="22"/>
        </w:rPr>
        <w:t>, combining both linear and non-linear predictors.</w:t>
      </w:r>
    </w:p>
    <w:p w:rsidR="00A30FEF" w:rsidRDefault="00B35EB5" w:rsidP="00B35EB5">
      <w:pPr>
        <w:pStyle w:val="NormalWeb"/>
        <w:spacing w:before="0" w:beforeAutospacing="0" w:after="0" w:afterAutospacing="0"/>
        <w:jc w:val="both"/>
        <w:rPr>
          <w:rFonts w:asciiTheme="majorHAnsi" w:hAnsiTheme="majorHAnsi" w:cstheme="majorHAnsi"/>
          <w:sz w:val="22"/>
        </w:rPr>
      </w:pPr>
      <w:r w:rsidRPr="00B35EB5">
        <w:rPr>
          <w:rFonts w:asciiTheme="majorHAnsi" w:hAnsiTheme="majorHAnsi" w:cstheme="majorHAnsi"/>
          <w:sz w:val="22"/>
        </w:rPr>
        <w:drawing>
          <wp:inline distT="0" distB="0" distL="0" distR="0" wp14:anchorId="0FFF983F" wp14:editId="355BA558">
            <wp:extent cx="5731510" cy="157226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572260"/>
                    </a:xfrm>
                    <a:prstGeom prst="rect">
                      <a:avLst/>
                    </a:prstGeom>
                  </pic:spPr>
                </pic:pic>
              </a:graphicData>
            </a:graphic>
          </wp:inline>
        </w:drawing>
      </w:r>
    </w:p>
    <w:p w:rsidR="00B35EB5" w:rsidRPr="00B35EB5" w:rsidRDefault="00B35EB5" w:rsidP="00B35EB5">
      <w:pPr>
        <w:pStyle w:val="NormalWeb"/>
        <w:spacing w:before="0" w:beforeAutospacing="0" w:after="0" w:afterAutospacing="0"/>
        <w:jc w:val="center"/>
        <w:rPr>
          <w:rFonts w:asciiTheme="majorHAnsi" w:hAnsiTheme="majorHAnsi" w:cstheme="majorHAnsi"/>
          <w:i/>
          <w:sz w:val="18"/>
        </w:rPr>
      </w:pPr>
      <w:r>
        <w:rPr>
          <w:rFonts w:asciiTheme="majorHAnsi" w:hAnsiTheme="majorHAnsi" w:cstheme="majorHAnsi"/>
          <w:i/>
          <w:sz w:val="18"/>
        </w:rPr>
        <w:t xml:space="preserve">Fig 6: </w:t>
      </w:r>
      <w:r w:rsidRPr="00B35EB5">
        <w:rPr>
          <w:rFonts w:asciiTheme="majorHAnsi" w:hAnsiTheme="majorHAnsi" w:cstheme="majorHAnsi"/>
          <w:i/>
          <w:sz w:val="18"/>
          <w:szCs w:val="27"/>
        </w:rPr>
        <w:t>Electricity Demand Forecasting Data Pipeline</w:t>
      </w:r>
      <w:r w:rsidRPr="00B35EB5">
        <w:rPr>
          <w:rFonts w:asciiTheme="majorHAnsi" w:hAnsiTheme="majorHAnsi" w:cstheme="majorHAnsi"/>
          <w:bCs/>
          <w:i/>
          <w:sz w:val="18"/>
          <w:szCs w:val="27"/>
        </w:rPr>
        <w:t xml:space="preserve"> Diagram</w:t>
      </w:r>
    </w:p>
    <w:p w:rsidR="00CD0D37" w:rsidRPr="00CD0D37" w:rsidRDefault="00CD0D37" w:rsidP="00A30FEF">
      <w:pPr>
        <w:pStyle w:val="NormalWeb"/>
        <w:jc w:val="both"/>
        <w:rPr>
          <w:rFonts w:asciiTheme="majorHAnsi" w:hAnsiTheme="majorHAnsi" w:cstheme="majorHAnsi"/>
          <w:sz w:val="22"/>
        </w:rPr>
      </w:pPr>
      <w:r w:rsidRPr="00CD0D37">
        <w:rPr>
          <w:rFonts w:asciiTheme="majorHAnsi" w:hAnsiTheme="majorHAnsi" w:cstheme="majorHAnsi"/>
          <w:sz w:val="22"/>
        </w:rPr>
        <w:t xml:space="preserve">Downstream, the processed data is used across multiple modelling approaches depending on stakeholder needs. </w:t>
      </w:r>
      <w:r w:rsidRPr="00CD0D37">
        <w:rPr>
          <w:rStyle w:val="Strong"/>
          <w:rFonts w:asciiTheme="majorHAnsi" w:hAnsiTheme="majorHAnsi" w:cstheme="majorHAnsi"/>
          <w:sz w:val="22"/>
        </w:rPr>
        <w:t>Statistical methods</w:t>
      </w:r>
      <w:r w:rsidRPr="00CD0D37">
        <w:rPr>
          <w:rFonts w:asciiTheme="majorHAnsi" w:hAnsiTheme="majorHAnsi" w:cstheme="majorHAnsi"/>
          <w:sz w:val="22"/>
        </w:rPr>
        <w:t xml:space="preserve"> such as regression and ARIMA are used for rapid, short-term estimation, while </w:t>
      </w:r>
      <w:r w:rsidRPr="00CD0D37">
        <w:rPr>
          <w:rStyle w:val="Strong"/>
          <w:rFonts w:asciiTheme="majorHAnsi" w:hAnsiTheme="majorHAnsi" w:cstheme="majorHAnsi"/>
          <w:sz w:val="22"/>
        </w:rPr>
        <w:t>machine learning models</w:t>
      </w:r>
      <w:r w:rsidRPr="00CD0D37">
        <w:rPr>
          <w:rFonts w:asciiTheme="majorHAnsi" w:hAnsiTheme="majorHAnsi" w:cstheme="majorHAnsi"/>
          <w:sz w:val="22"/>
        </w:rPr>
        <w:t xml:space="preserve"> including LSTM</w:t>
      </w:r>
      <w:r w:rsidR="005F7B7B">
        <w:rPr>
          <w:rFonts w:asciiTheme="majorHAnsi" w:hAnsiTheme="majorHAnsi" w:cstheme="majorHAnsi"/>
          <w:sz w:val="22"/>
        </w:rPr>
        <w:t xml:space="preserve"> </w:t>
      </w:r>
      <w:sdt>
        <w:sdtPr>
          <w:rPr>
            <w:rFonts w:asciiTheme="majorHAnsi" w:hAnsiTheme="majorHAnsi" w:cstheme="majorHAnsi"/>
            <w:sz w:val="22"/>
          </w:rPr>
          <w:id w:val="705066426"/>
          <w:citation/>
        </w:sdtPr>
        <w:sdtContent>
          <w:r w:rsidR="005F7B7B">
            <w:rPr>
              <w:rFonts w:asciiTheme="majorHAnsi" w:hAnsiTheme="majorHAnsi" w:cstheme="majorHAnsi"/>
              <w:sz w:val="22"/>
            </w:rPr>
            <w:fldChar w:fldCharType="begin"/>
          </w:r>
          <w:r w:rsidR="005F7B7B">
            <w:rPr>
              <w:rFonts w:asciiTheme="majorHAnsi" w:hAnsiTheme="majorHAnsi" w:cstheme="majorHAnsi"/>
              <w:sz w:val="22"/>
              <w:lang w:val="en-US"/>
            </w:rPr>
            <w:instrText xml:space="preserve"> CITATION Hoc97 \l 1033 </w:instrText>
          </w:r>
          <w:r w:rsidR="005F7B7B">
            <w:rPr>
              <w:rFonts w:asciiTheme="majorHAnsi" w:hAnsiTheme="majorHAnsi" w:cstheme="majorHAnsi"/>
              <w:sz w:val="22"/>
            </w:rPr>
            <w:fldChar w:fldCharType="separate"/>
          </w:r>
          <w:r w:rsidR="005F7B7B" w:rsidRPr="005F7B7B">
            <w:rPr>
              <w:rFonts w:asciiTheme="majorHAnsi" w:hAnsiTheme="majorHAnsi" w:cstheme="majorHAnsi"/>
              <w:noProof/>
              <w:sz w:val="22"/>
              <w:lang w:val="en-US"/>
            </w:rPr>
            <w:t>(Hochreiter &amp; Schmidhuber, 1997)</w:t>
          </w:r>
          <w:r w:rsidR="005F7B7B">
            <w:rPr>
              <w:rFonts w:asciiTheme="majorHAnsi" w:hAnsiTheme="majorHAnsi" w:cstheme="majorHAnsi"/>
              <w:sz w:val="22"/>
            </w:rPr>
            <w:fldChar w:fldCharType="end"/>
          </w:r>
        </w:sdtContent>
      </w:sdt>
      <w:r w:rsidRPr="00CD0D37">
        <w:rPr>
          <w:rFonts w:asciiTheme="majorHAnsi" w:hAnsiTheme="majorHAnsi" w:cstheme="majorHAnsi"/>
          <w:sz w:val="22"/>
        </w:rPr>
        <w:t>, Temporal Convolutional Networks (TCN), and Transformer-based architectures enable more sophisticated forecasting and scenario simulation. Hybrid approaches further improve predictive accuracy and robustness</w:t>
      </w:r>
      <w:r w:rsidR="005F7B7B">
        <w:rPr>
          <w:rFonts w:asciiTheme="majorHAnsi" w:hAnsiTheme="majorHAnsi" w:cstheme="majorHAnsi"/>
          <w:sz w:val="22"/>
        </w:rPr>
        <w:t xml:space="preserve"> </w:t>
      </w:r>
      <w:sdt>
        <w:sdtPr>
          <w:rPr>
            <w:rFonts w:asciiTheme="majorHAnsi" w:hAnsiTheme="majorHAnsi" w:cstheme="majorHAnsi"/>
            <w:sz w:val="22"/>
          </w:rPr>
          <w:id w:val="1287090080"/>
          <w:citation/>
        </w:sdtPr>
        <w:sdtContent>
          <w:r w:rsidR="005F7B7B">
            <w:rPr>
              <w:rFonts w:asciiTheme="majorHAnsi" w:hAnsiTheme="majorHAnsi" w:cstheme="majorHAnsi"/>
              <w:sz w:val="22"/>
            </w:rPr>
            <w:fldChar w:fldCharType="begin"/>
          </w:r>
          <w:r w:rsidR="005F7B7B">
            <w:rPr>
              <w:rFonts w:asciiTheme="majorHAnsi" w:hAnsiTheme="majorHAnsi" w:cstheme="majorHAnsi"/>
              <w:sz w:val="22"/>
              <w:lang w:val="en-US"/>
            </w:rPr>
            <w:instrText xml:space="preserve"> CITATION Zha98 \l 1033 </w:instrText>
          </w:r>
          <w:r w:rsidR="005F7B7B">
            <w:rPr>
              <w:rFonts w:asciiTheme="majorHAnsi" w:hAnsiTheme="majorHAnsi" w:cstheme="majorHAnsi"/>
              <w:sz w:val="22"/>
            </w:rPr>
            <w:fldChar w:fldCharType="separate"/>
          </w:r>
          <w:r w:rsidR="005F7B7B" w:rsidRPr="005F7B7B">
            <w:rPr>
              <w:rFonts w:asciiTheme="majorHAnsi" w:hAnsiTheme="majorHAnsi" w:cstheme="majorHAnsi"/>
              <w:noProof/>
              <w:sz w:val="22"/>
              <w:lang w:val="en-US"/>
            </w:rPr>
            <w:t>(Zhang, Eddy Patuwo, &amp; Hu, 1998)</w:t>
          </w:r>
          <w:r w:rsidR="005F7B7B">
            <w:rPr>
              <w:rFonts w:asciiTheme="majorHAnsi" w:hAnsiTheme="majorHAnsi" w:cstheme="majorHAnsi"/>
              <w:sz w:val="22"/>
            </w:rPr>
            <w:fldChar w:fldCharType="end"/>
          </w:r>
        </w:sdtContent>
      </w:sdt>
      <w:r w:rsidRPr="00CD0D37">
        <w:rPr>
          <w:rFonts w:asciiTheme="majorHAnsi" w:hAnsiTheme="majorHAnsi" w:cstheme="majorHAnsi"/>
          <w:sz w:val="22"/>
        </w:rPr>
        <w:t>.</w:t>
      </w:r>
    </w:p>
    <w:p w:rsidR="00CD0D37" w:rsidRPr="00CD0D37" w:rsidRDefault="00CD0D37" w:rsidP="00A30FEF">
      <w:pPr>
        <w:pStyle w:val="NormalWeb"/>
        <w:jc w:val="both"/>
        <w:rPr>
          <w:rFonts w:asciiTheme="majorHAnsi" w:hAnsiTheme="majorHAnsi" w:cstheme="majorHAnsi"/>
          <w:sz w:val="22"/>
        </w:rPr>
      </w:pPr>
      <w:r w:rsidRPr="00CD0D37">
        <w:rPr>
          <w:rFonts w:asciiTheme="majorHAnsi" w:hAnsiTheme="majorHAnsi" w:cstheme="majorHAnsi"/>
          <w:sz w:val="22"/>
        </w:rPr>
        <w:t xml:space="preserve">The outputs of these models are used by </w:t>
      </w:r>
      <w:r w:rsidRPr="00CD0D37">
        <w:rPr>
          <w:rStyle w:val="Strong"/>
          <w:rFonts w:asciiTheme="majorHAnsi" w:hAnsiTheme="majorHAnsi" w:cstheme="majorHAnsi"/>
          <w:sz w:val="22"/>
        </w:rPr>
        <w:t>grid operators, energy providers, and policymakers</w:t>
      </w:r>
      <w:r w:rsidRPr="00CD0D37">
        <w:rPr>
          <w:rFonts w:asciiTheme="majorHAnsi" w:hAnsiTheme="majorHAnsi" w:cstheme="majorHAnsi"/>
          <w:sz w:val="22"/>
        </w:rPr>
        <w:t xml:space="preserve"> to make critical decisions, including load balancing, pricing strategies, and infrastructure planning. Data is stored in secure cloud environments with controlled access, and retention policies ensure that historical datasets are preserved for auditing and model refinement, while obsolete data is archived or deleted in accordance with governance requirements.</w:t>
      </w:r>
    </w:p>
    <w:p w:rsidR="00B35EB5" w:rsidRDefault="00CD0D37" w:rsidP="00A30FEF">
      <w:pPr>
        <w:pStyle w:val="NormalWeb"/>
        <w:jc w:val="both"/>
        <w:rPr>
          <w:rFonts w:asciiTheme="majorHAnsi" w:hAnsiTheme="majorHAnsi" w:cstheme="majorHAnsi"/>
          <w:sz w:val="22"/>
        </w:rPr>
      </w:pPr>
      <w:r w:rsidRPr="00CD0D37">
        <w:rPr>
          <w:rFonts w:asciiTheme="majorHAnsi" w:hAnsiTheme="majorHAnsi" w:cstheme="majorHAnsi"/>
          <w:sz w:val="22"/>
        </w:rPr>
        <w:t>Overall, this system represents a complex, multi-layered data ecosystem where data is continuously collected, transformed, and utilised to support high-stakes decision-making, highlighting the importance of both technical accuracy and responsible data governance.</w:t>
      </w:r>
    </w:p>
    <w:p w:rsidR="00B35EB5" w:rsidRDefault="00B35EB5">
      <w:pPr>
        <w:rPr>
          <w:rFonts w:asciiTheme="majorHAnsi" w:eastAsia="Times New Roman" w:hAnsiTheme="majorHAnsi" w:cstheme="majorHAnsi"/>
          <w:szCs w:val="24"/>
          <w:lang w:eastAsia="en-AU"/>
        </w:rPr>
      </w:pPr>
      <w:r>
        <w:rPr>
          <w:rFonts w:asciiTheme="majorHAnsi" w:hAnsiTheme="majorHAnsi" w:cstheme="majorHAnsi"/>
        </w:rPr>
        <w:br w:type="page"/>
      </w:r>
    </w:p>
    <w:p w:rsidR="005D41A0" w:rsidRPr="00B204C9" w:rsidRDefault="005D41A0" w:rsidP="00B204C9">
      <w:pPr>
        <w:pStyle w:val="Heading2"/>
        <w:numPr>
          <w:ilvl w:val="0"/>
          <w:numId w:val="3"/>
        </w:numPr>
        <w:rPr>
          <w:rFonts w:asciiTheme="majorHAnsi" w:hAnsiTheme="majorHAnsi" w:cstheme="majorHAnsi"/>
          <w:sz w:val="28"/>
        </w:rPr>
      </w:pPr>
      <w:bookmarkStart w:id="2" w:name="_Toc226463270"/>
      <w:r w:rsidRPr="00B204C9">
        <w:rPr>
          <w:rFonts w:asciiTheme="majorHAnsi" w:hAnsiTheme="majorHAnsi" w:cstheme="majorHAnsi"/>
          <w:sz w:val="28"/>
        </w:rPr>
        <w:lastRenderedPageBreak/>
        <w:t>Stakeholders</w:t>
      </w:r>
      <w:bookmarkEnd w:id="2"/>
    </w:p>
    <w:p w:rsidR="005D41A0" w:rsidRPr="00AA40A8" w:rsidRDefault="00BC7ED6" w:rsidP="00AA40A8">
      <w:pPr>
        <w:spacing w:after="0" w:line="240" w:lineRule="auto"/>
        <w:jc w:val="both"/>
        <w:rPr>
          <w:rFonts w:ascii="Calibri Light" w:eastAsia="Times New Roman" w:hAnsi="Calibri Light" w:cs="Calibri Light"/>
          <w:color w:val="000000"/>
          <w:lang w:eastAsia="en-AU"/>
        </w:rPr>
      </w:pPr>
      <w:r w:rsidRPr="00AA40A8">
        <w:rPr>
          <w:rFonts w:ascii="Calibri Light" w:eastAsia="Times New Roman" w:hAnsi="Calibri Light" w:cs="Calibri Light"/>
          <w:color w:val="000000"/>
          <w:lang w:eastAsia="en-AU"/>
        </w:rPr>
        <w:t xml:space="preserve">The electricity demand forecasting system involves multiple stakeholders spanning data generation, modelling, and decision-making. These include consumers (data subjects), operators, </w:t>
      </w:r>
      <w:r w:rsidR="00AA40A8" w:rsidRPr="00AA40A8">
        <w:rPr>
          <w:rFonts w:ascii="Calibri Light" w:eastAsia="Times New Roman" w:hAnsi="Calibri Light" w:cs="Calibri Light"/>
          <w:color w:val="000000"/>
          <w:lang w:eastAsia="en-AU"/>
        </w:rPr>
        <w:t>providers</w:t>
      </w:r>
      <w:r w:rsidR="00AA40A8">
        <w:rPr>
          <w:rFonts w:ascii="Calibri Light" w:eastAsia="Times New Roman" w:hAnsi="Calibri Light" w:cs="Calibri Light"/>
          <w:color w:val="000000"/>
          <w:lang w:eastAsia="en-AU"/>
        </w:rPr>
        <w:t xml:space="preserve">, </w:t>
      </w:r>
      <w:r w:rsidRPr="00AA40A8">
        <w:rPr>
          <w:rFonts w:ascii="Calibri Light" w:eastAsia="Times New Roman" w:hAnsi="Calibri Light" w:cs="Calibri Light"/>
          <w:color w:val="000000"/>
          <w:lang w:eastAsia="en-AU"/>
        </w:rPr>
        <w:t>regulators, and data suppliers. Each group interacts differently with the data, exhibiting varying levels of power, agency, and vulnerability within the broader data-driven energy ecosystem.</w:t>
      </w:r>
    </w:p>
    <w:p w:rsidR="005D41A0" w:rsidRPr="00B35EB5" w:rsidRDefault="005D41A0" w:rsidP="00B35EB5">
      <w:pPr>
        <w:spacing w:before="100" w:beforeAutospacing="1" w:after="100" w:afterAutospacing="1" w:line="240" w:lineRule="auto"/>
        <w:outlineLvl w:val="2"/>
        <w:rPr>
          <w:rFonts w:asciiTheme="majorHAnsi" w:eastAsia="Times New Roman" w:hAnsiTheme="majorHAnsi" w:cstheme="majorHAnsi"/>
          <w:b/>
          <w:bCs/>
          <w:sz w:val="24"/>
          <w:szCs w:val="27"/>
          <w:lang w:eastAsia="en-AU"/>
        </w:rPr>
      </w:pPr>
      <w:bookmarkStart w:id="3" w:name="_Toc226463271"/>
      <w:r w:rsidRPr="00B35EB5">
        <w:rPr>
          <w:rFonts w:asciiTheme="majorHAnsi" w:eastAsia="Times New Roman" w:hAnsiTheme="majorHAnsi" w:cstheme="majorHAnsi"/>
          <w:b/>
          <w:bCs/>
          <w:sz w:val="24"/>
          <w:szCs w:val="27"/>
          <w:lang w:eastAsia="en-AU"/>
        </w:rPr>
        <w:t>Table 1: Stakeholder Analysis</w:t>
      </w:r>
      <w:bookmarkEnd w:id="3"/>
    </w:p>
    <w:tbl>
      <w:tblPr>
        <w:tblW w:w="10348" w:type="dxa"/>
        <w:tblInd w:w="-10" w:type="dxa"/>
        <w:tblLayout w:type="fixed"/>
        <w:tblLook w:val="04A0" w:firstRow="1" w:lastRow="0" w:firstColumn="1" w:lastColumn="0" w:noHBand="0" w:noVBand="1"/>
      </w:tblPr>
      <w:tblGrid>
        <w:gridCol w:w="1721"/>
        <w:gridCol w:w="2674"/>
        <w:gridCol w:w="1417"/>
        <w:gridCol w:w="2126"/>
        <w:gridCol w:w="2410"/>
      </w:tblGrid>
      <w:tr w:rsidR="002C1A79" w:rsidRPr="00D669A0" w:rsidTr="00AB33ED">
        <w:trPr>
          <w:trHeight w:val="293"/>
        </w:trPr>
        <w:tc>
          <w:tcPr>
            <w:tcW w:w="1721" w:type="dxa"/>
            <w:tcBorders>
              <w:top w:val="single" w:sz="8" w:space="0" w:color="auto"/>
              <w:left w:val="single" w:sz="8" w:space="0" w:color="auto"/>
              <w:bottom w:val="single" w:sz="8" w:space="0" w:color="auto"/>
              <w:right w:val="single" w:sz="4" w:space="0" w:color="auto"/>
            </w:tcBorders>
            <w:shd w:val="clear" w:color="000000" w:fill="262626"/>
            <w:vAlign w:val="center"/>
            <w:hideMark/>
          </w:tcPr>
          <w:p w:rsidR="00D669A0" w:rsidRPr="00D669A0" w:rsidRDefault="00D669A0" w:rsidP="00D669A0">
            <w:pPr>
              <w:spacing w:after="0" w:line="240" w:lineRule="auto"/>
              <w:jc w:val="center"/>
              <w:rPr>
                <w:rFonts w:ascii="Calibri Light" w:eastAsia="Times New Roman" w:hAnsi="Calibri Light" w:cs="Calibri Light"/>
                <w:b/>
                <w:bCs/>
                <w:color w:val="FFFFFF"/>
                <w:lang w:eastAsia="en-AU"/>
              </w:rPr>
            </w:pPr>
            <w:r w:rsidRPr="00D669A0">
              <w:rPr>
                <w:rFonts w:ascii="Calibri Light" w:eastAsia="Times New Roman" w:hAnsi="Calibri Light" w:cs="Calibri Light"/>
                <w:b/>
                <w:bCs/>
                <w:color w:val="FFFFFF"/>
                <w:lang w:eastAsia="en-AU"/>
              </w:rPr>
              <w:t>Stakeholder</w:t>
            </w:r>
          </w:p>
        </w:tc>
        <w:tc>
          <w:tcPr>
            <w:tcW w:w="2674" w:type="dxa"/>
            <w:tcBorders>
              <w:top w:val="single" w:sz="8" w:space="0" w:color="auto"/>
              <w:left w:val="nil"/>
              <w:bottom w:val="single" w:sz="8" w:space="0" w:color="auto"/>
              <w:right w:val="single" w:sz="4" w:space="0" w:color="auto"/>
            </w:tcBorders>
            <w:shd w:val="clear" w:color="000000" w:fill="262626"/>
            <w:vAlign w:val="center"/>
            <w:hideMark/>
          </w:tcPr>
          <w:p w:rsidR="00D669A0" w:rsidRPr="00D669A0" w:rsidRDefault="00D669A0" w:rsidP="00D669A0">
            <w:pPr>
              <w:spacing w:after="0" w:line="240" w:lineRule="auto"/>
              <w:jc w:val="center"/>
              <w:rPr>
                <w:rFonts w:ascii="Calibri Light" w:eastAsia="Times New Roman" w:hAnsi="Calibri Light" w:cs="Calibri Light"/>
                <w:b/>
                <w:bCs/>
                <w:color w:val="FFFFFF"/>
                <w:lang w:eastAsia="en-AU"/>
              </w:rPr>
            </w:pPr>
            <w:r w:rsidRPr="00D669A0">
              <w:rPr>
                <w:rFonts w:ascii="Calibri Light" w:eastAsia="Times New Roman" w:hAnsi="Calibri Light" w:cs="Calibri Light"/>
                <w:b/>
                <w:bCs/>
                <w:color w:val="FFFFFF"/>
                <w:lang w:eastAsia="en-AU"/>
              </w:rPr>
              <w:t>Relationship to Data</w:t>
            </w:r>
          </w:p>
        </w:tc>
        <w:tc>
          <w:tcPr>
            <w:tcW w:w="1417" w:type="dxa"/>
            <w:tcBorders>
              <w:top w:val="single" w:sz="8" w:space="0" w:color="auto"/>
              <w:left w:val="nil"/>
              <w:bottom w:val="single" w:sz="8" w:space="0" w:color="auto"/>
              <w:right w:val="single" w:sz="4" w:space="0" w:color="auto"/>
            </w:tcBorders>
            <w:shd w:val="clear" w:color="000000" w:fill="262626"/>
            <w:vAlign w:val="center"/>
            <w:hideMark/>
          </w:tcPr>
          <w:p w:rsidR="00D669A0" w:rsidRPr="00D669A0" w:rsidRDefault="00D669A0" w:rsidP="00D669A0">
            <w:pPr>
              <w:spacing w:after="0" w:line="240" w:lineRule="auto"/>
              <w:jc w:val="center"/>
              <w:rPr>
                <w:rFonts w:ascii="Calibri Light" w:eastAsia="Times New Roman" w:hAnsi="Calibri Light" w:cs="Calibri Light"/>
                <w:b/>
                <w:bCs/>
                <w:color w:val="FFFFFF"/>
                <w:lang w:eastAsia="en-AU"/>
              </w:rPr>
            </w:pPr>
            <w:r w:rsidRPr="00D669A0">
              <w:rPr>
                <w:rFonts w:ascii="Calibri Light" w:eastAsia="Times New Roman" w:hAnsi="Calibri Light" w:cs="Calibri Light"/>
                <w:b/>
                <w:bCs/>
                <w:color w:val="FFFFFF"/>
                <w:lang w:eastAsia="en-AU"/>
              </w:rPr>
              <w:t>Power</w:t>
            </w:r>
          </w:p>
        </w:tc>
        <w:tc>
          <w:tcPr>
            <w:tcW w:w="2126" w:type="dxa"/>
            <w:tcBorders>
              <w:top w:val="single" w:sz="8" w:space="0" w:color="auto"/>
              <w:left w:val="nil"/>
              <w:bottom w:val="single" w:sz="8" w:space="0" w:color="auto"/>
              <w:right w:val="single" w:sz="4" w:space="0" w:color="auto"/>
            </w:tcBorders>
            <w:shd w:val="clear" w:color="000000" w:fill="262626"/>
            <w:vAlign w:val="center"/>
            <w:hideMark/>
          </w:tcPr>
          <w:p w:rsidR="00D669A0" w:rsidRPr="00D669A0" w:rsidRDefault="00D669A0" w:rsidP="00D669A0">
            <w:pPr>
              <w:spacing w:after="0" w:line="240" w:lineRule="auto"/>
              <w:jc w:val="center"/>
              <w:rPr>
                <w:rFonts w:ascii="Calibri Light" w:eastAsia="Times New Roman" w:hAnsi="Calibri Light" w:cs="Calibri Light"/>
                <w:b/>
                <w:bCs/>
                <w:color w:val="FFFFFF"/>
                <w:lang w:eastAsia="en-AU"/>
              </w:rPr>
            </w:pPr>
            <w:r w:rsidRPr="00D669A0">
              <w:rPr>
                <w:rFonts w:ascii="Calibri Light" w:eastAsia="Times New Roman" w:hAnsi="Calibri Light" w:cs="Calibri Light"/>
                <w:b/>
                <w:bCs/>
                <w:color w:val="FFFFFF"/>
                <w:lang w:eastAsia="en-AU"/>
              </w:rPr>
              <w:t>Agency</w:t>
            </w:r>
          </w:p>
        </w:tc>
        <w:tc>
          <w:tcPr>
            <w:tcW w:w="2410" w:type="dxa"/>
            <w:tcBorders>
              <w:top w:val="single" w:sz="8" w:space="0" w:color="auto"/>
              <w:left w:val="nil"/>
              <w:bottom w:val="single" w:sz="8" w:space="0" w:color="auto"/>
              <w:right w:val="single" w:sz="8" w:space="0" w:color="auto"/>
            </w:tcBorders>
            <w:shd w:val="clear" w:color="000000" w:fill="262626"/>
            <w:vAlign w:val="center"/>
            <w:hideMark/>
          </w:tcPr>
          <w:p w:rsidR="00D669A0" w:rsidRPr="00D669A0" w:rsidRDefault="00D669A0" w:rsidP="00D669A0">
            <w:pPr>
              <w:spacing w:after="0" w:line="240" w:lineRule="auto"/>
              <w:jc w:val="center"/>
              <w:rPr>
                <w:rFonts w:ascii="Calibri Light" w:eastAsia="Times New Roman" w:hAnsi="Calibri Light" w:cs="Calibri Light"/>
                <w:b/>
                <w:bCs/>
                <w:color w:val="FFFFFF"/>
                <w:lang w:eastAsia="en-AU"/>
              </w:rPr>
            </w:pPr>
            <w:r w:rsidRPr="00D669A0">
              <w:rPr>
                <w:rFonts w:ascii="Calibri Light" w:eastAsia="Times New Roman" w:hAnsi="Calibri Light" w:cs="Calibri Light"/>
                <w:b/>
                <w:bCs/>
                <w:color w:val="FFFFFF"/>
                <w:lang w:eastAsia="en-AU"/>
              </w:rPr>
              <w:t>Vulnerabilities</w:t>
            </w:r>
          </w:p>
        </w:tc>
      </w:tr>
      <w:tr w:rsidR="002C1A79" w:rsidRPr="00D669A0" w:rsidTr="00AB33ED">
        <w:trPr>
          <w:trHeight w:val="1140"/>
        </w:trPr>
        <w:tc>
          <w:tcPr>
            <w:tcW w:w="1721" w:type="dxa"/>
            <w:tcBorders>
              <w:top w:val="nil"/>
              <w:left w:val="single" w:sz="8" w:space="0" w:color="auto"/>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b/>
                <w:bCs/>
                <w:color w:val="000000"/>
                <w:lang w:eastAsia="en-AU"/>
              </w:rPr>
            </w:pPr>
            <w:r w:rsidRPr="00D669A0">
              <w:rPr>
                <w:rFonts w:ascii="Calibri Light" w:eastAsia="Times New Roman" w:hAnsi="Calibri Light" w:cs="Calibri Light"/>
                <w:b/>
                <w:bCs/>
                <w:color w:val="000000"/>
                <w:lang w:eastAsia="en-AU"/>
              </w:rPr>
              <w:t>Electricity Consumers (Households &amp; Businesses)</w:t>
            </w:r>
          </w:p>
        </w:tc>
        <w:tc>
          <w:tcPr>
            <w:tcW w:w="2674"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AB33ED">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Indirect data subjects; consumption behaviours underpin aggrega</w:t>
            </w:r>
            <w:r w:rsidR="00AB33ED">
              <w:rPr>
                <w:rFonts w:ascii="Calibri Light" w:eastAsia="Times New Roman" w:hAnsi="Calibri Light" w:cs="Calibri Light"/>
                <w:color w:val="000000"/>
                <w:lang w:eastAsia="en-AU"/>
              </w:rPr>
              <w:t xml:space="preserve">ted variables </w:t>
            </w:r>
          </w:p>
        </w:tc>
        <w:tc>
          <w:tcPr>
            <w:tcW w:w="1417"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Low</w:t>
            </w:r>
          </w:p>
        </w:tc>
        <w:tc>
          <w:tcPr>
            <w:tcW w:w="2126"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Minimal influence over data collection, modelling, or decision use</w:t>
            </w:r>
          </w:p>
        </w:tc>
        <w:tc>
          <w:tcPr>
            <w:tcW w:w="2410" w:type="dxa"/>
            <w:tcBorders>
              <w:top w:val="nil"/>
              <w:left w:val="nil"/>
              <w:bottom w:val="single" w:sz="4" w:space="0" w:color="auto"/>
              <w:right w:val="single" w:sz="8"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Limited transparency; exposure to pricing volatility and supply decisions</w:t>
            </w:r>
          </w:p>
        </w:tc>
      </w:tr>
      <w:tr w:rsidR="002C1A79" w:rsidRPr="00D669A0" w:rsidTr="00AB33ED">
        <w:trPr>
          <w:trHeight w:val="1140"/>
        </w:trPr>
        <w:tc>
          <w:tcPr>
            <w:tcW w:w="1721" w:type="dxa"/>
            <w:tcBorders>
              <w:top w:val="nil"/>
              <w:left w:val="single" w:sz="8" w:space="0" w:color="auto"/>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b/>
                <w:bCs/>
                <w:color w:val="000000"/>
                <w:lang w:eastAsia="en-AU"/>
              </w:rPr>
            </w:pPr>
            <w:r w:rsidRPr="00D669A0">
              <w:rPr>
                <w:rFonts w:ascii="Calibri Light" w:eastAsia="Times New Roman" w:hAnsi="Calibri Light" w:cs="Calibri Light"/>
                <w:b/>
                <w:bCs/>
                <w:color w:val="000000"/>
                <w:lang w:eastAsia="en-AU"/>
              </w:rPr>
              <w:t>Vulnerable Population</w:t>
            </w:r>
            <w:r w:rsidR="00AB33ED">
              <w:rPr>
                <w:rFonts w:ascii="Calibri Light" w:eastAsia="Times New Roman" w:hAnsi="Calibri Light" w:cs="Calibri Light"/>
                <w:b/>
                <w:bCs/>
                <w:color w:val="000000"/>
                <w:lang w:eastAsia="en-AU"/>
              </w:rPr>
              <w:t>s (e.g., low-income, rural</w:t>
            </w:r>
            <w:r w:rsidRPr="00D669A0">
              <w:rPr>
                <w:rFonts w:ascii="Calibri Light" w:eastAsia="Times New Roman" w:hAnsi="Calibri Light" w:cs="Calibri Light"/>
                <w:b/>
                <w:bCs/>
                <w:color w:val="000000"/>
                <w:lang w:eastAsia="en-AU"/>
              </w:rPr>
              <w:t>)</w:t>
            </w:r>
          </w:p>
        </w:tc>
        <w:tc>
          <w:tcPr>
            <w:tcW w:w="2674"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Subset of consumers disproportionately affected by downstream outcomes</w:t>
            </w:r>
          </w:p>
        </w:tc>
        <w:tc>
          <w:tcPr>
            <w:tcW w:w="1417"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Very Low</w:t>
            </w:r>
          </w:p>
        </w:tc>
        <w:tc>
          <w:tcPr>
            <w:tcW w:w="2126"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Negligible control or representation in system design</w:t>
            </w:r>
          </w:p>
        </w:tc>
        <w:tc>
          <w:tcPr>
            <w:tcW w:w="2410" w:type="dxa"/>
            <w:tcBorders>
              <w:top w:val="nil"/>
              <w:left w:val="nil"/>
              <w:bottom w:val="single" w:sz="4" w:space="0" w:color="auto"/>
              <w:right w:val="single" w:sz="8"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Heightened sensitivity to cost increases and service instability</w:t>
            </w:r>
          </w:p>
        </w:tc>
      </w:tr>
      <w:tr w:rsidR="002C1A79" w:rsidRPr="00D669A0" w:rsidTr="00AB33ED">
        <w:trPr>
          <w:trHeight w:val="1140"/>
        </w:trPr>
        <w:tc>
          <w:tcPr>
            <w:tcW w:w="1721" w:type="dxa"/>
            <w:tcBorders>
              <w:top w:val="nil"/>
              <w:left w:val="single" w:sz="8" w:space="0" w:color="auto"/>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b/>
                <w:bCs/>
                <w:color w:val="000000"/>
                <w:lang w:eastAsia="en-AU"/>
              </w:rPr>
            </w:pPr>
            <w:r w:rsidRPr="00D669A0">
              <w:rPr>
                <w:rFonts w:ascii="Calibri Light" w:eastAsia="Times New Roman" w:hAnsi="Calibri Light" w:cs="Calibri Light"/>
                <w:b/>
                <w:bCs/>
                <w:color w:val="000000"/>
                <w:lang w:eastAsia="en-AU"/>
              </w:rPr>
              <w:t>Grid Operators (e.g., AEMO)</w:t>
            </w:r>
          </w:p>
        </w:tc>
        <w:tc>
          <w:tcPr>
            <w:tcW w:w="2674"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Primary institutional users of forecasts for load balancing and system reliability</w:t>
            </w:r>
          </w:p>
        </w:tc>
        <w:tc>
          <w:tcPr>
            <w:tcW w:w="1417"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Very High</w:t>
            </w:r>
          </w:p>
        </w:tc>
        <w:tc>
          <w:tcPr>
            <w:tcW w:w="2126"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Extensive control over operational decisions informed by model outputs</w:t>
            </w:r>
          </w:p>
        </w:tc>
        <w:tc>
          <w:tcPr>
            <w:tcW w:w="2410" w:type="dxa"/>
            <w:tcBorders>
              <w:top w:val="nil"/>
              <w:left w:val="nil"/>
              <w:bottom w:val="single" w:sz="4" w:space="0" w:color="auto"/>
              <w:right w:val="single" w:sz="8"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Systemic accountability; dependence on model accuracy and robustness</w:t>
            </w:r>
          </w:p>
        </w:tc>
      </w:tr>
      <w:tr w:rsidR="002C1A79" w:rsidRPr="00D669A0" w:rsidTr="00AB33ED">
        <w:trPr>
          <w:trHeight w:val="855"/>
        </w:trPr>
        <w:tc>
          <w:tcPr>
            <w:tcW w:w="1721" w:type="dxa"/>
            <w:tcBorders>
              <w:top w:val="nil"/>
              <w:left w:val="single" w:sz="8" w:space="0" w:color="auto"/>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b/>
                <w:bCs/>
                <w:color w:val="000000"/>
                <w:lang w:eastAsia="en-AU"/>
              </w:rPr>
            </w:pPr>
            <w:r w:rsidRPr="00D669A0">
              <w:rPr>
                <w:rFonts w:ascii="Calibri Light" w:eastAsia="Times New Roman" w:hAnsi="Calibri Light" w:cs="Calibri Light"/>
                <w:b/>
                <w:bCs/>
                <w:color w:val="000000"/>
                <w:lang w:eastAsia="en-AU"/>
              </w:rPr>
              <w:t>Energy Providers (Retailers &amp; Generators)</w:t>
            </w:r>
          </w:p>
        </w:tc>
        <w:tc>
          <w:tcPr>
            <w:tcW w:w="2674"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Use forecasts for pricing, generation planning, and market participation</w:t>
            </w:r>
          </w:p>
        </w:tc>
        <w:tc>
          <w:tcPr>
            <w:tcW w:w="1417"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High</w:t>
            </w:r>
          </w:p>
        </w:tc>
        <w:tc>
          <w:tcPr>
            <w:tcW w:w="2126"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Significant discretion in applying predictive insights commercially</w:t>
            </w:r>
          </w:p>
        </w:tc>
        <w:tc>
          <w:tcPr>
            <w:tcW w:w="2410" w:type="dxa"/>
            <w:tcBorders>
              <w:top w:val="nil"/>
              <w:left w:val="nil"/>
              <w:bottom w:val="single" w:sz="4" w:space="0" w:color="auto"/>
              <w:right w:val="single" w:sz="8"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Financial and reputational exposure to forecast errors</w:t>
            </w:r>
          </w:p>
        </w:tc>
      </w:tr>
      <w:tr w:rsidR="002C1A79" w:rsidRPr="00D669A0" w:rsidTr="00AB33ED">
        <w:trPr>
          <w:trHeight w:val="1140"/>
        </w:trPr>
        <w:tc>
          <w:tcPr>
            <w:tcW w:w="1721" w:type="dxa"/>
            <w:tcBorders>
              <w:top w:val="nil"/>
              <w:left w:val="single" w:sz="8" w:space="0" w:color="auto"/>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b/>
                <w:bCs/>
                <w:color w:val="000000"/>
                <w:lang w:eastAsia="en-AU"/>
              </w:rPr>
            </w:pPr>
            <w:r w:rsidRPr="00D669A0">
              <w:rPr>
                <w:rFonts w:ascii="Calibri Light" w:eastAsia="Times New Roman" w:hAnsi="Calibri Light" w:cs="Calibri Light"/>
                <w:b/>
                <w:bCs/>
                <w:color w:val="000000"/>
                <w:lang w:eastAsia="en-AU"/>
              </w:rPr>
              <w:t>Data Scientists / Engineers</w:t>
            </w:r>
          </w:p>
        </w:tc>
        <w:tc>
          <w:tcPr>
            <w:tcW w:w="2674"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AB33ED">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Direct custodians of the dataset</w:t>
            </w:r>
            <w:r w:rsidR="00AB33ED">
              <w:rPr>
                <w:rFonts w:ascii="Calibri Light" w:eastAsia="Times New Roman" w:hAnsi="Calibri Light" w:cs="Calibri Light"/>
                <w:color w:val="000000"/>
                <w:lang w:eastAsia="en-AU"/>
              </w:rPr>
              <w:t>,</w:t>
            </w:r>
            <w:r w:rsidRPr="00D669A0">
              <w:rPr>
                <w:rFonts w:ascii="Calibri Light" w:eastAsia="Times New Roman" w:hAnsi="Calibri Light" w:cs="Calibri Light"/>
                <w:color w:val="000000"/>
                <w:lang w:eastAsia="en-AU"/>
              </w:rPr>
              <w:t xml:space="preserve"> responsible for modelling and feature engineering</w:t>
            </w:r>
          </w:p>
        </w:tc>
        <w:tc>
          <w:tcPr>
            <w:tcW w:w="1417"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Medium</w:t>
            </w:r>
          </w:p>
        </w:tc>
        <w:tc>
          <w:tcPr>
            <w:tcW w:w="2126" w:type="dxa"/>
            <w:tcBorders>
              <w:top w:val="nil"/>
              <w:left w:val="nil"/>
              <w:bottom w:val="single" w:sz="4" w:space="0" w:color="auto"/>
              <w:right w:val="single" w:sz="4" w:space="0" w:color="auto"/>
            </w:tcBorders>
            <w:shd w:val="clear" w:color="auto" w:fill="auto"/>
            <w:vAlign w:val="center"/>
            <w:hideMark/>
          </w:tcPr>
          <w:p w:rsidR="00D669A0" w:rsidRPr="00D669A0" w:rsidRDefault="00AB33ED" w:rsidP="00D669A0">
            <w:pPr>
              <w:spacing w:after="0" w:line="240" w:lineRule="auto"/>
              <w:rPr>
                <w:rFonts w:ascii="Calibri Light" w:eastAsia="Times New Roman" w:hAnsi="Calibri Light" w:cs="Calibri Light"/>
                <w:color w:val="000000"/>
                <w:lang w:eastAsia="en-AU"/>
              </w:rPr>
            </w:pPr>
            <w:r>
              <w:rPr>
                <w:rFonts w:ascii="Calibri Light" w:eastAsia="Times New Roman" w:hAnsi="Calibri Light" w:cs="Calibri Light"/>
                <w:color w:val="000000"/>
                <w:lang w:eastAsia="en-AU"/>
              </w:rPr>
              <w:t>T</w:t>
            </w:r>
            <w:r w:rsidR="00D669A0" w:rsidRPr="00D669A0">
              <w:rPr>
                <w:rFonts w:ascii="Calibri Light" w:eastAsia="Times New Roman" w:hAnsi="Calibri Light" w:cs="Calibri Light"/>
                <w:color w:val="000000"/>
                <w:lang w:eastAsia="en-AU"/>
              </w:rPr>
              <w:t>echnical agency in model design, constrained by organisational priorities</w:t>
            </w:r>
          </w:p>
        </w:tc>
        <w:tc>
          <w:tcPr>
            <w:tcW w:w="2410" w:type="dxa"/>
            <w:tcBorders>
              <w:top w:val="nil"/>
              <w:left w:val="nil"/>
              <w:bottom w:val="single" w:sz="4" w:space="0" w:color="auto"/>
              <w:right w:val="single" w:sz="8"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Risk of embedding bias; limited accountability for downstream impacts</w:t>
            </w:r>
          </w:p>
        </w:tc>
      </w:tr>
      <w:tr w:rsidR="002C1A79" w:rsidRPr="00D669A0" w:rsidTr="00AB33ED">
        <w:trPr>
          <w:trHeight w:val="1140"/>
        </w:trPr>
        <w:tc>
          <w:tcPr>
            <w:tcW w:w="1721" w:type="dxa"/>
            <w:tcBorders>
              <w:top w:val="nil"/>
              <w:left w:val="single" w:sz="8" w:space="0" w:color="auto"/>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b/>
                <w:bCs/>
                <w:color w:val="000000"/>
                <w:lang w:eastAsia="en-AU"/>
              </w:rPr>
            </w:pPr>
            <w:r w:rsidRPr="00D669A0">
              <w:rPr>
                <w:rFonts w:ascii="Calibri Light" w:eastAsia="Times New Roman" w:hAnsi="Calibri Light" w:cs="Calibri Light"/>
                <w:b/>
                <w:bCs/>
                <w:color w:val="000000"/>
                <w:lang w:eastAsia="en-AU"/>
              </w:rPr>
              <w:t>Government &amp; Regulators</w:t>
            </w:r>
          </w:p>
        </w:tc>
        <w:tc>
          <w:tcPr>
            <w:tcW w:w="2674"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Oversight of market operations, data governance, and compliance frameworks</w:t>
            </w:r>
          </w:p>
        </w:tc>
        <w:tc>
          <w:tcPr>
            <w:tcW w:w="1417"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High</w:t>
            </w:r>
          </w:p>
        </w:tc>
        <w:tc>
          <w:tcPr>
            <w:tcW w:w="2126"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Authority to enforce standards, audits, and regulatory interventions</w:t>
            </w:r>
          </w:p>
        </w:tc>
        <w:tc>
          <w:tcPr>
            <w:tcW w:w="2410" w:type="dxa"/>
            <w:tcBorders>
              <w:top w:val="nil"/>
              <w:left w:val="nil"/>
              <w:bottom w:val="single" w:sz="4" w:space="0" w:color="auto"/>
              <w:right w:val="single" w:sz="8"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Tension between innovation, market efficiency, and public interest</w:t>
            </w:r>
          </w:p>
        </w:tc>
      </w:tr>
      <w:tr w:rsidR="002C1A79" w:rsidRPr="00D669A0" w:rsidTr="00AB33ED">
        <w:trPr>
          <w:trHeight w:val="855"/>
        </w:trPr>
        <w:tc>
          <w:tcPr>
            <w:tcW w:w="1721" w:type="dxa"/>
            <w:tcBorders>
              <w:top w:val="nil"/>
              <w:left w:val="single" w:sz="8" w:space="0" w:color="auto"/>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b/>
                <w:bCs/>
                <w:color w:val="000000"/>
                <w:lang w:eastAsia="en-AU"/>
              </w:rPr>
            </w:pPr>
            <w:r w:rsidRPr="00D669A0">
              <w:rPr>
                <w:rFonts w:ascii="Calibri Light" w:eastAsia="Times New Roman" w:hAnsi="Calibri Light" w:cs="Calibri Light"/>
                <w:b/>
                <w:bCs/>
                <w:color w:val="000000"/>
                <w:lang w:eastAsia="en-AU"/>
              </w:rPr>
              <w:t>Third-party Data Providers</w:t>
            </w:r>
          </w:p>
        </w:tc>
        <w:tc>
          <w:tcPr>
            <w:tcW w:w="2674"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Supply upstream inputs (e.g., weather, financial indicators) integrated into feature set</w:t>
            </w:r>
          </w:p>
        </w:tc>
        <w:tc>
          <w:tcPr>
            <w:tcW w:w="1417"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Medium</w:t>
            </w:r>
          </w:p>
        </w:tc>
        <w:tc>
          <w:tcPr>
            <w:tcW w:w="2126" w:type="dxa"/>
            <w:tcBorders>
              <w:top w:val="nil"/>
              <w:left w:val="nil"/>
              <w:bottom w:val="single" w:sz="4"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Control over data quality and availability</w:t>
            </w:r>
          </w:p>
        </w:tc>
        <w:tc>
          <w:tcPr>
            <w:tcW w:w="2410" w:type="dxa"/>
            <w:tcBorders>
              <w:top w:val="nil"/>
              <w:left w:val="nil"/>
              <w:bottom w:val="single" w:sz="4" w:space="0" w:color="auto"/>
              <w:right w:val="single" w:sz="8"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Errors or biases propagate through the modelling pipeline</w:t>
            </w:r>
          </w:p>
        </w:tc>
      </w:tr>
      <w:tr w:rsidR="002C1A79" w:rsidRPr="00D669A0" w:rsidTr="00AB33ED">
        <w:trPr>
          <w:trHeight w:val="1148"/>
        </w:trPr>
        <w:tc>
          <w:tcPr>
            <w:tcW w:w="1721" w:type="dxa"/>
            <w:tcBorders>
              <w:top w:val="nil"/>
              <w:left w:val="single" w:sz="8" w:space="0" w:color="auto"/>
              <w:bottom w:val="single" w:sz="8"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b/>
                <w:bCs/>
                <w:color w:val="000000"/>
                <w:lang w:eastAsia="en-AU"/>
              </w:rPr>
            </w:pPr>
            <w:r w:rsidRPr="00D669A0">
              <w:rPr>
                <w:rFonts w:ascii="Calibri Light" w:eastAsia="Times New Roman" w:hAnsi="Calibri Light" w:cs="Calibri Light"/>
                <w:b/>
                <w:bCs/>
                <w:color w:val="000000"/>
                <w:lang w:eastAsia="en-AU"/>
              </w:rPr>
              <w:t>Wider Society / Public Interest</w:t>
            </w:r>
          </w:p>
        </w:tc>
        <w:tc>
          <w:tcPr>
            <w:tcW w:w="2674" w:type="dxa"/>
            <w:tcBorders>
              <w:top w:val="nil"/>
              <w:left w:val="nil"/>
              <w:bottom w:val="single" w:sz="8"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Indirect beneficiary or risk-bearer of system-wide outcomes (e.g., reliability, sustainability)</w:t>
            </w:r>
          </w:p>
        </w:tc>
        <w:tc>
          <w:tcPr>
            <w:tcW w:w="1417" w:type="dxa"/>
            <w:tcBorders>
              <w:top w:val="nil"/>
              <w:left w:val="nil"/>
              <w:bottom w:val="single" w:sz="8"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Low (individually)</w:t>
            </w:r>
          </w:p>
        </w:tc>
        <w:tc>
          <w:tcPr>
            <w:tcW w:w="2126" w:type="dxa"/>
            <w:tcBorders>
              <w:top w:val="nil"/>
              <w:left w:val="nil"/>
              <w:bottom w:val="single" w:sz="8" w:space="0" w:color="auto"/>
              <w:right w:val="single" w:sz="4"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Collective influence via policy, advocacy, and public discourse</w:t>
            </w:r>
          </w:p>
        </w:tc>
        <w:tc>
          <w:tcPr>
            <w:tcW w:w="2410" w:type="dxa"/>
            <w:tcBorders>
              <w:top w:val="nil"/>
              <w:left w:val="nil"/>
              <w:bottom w:val="single" w:sz="8" w:space="0" w:color="auto"/>
              <w:right w:val="single" w:sz="8" w:space="0" w:color="auto"/>
            </w:tcBorders>
            <w:shd w:val="clear" w:color="auto" w:fill="auto"/>
            <w:vAlign w:val="center"/>
            <w:hideMark/>
          </w:tcPr>
          <w:p w:rsidR="00D669A0" w:rsidRPr="00D669A0" w:rsidRDefault="00D669A0" w:rsidP="00D669A0">
            <w:pPr>
              <w:spacing w:after="0" w:line="240" w:lineRule="auto"/>
              <w:rPr>
                <w:rFonts w:ascii="Calibri Light" w:eastAsia="Times New Roman" w:hAnsi="Calibri Light" w:cs="Calibri Light"/>
                <w:color w:val="000000"/>
                <w:lang w:eastAsia="en-AU"/>
              </w:rPr>
            </w:pPr>
            <w:r w:rsidRPr="00D669A0">
              <w:rPr>
                <w:rFonts w:ascii="Calibri Light" w:eastAsia="Times New Roman" w:hAnsi="Calibri Light" w:cs="Calibri Light"/>
                <w:color w:val="000000"/>
                <w:lang w:eastAsia="en-AU"/>
              </w:rPr>
              <w:t>Exposure to long-term systemic risks, including inequality and environmental impacts</w:t>
            </w:r>
          </w:p>
        </w:tc>
      </w:tr>
    </w:tbl>
    <w:p w:rsidR="005D41A0" w:rsidRPr="00B204C9" w:rsidRDefault="005D41A0" w:rsidP="005D41A0">
      <w:pPr>
        <w:spacing w:before="100" w:beforeAutospacing="1" w:after="100" w:afterAutospacing="1" w:line="240" w:lineRule="auto"/>
        <w:outlineLvl w:val="2"/>
        <w:rPr>
          <w:rFonts w:asciiTheme="majorHAnsi" w:eastAsia="Times New Roman" w:hAnsiTheme="majorHAnsi" w:cstheme="majorHAnsi"/>
          <w:b/>
          <w:bCs/>
          <w:sz w:val="24"/>
          <w:szCs w:val="27"/>
          <w:lang w:eastAsia="en-AU"/>
        </w:rPr>
      </w:pPr>
      <w:bookmarkStart w:id="4" w:name="_Toc226463272"/>
      <w:r w:rsidRPr="00B204C9">
        <w:rPr>
          <w:rFonts w:asciiTheme="majorHAnsi" w:eastAsia="Times New Roman" w:hAnsiTheme="majorHAnsi" w:cstheme="majorHAnsi"/>
          <w:b/>
          <w:bCs/>
          <w:sz w:val="24"/>
          <w:szCs w:val="27"/>
          <w:lang w:eastAsia="en-AU"/>
        </w:rPr>
        <w:t>Analytical Discussion</w:t>
      </w:r>
      <w:bookmarkEnd w:id="4"/>
    </w:p>
    <w:p w:rsidR="00AA40A8" w:rsidRPr="00AA40A8" w:rsidRDefault="00AA40A8" w:rsidP="00AA40A8">
      <w:pPr>
        <w:pStyle w:val="NormalWeb"/>
        <w:jc w:val="both"/>
        <w:rPr>
          <w:rFonts w:asciiTheme="majorHAnsi" w:hAnsiTheme="majorHAnsi" w:cstheme="majorHAnsi"/>
          <w:sz w:val="22"/>
        </w:rPr>
      </w:pPr>
      <w:r w:rsidRPr="00AA40A8">
        <w:rPr>
          <w:rFonts w:asciiTheme="majorHAnsi" w:hAnsiTheme="majorHAnsi" w:cstheme="majorHAnsi"/>
          <w:sz w:val="22"/>
        </w:rPr>
        <w:t xml:space="preserve">The stakeholder landscape reveals a significant </w:t>
      </w:r>
      <w:r w:rsidRPr="00AA40A8">
        <w:rPr>
          <w:rStyle w:val="Strong"/>
          <w:rFonts w:asciiTheme="majorHAnsi" w:hAnsiTheme="majorHAnsi" w:cstheme="majorHAnsi"/>
          <w:sz w:val="22"/>
        </w:rPr>
        <w:t>asymmetry between data subjects and decision-makers</w:t>
      </w:r>
      <w:r w:rsidRPr="00AA40A8">
        <w:rPr>
          <w:rFonts w:asciiTheme="majorHAnsi" w:hAnsiTheme="majorHAnsi" w:cstheme="majorHAnsi"/>
          <w:sz w:val="22"/>
        </w:rPr>
        <w:t>, a core ethical concern in data systems</w:t>
      </w:r>
      <w:r w:rsidR="005F7B7B">
        <w:rPr>
          <w:rFonts w:asciiTheme="majorHAnsi" w:hAnsiTheme="majorHAnsi" w:cstheme="majorHAnsi"/>
          <w:sz w:val="22"/>
        </w:rPr>
        <w:t xml:space="preserve"> </w:t>
      </w:r>
      <w:sdt>
        <w:sdtPr>
          <w:rPr>
            <w:rFonts w:asciiTheme="majorHAnsi" w:hAnsiTheme="majorHAnsi" w:cstheme="majorHAnsi"/>
            <w:sz w:val="22"/>
          </w:rPr>
          <w:id w:val="-323278378"/>
          <w:citation/>
        </w:sdtPr>
        <w:sdtContent>
          <w:r w:rsidR="005F7B7B">
            <w:rPr>
              <w:rFonts w:asciiTheme="majorHAnsi" w:hAnsiTheme="majorHAnsi" w:cstheme="majorHAnsi"/>
              <w:sz w:val="22"/>
            </w:rPr>
            <w:fldChar w:fldCharType="begin"/>
          </w:r>
          <w:r w:rsidR="005F7B7B">
            <w:rPr>
              <w:rFonts w:asciiTheme="majorHAnsi" w:hAnsiTheme="majorHAnsi" w:cstheme="majorHAnsi"/>
              <w:sz w:val="22"/>
              <w:lang w:val="en-US"/>
            </w:rPr>
            <w:instrText xml:space="preserve"> CITATION UNS26 \l 1033 </w:instrText>
          </w:r>
          <w:r w:rsidR="005F7B7B">
            <w:rPr>
              <w:rFonts w:asciiTheme="majorHAnsi" w:hAnsiTheme="majorHAnsi" w:cstheme="majorHAnsi"/>
              <w:sz w:val="22"/>
            </w:rPr>
            <w:fldChar w:fldCharType="separate"/>
          </w:r>
          <w:r w:rsidR="005F7B7B" w:rsidRPr="005F7B7B">
            <w:rPr>
              <w:rFonts w:asciiTheme="majorHAnsi" w:hAnsiTheme="majorHAnsi" w:cstheme="majorHAnsi"/>
              <w:noProof/>
              <w:sz w:val="22"/>
              <w:lang w:val="en-US"/>
            </w:rPr>
            <w:t>(UNSW, ZZBU6505 Data and Ethics, 2026)</w:t>
          </w:r>
          <w:r w:rsidR="005F7B7B">
            <w:rPr>
              <w:rFonts w:asciiTheme="majorHAnsi" w:hAnsiTheme="majorHAnsi" w:cstheme="majorHAnsi"/>
              <w:sz w:val="22"/>
            </w:rPr>
            <w:fldChar w:fldCharType="end"/>
          </w:r>
        </w:sdtContent>
      </w:sdt>
      <w:r w:rsidRPr="00AA40A8">
        <w:rPr>
          <w:rFonts w:asciiTheme="majorHAnsi" w:hAnsiTheme="majorHAnsi" w:cstheme="majorHAnsi"/>
          <w:sz w:val="22"/>
        </w:rPr>
        <w:t xml:space="preserve">. Electricity consumers, whose behaviours underpin demand data, have minimal visibility or control over how their data is aggregated, modelled, and operationalised. In </w:t>
      </w:r>
      <w:r>
        <w:rPr>
          <w:rFonts w:asciiTheme="majorHAnsi" w:hAnsiTheme="majorHAnsi" w:cstheme="majorHAnsi"/>
          <w:sz w:val="22"/>
        </w:rPr>
        <w:t xml:space="preserve">contrast, institutional actors, </w:t>
      </w:r>
      <w:r w:rsidRPr="00AA40A8">
        <w:rPr>
          <w:rFonts w:asciiTheme="majorHAnsi" w:hAnsiTheme="majorHAnsi" w:cstheme="majorHAnsi"/>
          <w:sz w:val="22"/>
        </w:rPr>
        <w:t>particularly grid</w:t>
      </w:r>
      <w:r>
        <w:rPr>
          <w:rFonts w:asciiTheme="majorHAnsi" w:hAnsiTheme="majorHAnsi" w:cstheme="majorHAnsi"/>
          <w:sz w:val="22"/>
        </w:rPr>
        <w:t xml:space="preserve"> operators </w:t>
      </w:r>
      <w:r>
        <w:rPr>
          <w:rFonts w:asciiTheme="majorHAnsi" w:hAnsiTheme="majorHAnsi" w:cstheme="majorHAnsi"/>
          <w:sz w:val="22"/>
        </w:rPr>
        <w:lastRenderedPageBreak/>
        <w:t xml:space="preserve">and energy providers </w:t>
      </w:r>
      <w:r w:rsidRPr="00AA40A8">
        <w:rPr>
          <w:rFonts w:asciiTheme="majorHAnsi" w:hAnsiTheme="majorHAnsi" w:cstheme="majorHAnsi"/>
          <w:sz w:val="22"/>
        </w:rPr>
        <w:t>exercise substantial power, using forecasts to influence pricing, supply allocation, and infrastructure investment.</w:t>
      </w:r>
    </w:p>
    <w:p w:rsidR="00AA40A8" w:rsidRPr="00AA40A8" w:rsidRDefault="00AA40A8" w:rsidP="00AA40A8">
      <w:pPr>
        <w:pStyle w:val="NormalWeb"/>
        <w:jc w:val="both"/>
        <w:rPr>
          <w:rFonts w:asciiTheme="majorHAnsi" w:hAnsiTheme="majorHAnsi" w:cstheme="majorHAnsi"/>
          <w:sz w:val="22"/>
        </w:rPr>
      </w:pPr>
      <w:r w:rsidRPr="00AA40A8">
        <w:rPr>
          <w:rFonts w:asciiTheme="majorHAnsi" w:hAnsiTheme="majorHAnsi" w:cstheme="majorHAnsi"/>
          <w:sz w:val="22"/>
        </w:rPr>
        <w:t xml:space="preserve">From a </w:t>
      </w:r>
      <w:r w:rsidRPr="00AA40A8">
        <w:rPr>
          <w:rStyle w:val="Strong"/>
          <w:rFonts w:asciiTheme="majorHAnsi" w:hAnsiTheme="majorHAnsi" w:cstheme="majorHAnsi"/>
          <w:sz w:val="22"/>
        </w:rPr>
        <w:t>utilitarian perspective</w:t>
      </w:r>
      <w:r w:rsidR="005F7B7B">
        <w:rPr>
          <w:rStyle w:val="Strong"/>
          <w:rFonts w:asciiTheme="majorHAnsi" w:hAnsiTheme="majorHAnsi" w:cstheme="majorHAnsi"/>
          <w:sz w:val="22"/>
        </w:rPr>
        <w:t xml:space="preserve"> </w:t>
      </w:r>
      <w:sdt>
        <w:sdtPr>
          <w:rPr>
            <w:rStyle w:val="Strong"/>
            <w:rFonts w:asciiTheme="majorHAnsi" w:hAnsiTheme="majorHAnsi" w:cstheme="majorHAnsi"/>
            <w:sz w:val="22"/>
          </w:rPr>
          <w:id w:val="2015259447"/>
          <w:citation/>
        </w:sdtPr>
        <w:sdtContent>
          <w:r w:rsidR="005F7B7B">
            <w:rPr>
              <w:rStyle w:val="Strong"/>
              <w:rFonts w:asciiTheme="majorHAnsi" w:hAnsiTheme="majorHAnsi" w:cstheme="majorHAnsi"/>
              <w:sz w:val="22"/>
            </w:rPr>
            <w:fldChar w:fldCharType="begin"/>
          </w:r>
          <w:r w:rsidR="005F7B7B">
            <w:rPr>
              <w:rStyle w:val="Strong"/>
              <w:rFonts w:asciiTheme="majorHAnsi" w:hAnsiTheme="majorHAnsi" w:cstheme="majorHAnsi"/>
              <w:b w:val="0"/>
              <w:sz w:val="22"/>
              <w:lang w:val="en-US"/>
            </w:rPr>
            <w:instrText xml:space="preserve"> CITATION Zha98 \l 1033 </w:instrText>
          </w:r>
          <w:r w:rsidR="005F7B7B">
            <w:rPr>
              <w:rStyle w:val="Strong"/>
              <w:rFonts w:asciiTheme="majorHAnsi" w:hAnsiTheme="majorHAnsi" w:cstheme="majorHAnsi"/>
              <w:sz w:val="22"/>
            </w:rPr>
            <w:fldChar w:fldCharType="separate"/>
          </w:r>
          <w:r w:rsidR="005F7B7B" w:rsidRPr="005F7B7B">
            <w:rPr>
              <w:rFonts w:asciiTheme="majorHAnsi" w:hAnsiTheme="majorHAnsi" w:cstheme="majorHAnsi"/>
              <w:noProof/>
              <w:sz w:val="22"/>
              <w:lang w:val="en-US"/>
            </w:rPr>
            <w:t>(Zhang, Eddy Patuwo, &amp; Hu, 1998)</w:t>
          </w:r>
          <w:r w:rsidR="005F7B7B">
            <w:rPr>
              <w:rStyle w:val="Strong"/>
              <w:rFonts w:asciiTheme="majorHAnsi" w:hAnsiTheme="majorHAnsi" w:cstheme="majorHAnsi"/>
              <w:sz w:val="22"/>
            </w:rPr>
            <w:fldChar w:fldCharType="end"/>
          </w:r>
        </w:sdtContent>
      </w:sdt>
      <w:r w:rsidRPr="00AA40A8">
        <w:rPr>
          <w:rFonts w:asciiTheme="majorHAnsi" w:hAnsiTheme="majorHAnsi" w:cstheme="majorHAnsi"/>
          <w:sz w:val="22"/>
        </w:rPr>
        <w:t xml:space="preserve">, the system is justified by its ability to improve efficiency and reliability across the energy market (Zhang et al., 1998). However, such optimisation may obscure </w:t>
      </w:r>
      <w:r w:rsidRPr="00AA40A8">
        <w:rPr>
          <w:rStyle w:val="Strong"/>
          <w:rFonts w:asciiTheme="majorHAnsi" w:hAnsiTheme="majorHAnsi" w:cstheme="majorHAnsi"/>
          <w:sz w:val="22"/>
        </w:rPr>
        <w:t>distributional inequities</w:t>
      </w:r>
      <w:r>
        <w:rPr>
          <w:rFonts w:asciiTheme="majorHAnsi" w:hAnsiTheme="majorHAnsi" w:cstheme="majorHAnsi"/>
          <w:sz w:val="22"/>
        </w:rPr>
        <w:t xml:space="preserve">, as vulnerable populations </w:t>
      </w:r>
      <w:r w:rsidRPr="00AA40A8">
        <w:rPr>
          <w:rFonts w:asciiTheme="majorHAnsi" w:hAnsiTheme="majorHAnsi" w:cstheme="majorHAnsi"/>
          <w:sz w:val="22"/>
        </w:rPr>
        <w:t>such as low-income or rur</w:t>
      </w:r>
      <w:r>
        <w:rPr>
          <w:rFonts w:asciiTheme="majorHAnsi" w:hAnsiTheme="majorHAnsi" w:cstheme="majorHAnsi"/>
          <w:sz w:val="22"/>
        </w:rPr>
        <w:t xml:space="preserve">al communities </w:t>
      </w:r>
      <w:r w:rsidRPr="00AA40A8">
        <w:rPr>
          <w:rFonts w:asciiTheme="majorHAnsi" w:hAnsiTheme="majorHAnsi" w:cstheme="majorHAnsi"/>
          <w:sz w:val="22"/>
        </w:rPr>
        <w:t>may bear disproportionate costs, particularly under dynamic pricing mechanisms.</w:t>
      </w:r>
    </w:p>
    <w:p w:rsidR="00AA40A8" w:rsidRPr="00AA40A8" w:rsidRDefault="00AA40A8" w:rsidP="00AA40A8">
      <w:pPr>
        <w:pStyle w:val="NormalWeb"/>
        <w:jc w:val="both"/>
        <w:rPr>
          <w:rFonts w:asciiTheme="majorHAnsi" w:hAnsiTheme="majorHAnsi" w:cstheme="majorHAnsi"/>
          <w:sz w:val="22"/>
        </w:rPr>
      </w:pPr>
      <w:r w:rsidRPr="00AA40A8">
        <w:rPr>
          <w:rFonts w:asciiTheme="majorHAnsi" w:hAnsiTheme="majorHAnsi" w:cstheme="majorHAnsi"/>
          <w:sz w:val="22"/>
        </w:rPr>
        <w:t xml:space="preserve">A </w:t>
      </w:r>
      <w:r w:rsidRPr="00AA40A8">
        <w:rPr>
          <w:rStyle w:val="Strong"/>
          <w:rFonts w:asciiTheme="majorHAnsi" w:hAnsiTheme="majorHAnsi" w:cstheme="majorHAnsi"/>
          <w:sz w:val="22"/>
        </w:rPr>
        <w:t>deontological perspective</w:t>
      </w:r>
      <w:r w:rsidRPr="00AA40A8">
        <w:rPr>
          <w:rFonts w:asciiTheme="majorHAnsi" w:hAnsiTheme="majorHAnsi" w:cstheme="majorHAnsi"/>
          <w:sz w:val="22"/>
        </w:rPr>
        <w:t xml:space="preserve"> </w:t>
      </w:r>
      <w:sdt>
        <w:sdtPr>
          <w:rPr>
            <w:rFonts w:asciiTheme="majorHAnsi" w:hAnsiTheme="majorHAnsi" w:cstheme="majorHAnsi"/>
            <w:sz w:val="22"/>
          </w:rPr>
          <w:id w:val="-47305516"/>
          <w:citation/>
        </w:sdtPr>
        <w:sdtContent>
          <w:r w:rsidR="005F7B7B">
            <w:rPr>
              <w:rFonts w:asciiTheme="majorHAnsi" w:hAnsiTheme="majorHAnsi" w:cstheme="majorHAnsi"/>
              <w:sz w:val="22"/>
            </w:rPr>
            <w:fldChar w:fldCharType="begin"/>
          </w:r>
          <w:r w:rsidR="005F7B7B">
            <w:rPr>
              <w:rFonts w:asciiTheme="majorHAnsi" w:hAnsiTheme="majorHAnsi" w:cstheme="majorHAnsi"/>
              <w:sz w:val="22"/>
              <w:lang w:val="en-US"/>
            </w:rPr>
            <w:instrText xml:space="preserve"> CITATION UNS26 \l 1033 </w:instrText>
          </w:r>
          <w:r w:rsidR="005F7B7B">
            <w:rPr>
              <w:rFonts w:asciiTheme="majorHAnsi" w:hAnsiTheme="majorHAnsi" w:cstheme="majorHAnsi"/>
              <w:sz w:val="22"/>
            </w:rPr>
            <w:fldChar w:fldCharType="separate"/>
          </w:r>
          <w:r w:rsidR="005F7B7B" w:rsidRPr="005F7B7B">
            <w:rPr>
              <w:rFonts w:asciiTheme="majorHAnsi" w:hAnsiTheme="majorHAnsi" w:cstheme="majorHAnsi"/>
              <w:noProof/>
              <w:sz w:val="22"/>
              <w:lang w:val="en-US"/>
            </w:rPr>
            <w:t>(UNSW, ZZBU6505 Data and Ethics, 2026)</w:t>
          </w:r>
          <w:r w:rsidR="005F7B7B">
            <w:rPr>
              <w:rFonts w:asciiTheme="majorHAnsi" w:hAnsiTheme="majorHAnsi" w:cstheme="majorHAnsi"/>
              <w:sz w:val="22"/>
            </w:rPr>
            <w:fldChar w:fldCharType="end"/>
          </w:r>
        </w:sdtContent>
      </w:sdt>
      <w:r w:rsidR="005F7B7B">
        <w:rPr>
          <w:rFonts w:asciiTheme="majorHAnsi" w:hAnsiTheme="majorHAnsi" w:cstheme="majorHAnsi"/>
          <w:sz w:val="22"/>
        </w:rPr>
        <w:t xml:space="preserve"> </w:t>
      </w:r>
      <w:r w:rsidRPr="00AA40A8">
        <w:rPr>
          <w:rFonts w:asciiTheme="majorHAnsi" w:hAnsiTheme="majorHAnsi" w:cstheme="majorHAnsi"/>
          <w:sz w:val="22"/>
        </w:rPr>
        <w:t>highlights the duty to ensure fairness, transparency, and non-maleficence. The reliance on complex, opaque models limits explainability, reducing stakeholders’ ability to question or challenge outcomes, thereby undermining procedural fairness.</w:t>
      </w:r>
    </w:p>
    <w:p w:rsidR="00AA40A8" w:rsidRPr="00AA40A8" w:rsidRDefault="00AA40A8" w:rsidP="00AA40A8">
      <w:pPr>
        <w:pStyle w:val="NormalWeb"/>
        <w:jc w:val="both"/>
        <w:rPr>
          <w:rFonts w:asciiTheme="majorHAnsi" w:hAnsiTheme="majorHAnsi" w:cstheme="majorHAnsi"/>
          <w:sz w:val="22"/>
        </w:rPr>
      </w:pPr>
      <w:r w:rsidRPr="00AA40A8">
        <w:rPr>
          <w:rFonts w:asciiTheme="majorHAnsi" w:hAnsiTheme="majorHAnsi" w:cstheme="majorHAnsi"/>
          <w:sz w:val="22"/>
        </w:rPr>
        <w:t xml:space="preserve">Applying </w:t>
      </w:r>
      <w:r w:rsidRPr="00AA40A8">
        <w:rPr>
          <w:rStyle w:val="Strong"/>
          <w:rFonts w:asciiTheme="majorHAnsi" w:hAnsiTheme="majorHAnsi" w:cstheme="majorHAnsi"/>
          <w:sz w:val="22"/>
        </w:rPr>
        <w:t>justice frameworks</w:t>
      </w:r>
      <w:r w:rsidRPr="00AA40A8">
        <w:rPr>
          <w:rFonts w:asciiTheme="majorHAnsi" w:hAnsiTheme="majorHAnsi" w:cstheme="majorHAnsi"/>
          <w:sz w:val="22"/>
        </w:rPr>
        <w:t xml:space="preserve">, including Rawls’ veil of ignorance </w:t>
      </w:r>
      <w:sdt>
        <w:sdtPr>
          <w:rPr>
            <w:rFonts w:asciiTheme="majorHAnsi" w:hAnsiTheme="majorHAnsi" w:cstheme="majorHAnsi"/>
            <w:sz w:val="22"/>
          </w:rPr>
          <w:id w:val="913593641"/>
          <w:citation/>
        </w:sdtPr>
        <w:sdtContent>
          <w:r w:rsidR="00DD6FC8">
            <w:rPr>
              <w:rFonts w:asciiTheme="majorHAnsi" w:hAnsiTheme="majorHAnsi" w:cstheme="majorHAnsi"/>
              <w:sz w:val="22"/>
            </w:rPr>
            <w:fldChar w:fldCharType="begin"/>
          </w:r>
          <w:r w:rsidR="00DD6FC8">
            <w:rPr>
              <w:rFonts w:asciiTheme="majorHAnsi" w:hAnsiTheme="majorHAnsi" w:cstheme="majorHAnsi"/>
              <w:sz w:val="22"/>
              <w:lang w:val="en-US"/>
            </w:rPr>
            <w:instrText xml:space="preserve"> CITATION JRa71 \l 1033 </w:instrText>
          </w:r>
          <w:r w:rsidR="00DD6FC8">
            <w:rPr>
              <w:rFonts w:asciiTheme="majorHAnsi" w:hAnsiTheme="majorHAnsi" w:cstheme="majorHAnsi"/>
              <w:sz w:val="22"/>
            </w:rPr>
            <w:fldChar w:fldCharType="separate"/>
          </w:r>
          <w:r w:rsidR="00DD6FC8" w:rsidRPr="00DD6FC8">
            <w:rPr>
              <w:rFonts w:asciiTheme="majorHAnsi" w:hAnsiTheme="majorHAnsi" w:cstheme="majorHAnsi"/>
              <w:noProof/>
              <w:sz w:val="22"/>
              <w:lang w:val="en-US"/>
            </w:rPr>
            <w:t>(Rawls, 1971)</w:t>
          </w:r>
          <w:r w:rsidR="00DD6FC8">
            <w:rPr>
              <w:rFonts w:asciiTheme="majorHAnsi" w:hAnsiTheme="majorHAnsi" w:cstheme="majorHAnsi"/>
              <w:sz w:val="22"/>
            </w:rPr>
            <w:fldChar w:fldCharType="end"/>
          </w:r>
        </w:sdtContent>
      </w:sdt>
      <w:r w:rsidR="00DD6FC8">
        <w:rPr>
          <w:rFonts w:asciiTheme="majorHAnsi" w:hAnsiTheme="majorHAnsi" w:cstheme="majorHAnsi"/>
          <w:sz w:val="22"/>
        </w:rPr>
        <w:t xml:space="preserve"> </w:t>
      </w:r>
      <w:r w:rsidRPr="00AA40A8">
        <w:rPr>
          <w:rFonts w:asciiTheme="majorHAnsi" w:hAnsiTheme="majorHAnsi" w:cstheme="majorHAnsi"/>
          <w:sz w:val="22"/>
        </w:rPr>
        <w:t xml:space="preserve">and Sen’s </w:t>
      </w:r>
      <w:sdt>
        <w:sdtPr>
          <w:rPr>
            <w:rFonts w:asciiTheme="majorHAnsi" w:hAnsiTheme="majorHAnsi" w:cstheme="majorHAnsi"/>
            <w:sz w:val="22"/>
          </w:rPr>
          <w:id w:val="-168566694"/>
          <w:citation/>
        </w:sdtPr>
        <w:sdtContent>
          <w:r w:rsidR="00DD6FC8">
            <w:rPr>
              <w:rFonts w:asciiTheme="majorHAnsi" w:hAnsiTheme="majorHAnsi" w:cstheme="majorHAnsi"/>
              <w:sz w:val="22"/>
            </w:rPr>
            <w:fldChar w:fldCharType="begin"/>
          </w:r>
          <w:r w:rsidR="00DD6FC8">
            <w:rPr>
              <w:rFonts w:asciiTheme="majorHAnsi" w:hAnsiTheme="majorHAnsi" w:cstheme="majorHAnsi"/>
              <w:sz w:val="22"/>
              <w:lang w:val="en-US"/>
            </w:rPr>
            <w:instrText xml:space="preserve"> CITATION ASe99 \l 1033 </w:instrText>
          </w:r>
          <w:r w:rsidR="00DD6FC8">
            <w:rPr>
              <w:rFonts w:asciiTheme="majorHAnsi" w:hAnsiTheme="majorHAnsi" w:cstheme="majorHAnsi"/>
              <w:sz w:val="22"/>
            </w:rPr>
            <w:fldChar w:fldCharType="separate"/>
          </w:r>
          <w:r w:rsidR="00DD6FC8" w:rsidRPr="00DD6FC8">
            <w:rPr>
              <w:rFonts w:asciiTheme="majorHAnsi" w:hAnsiTheme="majorHAnsi" w:cstheme="majorHAnsi"/>
              <w:noProof/>
              <w:sz w:val="22"/>
              <w:lang w:val="en-US"/>
            </w:rPr>
            <w:t>(Sen, 1999)</w:t>
          </w:r>
          <w:r w:rsidR="00DD6FC8">
            <w:rPr>
              <w:rFonts w:asciiTheme="majorHAnsi" w:hAnsiTheme="majorHAnsi" w:cstheme="majorHAnsi"/>
              <w:sz w:val="22"/>
            </w:rPr>
            <w:fldChar w:fldCharType="end"/>
          </w:r>
        </w:sdtContent>
      </w:sdt>
      <w:r w:rsidR="00DD6FC8">
        <w:rPr>
          <w:rFonts w:asciiTheme="majorHAnsi" w:hAnsiTheme="majorHAnsi" w:cstheme="majorHAnsi"/>
          <w:sz w:val="22"/>
        </w:rPr>
        <w:t xml:space="preserve"> </w:t>
      </w:r>
      <w:r w:rsidRPr="00AA40A8">
        <w:rPr>
          <w:rFonts w:asciiTheme="majorHAnsi" w:hAnsiTheme="majorHAnsi" w:cstheme="majorHAnsi"/>
          <w:sz w:val="22"/>
        </w:rPr>
        <w:t>capability approach, underscores the need to design systems that prioritise the least advantaged. This requires equitable outcomes, transparent processes, and inclusive governance to mitigate structural imbalances in power and agency.</w:t>
      </w:r>
    </w:p>
    <w:p w:rsidR="007E0906" w:rsidRDefault="007E0906">
      <w:pPr>
        <w:rPr>
          <w:rStyle w:val="Strong"/>
          <w:rFonts w:asciiTheme="majorHAnsi" w:eastAsia="Times New Roman" w:hAnsiTheme="majorHAnsi" w:cstheme="majorHAnsi"/>
          <w:sz w:val="28"/>
          <w:szCs w:val="36"/>
          <w:lang w:eastAsia="en-AU"/>
        </w:rPr>
      </w:pPr>
      <w:r>
        <w:rPr>
          <w:rStyle w:val="Strong"/>
          <w:rFonts w:asciiTheme="majorHAnsi" w:hAnsiTheme="majorHAnsi" w:cstheme="majorHAnsi"/>
          <w:b w:val="0"/>
          <w:bCs w:val="0"/>
          <w:sz w:val="28"/>
        </w:rPr>
        <w:br w:type="page"/>
      </w:r>
    </w:p>
    <w:p w:rsidR="005532A5" w:rsidRPr="00B204C9" w:rsidRDefault="005532A5" w:rsidP="007E0906">
      <w:pPr>
        <w:pStyle w:val="Heading2"/>
        <w:numPr>
          <w:ilvl w:val="0"/>
          <w:numId w:val="3"/>
        </w:numPr>
        <w:rPr>
          <w:rFonts w:asciiTheme="majorHAnsi" w:hAnsiTheme="majorHAnsi" w:cstheme="majorHAnsi"/>
          <w:sz w:val="28"/>
        </w:rPr>
      </w:pPr>
      <w:bookmarkStart w:id="5" w:name="_Toc226463273"/>
      <w:r w:rsidRPr="00B204C9">
        <w:rPr>
          <w:rStyle w:val="Strong"/>
          <w:rFonts w:asciiTheme="majorHAnsi" w:hAnsiTheme="majorHAnsi" w:cstheme="majorHAnsi"/>
          <w:b/>
          <w:bCs/>
          <w:sz w:val="28"/>
        </w:rPr>
        <w:lastRenderedPageBreak/>
        <w:t>Impact on Stakeholders</w:t>
      </w:r>
      <w:bookmarkEnd w:id="5"/>
    </w:p>
    <w:p w:rsidR="00BE0631" w:rsidRPr="00B204C9" w:rsidRDefault="00BE0631" w:rsidP="00B204C9">
      <w:pPr>
        <w:pStyle w:val="NormalWeb"/>
        <w:jc w:val="both"/>
        <w:rPr>
          <w:rFonts w:asciiTheme="majorHAnsi" w:hAnsiTheme="majorHAnsi" w:cstheme="majorHAnsi"/>
          <w:sz w:val="22"/>
        </w:rPr>
      </w:pPr>
      <w:r w:rsidRPr="00BE0631">
        <w:rPr>
          <w:rFonts w:asciiTheme="majorHAnsi" w:hAnsiTheme="majorHAnsi" w:cstheme="majorHAnsi"/>
          <w:sz w:val="22"/>
        </w:rPr>
        <w:t xml:space="preserve">The electricity demand forecasting system produces both </w:t>
      </w:r>
      <w:r w:rsidRPr="00BE0631">
        <w:rPr>
          <w:rFonts w:asciiTheme="majorHAnsi" w:hAnsiTheme="majorHAnsi" w:cstheme="majorHAnsi"/>
          <w:b/>
          <w:sz w:val="22"/>
        </w:rPr>
        <w:t>intended and unintended impacts</w:t>
      </w:r>
      <w:r w:rsidRPr="00BE0631">
        <w:rPr>
          <w:rFonts w:asciiTheme="majorHAnsi" w:hAnsiTheme="majorHAnsi" w:cstheme="majorHAnsi"/>
          <w:sz w:val="22"/>
        </w:rPr>
        <w:t xml:space="preserve"> across stakeholders, highlighting that data systems are </w:t>
      </w:r>
      <w:r w:rsidRPr="00BE0631">
        <w:rPr>
          <w:rFonts w:asciiTheme="majorHAnsi" w:hAnsiTheme="majorHAnsi" w:cstheme="majorHAnsi"/>
          <w:b/>
          <w:sz w:val="22"/>
        </w:rPr>
        <w:t>socially embedded</w:t>
      </w:r>
      <w:r w:rsidRPr="00BE0631">
        <w:rPr>
          <w:rFonts w:asciiTheme="majorHAnsi" w:hAnsiTheme="majorHAnsi" w:cstheme="majorHAnsi"/>
          <w:sz w:val="22"/>
        </w:rPr>
        <w:t xml:space="preserve"> rather than purely technical. While improving efficiency and reliability, these impacts are unevenly distributed, raising critical ethical concerns regarding fairness, accountability, and public interest.</w:t>
      </w:r>
    </w:p>
    <w:p w:rsidR="005532A5" w:rsidRPr="00B204C9" w:rsidRDefault="005532A5" w:rsidP="005532A5">
      <w:pPr>
        <w:pStyle w:val="Heading3"/>
        <w:rPr>
          <w:rFonts w:asciiTheme="majorHAnsi" w:hAnsiTheme="majorHAnsi" w:cstheme="majorHAnsi"/>
          <w:sz w:val="24"/>
        </w:rPr>
      </w:pPr>
      <w:bookmarkStart w:id="6" w:name="_Toc226463274"/>
      <w:r w:rsidRPr="00B204C9">
        <w:rPr>
          <w:rStyle w:val="Strong"/>
          <w:rFonts w:asciiTheme="majorHAnsi" w:hAnsiTheme="majorHAnsi" w:cstheme="majorHAnsi"/>
          <w:b/>
          <w:bCs/>
          <w:sz w:val="24"/>
        </w:rPr>
        <w:t>Intended Impacts</w:t>
      </w:r>
      <w:bookmarkEnd w:id="6"/>
    </w:p>
    <w:p w:rsidR="00BE0631" w:rsidRPr="00B204C9" w:rsidRDefault="00BE0631" w:rsidP="00B204C9">
      <w:pPr>
        <w:pStyle w:val="NormalWeb"/>
        <w:jc w:val="both"/>
        <w:rPr>
          <w:rFonts w:asciiTheme="majorHAnsi" w:hAnsiTheme="majorHAnsi" w:cstheme="majorHAnsi"/>
          <w:sz w:val="22"/>
        </w:rPr>
      </w:pPr>
      <w:r w:rsidRPr="00BE0631">
        <w:rPr>
          <w:rFonts w:asciiTheme="majorHAnsi" w:hAnsiTheme="majorHAnsi" w:cstheme="majorHAnsi"/>
          <w:sz w:val="22"/>
        </w:rPr>
        <w:t xml:space="preserve">At a system level, the primary intended outcome is </w:t>
      </w:r>
      <w:r w:rsidRPr="00BE0631">
        <w:rPr>
          <w:rFonts w:asciiTheme="majorHAnsi" w:hAnsiTheme="majorHAnsi" w:cstheme="majorHAnsi"/>
          <w:b/>
          <w:sz w:val="22"/>
        </w:rPr>
        <w:t>improved grid stability and operational efficiency</w:t>
      </w:r>
      <w:r w:rsidRPr="00BE0631">
        <w:rPr>
          <w:rFonts w:asciiTheme="majorHAnsi" w:hAnsiTheme="majorHAnsi" w:cstheme="majorHAnsi"/>
          <w:sz w:val="22"/>
        </w:rPr>
        <w:t xml:space="preserve">. Accurate short-term forecasts enable grid operators to balance supply and demand, reducing outages and ensuring reliable service. For energy providers, predictive insights support </w:t>
      </w:r>
      <w:r w:rsidRPr="00BE0631">
        <w:rPr>
          <w:rFonts w:asciiTheme="majorHAnsi" w:hAnsiTheme="majorHAnsi" w:cstheme="majorHAnsi"/>
          <w:b/>
          <w:sz w:val="22"/>
        </w:rPr>
        <w:t>optimised generation planning and pricing strategies</w:t>
      </w:r>
      <w:r w:rsidRPr="00BE0631">
        <w:rPr>
          <w:rFonts w:asciiTheme="majorHAnsi" w:hAnsiTheme="majorHAnsi" w:cstheme="majorHAnsi"/>
          <w:sz w:val="22"/>
        </w:rPr>
        <w:t xml:space="preserve">, lowering operational costs and improving market efficiency. From a </w:t>
      </w:r>
      <w:r w:rsidRPr="00BE0631">
        <w:rPr>
          <w:rFonts w:asciiTheme="majorHAnsi" w:hAnsiTheme="majorHAnsi" w:cstheme="majorHAnsi"/>
          <w:b/>
          <w:sz w:val="22"/>
        </w:rPr>
        <w:t>utilitarian perspective</w:t>
      </w:r>
      <w:r w:rsidRPr="00BE0631">
        <w:rPr>
          <w:rFonts w:asciiTheme="majorHAnsi" w:hAnsiTheme="majorHAnsi" w:cstheme="majorHAnsi"/>
          <w:sz w:val="22"/>
        </w:rPr>
        <w:t xml:space="preserve"> </w:t>
      </w:r>
      <w:sdt>
        <w:sdtPr>
          <w:rPr>
            <w:rFonts w:asciiTheme="majorHAnsi" w:hAnsiTheme="majorHAnsi" w:cstheme="majorHAnsi"/>
            <w:sz w:val="22"/>
          </w:rPr>
          <w:id w:val="499087474"/>
          <w:citation/>
        </w:sdtPr>
        <w:sdtContent>
          <w:r w:rsidR="00DD6FC8">
            <w:rPr>
              <w:rFonts w:asciiTheme="majorHAnsi" w:hAnsiTheme="majorHAnsi" w:cstheme="majorHAnsi"/>
              <w:sz w:val="22"/>
            </w:rPr>
            <w:fldChar w:fldCharType="begin"/>
          </w:r>
          <w:r w:rsidR="00DD6FC8">
            <w:rPr>
              <w:rFonts w:asciiTheme="majorHAnsi" w:hAnsiTheme="majorHAnsi" w:cstheme="majorHAnsi"/>
              <w:sz w:val="22"/>
              <w:lang w:val="en-US"/>
            </w:rPr>
            <w:instrText xml:space="preserve"> CITATION UNS26 \l 1033 </w:instrText>
          </w:r>
          <w:r w:rsidR="00DD6FC8">
            <w:rPr>
              <w:rFonts w:asciiTheme="majorHAnsi" w:hAnsiTheme="majorHAnsi" w:cstheme="majorHAnsi"/>
              <w:sz w:val="22"/>
            </w:rPr>
            <w:fldChar w:fldCharType="separate"/>
          </w:r>
          <w:r w:rsidR="00DD6FC8" w:rsidRPr="00DD6FC8">
            <w:rPr>
              <w:rFonts w:asciiTheme="majorHAnsi" w:hAnsiTheme="majorHAnsi" w:cstheme="majorHAnsi"/>
              <w:noProof/>
              <w:sz w:val="22"/>
              <w:lang w:val="en-US"/>
            </w:rPr>
            <w:t>(UNSW, ZZBU6505 Data and Ethics, 2026)</w:t>
          </w:r>
          <w:r w:rsidR="00DD6FC8">
            <w:rPr>
              <w:rFonts w:asciiTheme="majorHAnsi" w:hAnsiTheme="majorHAnsi" w:cstheme="majorHAnsi"/>
              <w:sz w:val="22"/>
            </w:rPr>
            <w:fldChar w:fldCharType="end"/>
          </w:r>
        </w:sdtContent>
      </w:sdt>
      <w:r w:rsidRPr="00BE0631">
        <w:rPr>
          <w:rFonts w:asciiTheme="majorHAnsi" w:hAnsiTheme="majorHAnsi" w:cstheme="majorHAnsi"/>
          <w:sz w:val="22"/>
        </w:rPr>
        <w:t>, these benefits contribute to the “greatest good for the greatest number,” as reliable electricity supply underpins economic activity and societal well-being. Enhanced feature integration further improves predictive accuracy and decision-making effectiveness.</w:t>
      </w:r>
    </w:p>
    <w:p w:rsidR="005532A5" w:rsidRPr="00B204C9" w:rsidRDefault="005532A5" w:rsidP="005532A5">
      <w:pPr>
        <w:pStyle w:val="Heading3"/>
        <w:rPr>
          <w:rFonts w:asciiTheme="majorHAnsi" w:hAnsiTheme="majorHAnsi" w:cstheme="majorHAnsi"/>
          <w:sz w:val="24"/>
        </w:rPr>
      </w:pPr>
      <w:bookmarkStart w:id="7" w:name="_Toc226463275"/>
      <w:r w:rsidRPr="00B204C9">
        <w:rPr>
          <w:rStyle w:val="Strong"/>
          <w:rFonts w:asciiTheme="majorHAnsi" w:hAnsiTheme="majorHAnsi" w:cstheme="majorHAnsi"/>
          <w:b/>
          <w:bCs/>
          <w:sz w:val="24"/>
        </w:rPr>
        <w:t>Unintended and Adverse Impacts</w:t>
      </w:r>
      <w:bookmarkEnd w:id="7"/>
    </w:p>
    <w:p w:rsidR="005532A5" w:rsidRPr="00B204C9" w:rsidRDefault="005532A5" w:rsidP="00B204C9">
      <w:pPr>
        <w:pStyle w:val="NormalWeb"/>
        <w:jc w:val="both"/>
        <w:rPr>
          <w:rFonts w:asciiTheme="majorHAnsi" w:hAnsiTheme="majorHAnsi" w:cstheme="majorHAnsi"/>
          <w:sz w:val="22"/>
        </w:rPr>
      </w:pPr>
      <w:r w:rsidRPr="00B204C9">
        <w:rPr>
          <w:rFonts w:asciiTheme="majorHAnsi" w:hAnsiTheme="majorHAnsi" w:cstheme="majorHAnsi"/>
          <w:sz w:val="22"/>
        </w:rPr>
        <w:t xml:space="preserve">Despite these benefits, the system also produces </w:t>
      </w:r>
      <w:r w:rsidRPr="00B204C9">
        <w:rPr>
          <w:rStyle w:val="Strong"/>
          <w:rFonts w:asciiTheme="majorHAnsi" w:hAnsiTheme="majorHAnsi" w:cstheme="majorHAnsi"/>
          <w:sz w:val="22"/>
        </w:rPr>
        <w:t>unintended consequences</w:t>
      </w:r>
      <w:r w:rsidRPr="00B204C9">
        <w:rPr>
          <w:rFonts w:asciiTheme="majorHAnsi" w:hAnsiTheme="majorHAnsi" w:cstheme="majorHAnsi"/>
          <w:sz w:val="22"/>
        </w:rPr>
        <w:t xml:space="preserve">, particularly for stakeholders with limited power and agency. One key risk is the </w:t>
      </w:r>
      <w:r w:rsidRPr="00B204C9">
        <w:rPr>
          <w:rStyle w:val="Strong"/>
          <w:rFonts w:asciiTheme="majorHAnsi" w:hAnsiTheme="majorHAnsi" w:cstheme="majorHAnsi"/>
          <w:sz w:val="22"/>
        </w:rPr>
        <w:t>distributional impact of forecast-driven decisions</w:t>
      </w:r>
      <w:r w:rsidRPr="00B204C9">
        <w:rPr>
          <w:rFonts w:asciiTheme="majorHAnsi" w:hAnsiTheme="majorHAnsi" w:cstheme="majorHAnsi"/>
          <w:sz w:val="22"/>
        </w:rPr>
        <w:t xml:space="preserve">, such as dynamic pricing or infrastructure allocation. While efficiency gains may benefit the majority, </w:t>
      </w:r>
      <w:r w:rsidRPr="00B204C9">
        <w:rPr>
          <w:rStyle w:val="Strong"/>
          <w:rFonts w:asciiTheme="majorHAnsi" w:hAnsiTheme="majorHAnsi" w:cstheme="majorHAnsi"/>
          <w:sz w:val="22"/>
        </w:rPr>
        <w:t>vulnerable populations</w:t>
      </w:r>
      <w:r w:rsidRPr="00B204C9">
        <w:rPr>
          <w:rFonts w:asciiTheme="majorHAnsi" w:hAnsiTheme="majorHAnsi" w:cstheme="majorHAnsi"/>
          <w:sz w:val="22"/>
        </w:rPr>
        <w:t>—including low-income or rural communities—may face disproportionate burdens, such as increased energy costs or reduced service reliability. This reflects a known limitation of utilitarian reasoning, where aggregate benefits can mask inequ</w:t>
      </w:r>
      <w:r w:rsidR="00B204C9">
        <w:rPr>
          <w:rFonts w:asciiTheme="majorHAnsi" w:hAnsiTheme="majorHAnsi" w:cstheme="majorHAnsi"/>
          <w:sz w:val="22"/>
        </w:rPr>
        <w:t>ities affecting minority groups</w:t>
      </w:r>
      <w:r w:rsidRPr="00B204C9">
        <w:rPr>
          <w:rFonts w:asciiTheme="majorHAnsi" w:hAnsiTheme="majorHAnsi" w:cstheme="majorHAnsi"/>
          <w:sz w:val="22"/>
        </w:rPr>
        <w:t>.</w:t>
      </w:r>
    </w:p>
    <w:p w:rsidR="005532A5" w:rsidRPr="00B204C9" w:rsidRDefault="005532A5" w:rsidP="00B204C9">
      <w:pPr>
        <w:pStyle w:val="NormalWeb"/>
        <w:jc w:val="both"/>
        <w:rPr>
          <w:rFonts w:asciiTheme="majorHAnsi" w:hAnsiTheme="majorHAnsi" w:cstheme="majorHAnsi"/>
          <w:sz w:val="22"/>
        </w:rPr>
      </w:pPr>
      <w:r w:rsidRPr="00B204C9">
        <w:rPr>
          <w:rFonts w:asciiTheme="majorHAnsi" w:hAnsiTheme="majorHAnsi" w:cstheme="majorHAnsi"/>
          <w:sz w:val="22"/>
        </w:rPr>
        <w:t xml:space="preserve">A further concern is the </w:t>
      </w:r>
      <w:r w:rsidRPr="00B204C9">
        <w:rPr>
          <w:rStyle w:val="Strong"/>
          <w:rFonts w:asciiTheme="majorHAnsi" w:hAnsiTheme="majorHAnsi" w:cstheme="majorHAnsi"/>
          <w:sz w:val="22"/>
        </w:rPr>
        <w:t>opacity of complex models</w:t>
      </w:r>
      <w:r w:rsidRPr="00B204C9">
        <w:rPr>
          <w:rFonts w:asciiTheme="majorHAnsi" w:hAnsiTheme="majorHAnsi" w:cstheme="majorHAnsi"/>
          <w:sz w:val="22"/>
        </w:rPr>
        <w:t>, such as LSTM or transformer-based architectures</w:t>
      </w:r>
      <w:r w:rsidR="005F7B7B">
        <w:rPr>
          <w:rFonts w:asciiTheme="majorHAnsi" w:hAnsiTheme="majorHAnsi" w:cstheme="majorHAnsi"/>
          <w:sz w:val="22"/>
        </w:rPr>
        <w:t xml:space="preserve"> </w:t>
      </w:r>
      <w:sdt>
        <w:sdtPr>
          <w:rPr>
            <w:rFonts w:asciiTheme="majorHAnsi" w:hAnsiTheme="majorHAnsi" w:cstheme="majorHAnsi"/>
            <w:sz w:val="22"/>
          </w:rPr>
          <w:id w:val="1637374552"/>
          <w:citation/>
        </w:sdtPr>
        <w:sdtContent>
          <w:r w:rsidR="005F7B7B">
            <w:rPr>
              <w:rFonts w:asciiTheme="majorHAnsi" w:hAnsiTheme="majorHAnsi" w:cstheme="majorHAnsi"/>
              <w:sz w:val="22"/>
            </w:rPr>
            <w:fldChar w:fldCharType="begin"/>
          </w:r>
          <w:r w:rsidR="005F7B7B">
            <w:rPr>
              <w:rFonts w:asciiTheme="majorHAnsi" w:hAnsiTheme="majorHAnsi" w:cstheme="majorHAnsi"/>
              <w:sz w:val="22"/>
              <w:lang w:val="en-US"/>
            </w:rPr>
            <w:instrText xml:space="preserve"> CITATION Bro20 \l 1033 </w:instrText>
          </w:r>
          <w:r w:rsidR="005F7B7B">
            <w:rPr>
              <w:rFonts w:asciiTheme="majorHAnsi" w:hAnsiTheme="majorHAnsi" w:cstheme="majorHAnsi"/>
              <w:sz w:val="22"/>
            </w:rPr>
            <w:fldChar w:fldCharType="separate"/>
          </w:r>
          <w:r w:rsidR="005F7B7B" w:rsidRPr="005F7B7B">
            <w:rPr>
              <w:rFonts w:asciiTheme="majorHAnsi" w:hAnsiTheme="majorHAnsi" w:cstheme="majorHAnsi"/>
              <w:noProof/>
              <w:sz w:val="22"/>
              <w:lang w:val="en-US"/>
            </w:rPr>
            <w:t>(Brown, Mann, &amp; Ryder, 2020)</w:t>
          </w:r>
          <w:r w:rsidR="005F7B7B">
            <w:rPr>
              <w:rFonts w:asciiTheme="majorHAnsi" w:hAnsiTheme="majorHAnsi" w:cstheme="majorHAnsi"/>
              <w:sz w:val="22"/>
            </w:rPr>
            <w:fldChar w:fldCharType="end"/>
          </w:r>
        </w:sdtContent>
      </w:sdt>
      <w:r w:rsidRPr="00B204C9">
        <w:rPr>
          <w:rFonts w:asciiTheme="majorHAnsi" w:hAnsiTheme="majorHAnsi" w:cstheme="majorHAnsi"/>
          <w:sz w:val="22"/>
        </w:rPr>
        <w:t xml:space="preserve">. These models operate as “black boxes,” </w:t>
      </w:r>
      <w:sdt>
        <w:sdtPr>
          <w:rPr>
            <w:rFonts w:asciiTheme="majorHAnsi" w:hAnsiTheme="majorHAnsi" w:cstheme="majorHAnsi"/>
            <w:sz w:val="22"/>
          </w:rPr>
          <w:id w:val="-1237699107"/>
          <w:citation/>
        </w:sdtPr>
        <w:sdtContent>
          <w:r w:rsidR="000E7389">
            <w:rPr>
              <w:rFonts w:asciiTheme="majorHAnsi" w:hAnsiTheme="majorHAnsi" w:cstheme="majorHAnsi"/>
              <w:sz w:val="22"/>
            </w:rPr>
            <w:fldChar w:fldCharType="begin"/>
          </w:r>
          <w:r w:rsidR="000E7389">
            <w:rPr>
              <w:rFonts w:asciiTheme="majorHAnsi" w:hAnsiTheme="majorHAnsi" w:cstheme="majorHAnsi"/>
              <w:sz w:val="22"/>
              <w:lang w:val="en-US"/>
            </w:rPr>
            <w:instrText xml:space="preserve"> CITATION Dos17 \l 1033 </w:instrText>
          </w:r>
          <w:r w:rsidR="000E7389">
            <w:rPr>
              <w:rFonts w:asciiTheme="majorHAnsi" w:hAnsiTheme="majorHAnsi" w:cstheme="majorHAnsi"/>
              <w:sz w:val="22"/>
            </w:rPr>
            <w:fldChar w:fldCharType="separate"/>
          </w:r>
          <w:r w:rsidR="000E7389" w:rsidRPr="000E7389">
            <w:rPr>
              <w:rFonts w:asciiTheme="majorHAnsi" w:hAnsiTheme="majorHAnsi" w:cstheme="majorHAnsi"/>
              <w:noProof/>
              <w:sz w:val="22"/>
              <w:lang w:val="en-US"/>
            </w:rPr>
            <w:t>(Doshi-Velez &amp; Kim, 2017)</w:t>
          </w:r>
          <w:r w:rsidR="000E7389">
            <w:rPr>
              <w:rFonts w:asciiTheme="majorHAnsi" w:hAnsiTheme="majorHAnsi" w:cstheme="majorHAnsi"/>
              <w:sz w:val="22"/>
            </w:rPr>
            <w:fldChar w:fldCharType="end"/>
          </w:r>
        </w:sdtContent>
      </w:sdt>
      <w:r w:rsidR="000E7389">
        <w:rPr>
          <w:rFonts w:asciiTheme="majorHAnsi" w:hAnsiTheme="majorHAnsi" w:cstheme="majorHAnsi"/>
          <w:sz w:val="22"/>
        </w:rPr>
        <w:t xml:space="preserve"> </w:t>
      </w:r>
      <w:r w:rsidRPr="00B204C9">
        <w:rPr>
          <w:rFonts w:asciiTheme="majorHAnsi" w:hAnsiTheme="majorHAnsi" w:cstheme="majorHAnsi"/>
          <w:sz w:val="22"/>
        </w:rPr>
        <w:t xml:space="preserve">making it difficult for stakeholders to understand how predictions are generated or to challenge outcomes. This lack of transparency undermines </w:t>
      </w:r>
      <w:r w:rsidRPr="00B204C9">
        <w:rPr>
          <w:rStyle w:val="Strong"/>
          <w:rFonts w:asciiTheme="majorHAnsi" w:hAnsiTheme="majorHAnsi" w:cstheme="majorHAnsi"/>
          <w:sz w:val="22"/>
        </w:rPr>
        <w:t>procedural justice</w:t>
      </w:r>
      <w:r w:rsidRPr="00B204C9">
        <w:rPr>
          <w:rFonts w:asciiTheme="majorHAnsi" w:hAnsiTheme="majorHAnsi" w:cstheme="majorHAnsi"/>
          <w:sz w:val="22"/>
        </w:rPr>
        <w:t>, as affected individuals are excluded from meaningful participation or contestation in decision-making processes.</w:t>
      </w:r>
    </w:p>
    <w:p w:rsidR="005532A5" w:rsidRPr="00B204C9" w:rsidRDefault="005532A5" w:rsidP="00B204C9">
      <w:pPr>
        <w:pStyle w:val="NormalWeb"/>
        <w:jc w:val="both"/>
        <w:rPr>
          <w:rFonts w:asciiTheme="majorHAnsi" w:hAnsiTheme="majorHAnsi" w:cstheme="majorHAnsi"/>
          <w:sz w:val="22"/>
        </w:rPr>
      </w:pPr>
      <w:r w:rsidRPr="00B204C9">
        <w:rPr>
          <w:rFonts w:asciiTheme="majorHAnsi" w:hAnsiTheme="majorHAnsi" w:cstheme="majorHAnsi"/>
          <w:sz w:val="22"/>
        </w:rPr>
        <w:t xml:space="preserve">Additionally, the system may perpetuate </w:t>
      </w:r>
      <w:r w:rsidRPr="00B204C9">
        <w:rPr>
          <w:rStyle w:val="Strong"/>
          <w:rFonts w:asciiTheme="majorHAnsi" w:hAnsiTheme="majorHAnsi" w:cstheme="majorHAnsi"/>
          <w:sz w:val="22"/>
        </w:rPr>
        <w:t>systemic biases embedded in historical data</w:t>
      </w:r>
      <w:r w:rsidRPr="00B204C9">
        <w:rPr>
          <w:rFonts w:asciiTheme="majorHAnsi" w:hAnsiTheme="majorHAnsi" w:cstheme="majorHAnsi"/>
          <w:sz w:val="22"/>
        </w:rPr>
        <w:t xml:space="preserve">. Since the dataset (196,466 rows, 77 features) is derived from past demand patterns, it reflects existing socio-economic conditions. If certain regions have historically experienced lower investment or higher volatility, the model may reinforce these patterns, leading to </w:t>
      </w:r>
      <w:r w:rsidRPr="00B204C9">
        <w:rPr>
          <w:rStyle w:val="Strong"/>
          <w:rFonts w:asciiTheme="majorHAnsi" w:hAnsiTheme="majorHAnsi" w:cstheme="majorHAnsi"/>
          <w:sz w:val="22"/>
        </w:rPr>
        <w:t>feedback loops</w:t>
      </w:r>
      <w:r w:rsidRPr="00B204C9">
        <w:rPr>
          <w:rFonts w:asciiTheme="majorHAnsi" w:hAnsiTheme="majorHAnsi" w:cstheme="majorHAnsi"/>
          <w:sz w:val="22"/>
        </w:rPr>
        <w:t xml:space="preserve"> that entrench inequality—an issue highlighted in discussions of algorithmic bias and predictive systems.</w:t>
      </w:r>
    </w:p>
    <w:p w:rsidR="005532A5" w:rsidRPr="00B204C9" w:rsidRDefault="005532A5" w:rsidP="00B204C9">
      <w:pPr>
        <w:pStyle w:val="NormalWeb"/>
        <w:jc w:val="both"/>
        <w:rPr>
          <w:rFonts w:asciiTheme="majorHAnsi" w:hAnsiTheme="majorHAnsi" w:cstheme="majorHAnsi"/>
          <w:sz w:val="22"/>
        </w:rPr>
      </w:pPr>
      <w:r w:rsidRPr="00B204C9">
        <w:rPr>
          <w:rFonts w:asciiTheme="majorHAnsi" w:hAnsiTheme="majorHAnsi" w:cstheme="majorHAnsi"/>
          <w:sz w:val="22"/>
        </w:rPr>
        <w:t xml:space="preserve">There are also risks associated with </w:t>
      </w:r>
      <w:r w:rsidRPr="00B204C9">
        <w:rPr>
          <w:rStyle w:val="Strong"/>
          <w:rFonts w:asciiTheme="majorHAnsi" w:hAnsiTheme="majorHAnsi" w:cstheme="majorHAnsi"/>
          <w:sz w:val="22"/>
        </w:rPr>
        <w:t>over-reliance on automated decision-making</w:t>
      </w:r>
      <w:r w:rsidRPr="00B204C9">
        <w:rPr>
          <w:rFonts w:asciiTheme="majorHAnsi" w:hAnsiTheme="majorHAnsi" w:cstheme="majorHAnsi"/>
          <w:sz w:val="22"/>
        </w:rPr>
        <w:t>. Human operators may defer to model outputs without sufficient critical scrutiny, increasing the likelihood of error pr</w:t>
      </w:r>
      <w:r w:rsidR="00671220">
        <w:rPr>
          <w:rFonts w:asciiTheme="majorHAnsi" w:hAnsiTheme="majorHAnsi" w:cstheme="majorHAnsi"/>
          <w:sz w:val="22"/>
        </w:rPr>
        <w:t>opagation. A</w:t>
      </w:r>
      <w:r w:rsidRPr="00B204C9">
        <w:rPr>
          <w:rFonts w:asciiTheme="majorHAnsi" w:hAnsiTheme="majorHAnsi" w:cstheme="majorHAnsi"/>
          <w:sz w:val="22"/>
        </w:rPr>
        <w:t>lgorithmic systems can amplify errors at scale</w:t>
      </w:r>
      <w:r w:rsidR="00DD6FC8">
        <w:rPr>
          <w:rFonts w:asciiTheme="majorHAnsi" w:hAnsiTheme="majorHAnsi" w:cstheme="majorHAnsi"/>
          <w:sz w:val="22"/>
        </w:rPr>
        <w:t xml:space="preserve"> </w:t>
      </w:r>
      <w:sdt>
        <w:sdtPr>
          <w:rPr>
            <w:rFonts w:asciiTheme="majorHAnsi" w:hAnsiTheme="majorHAnsi" w:cstheme="majorHAnsi"/>
            <w:sz w:val="22"/>
          </w:rPr>
          <w:id w:val="-1620211421"/>
          <w:citation/>
        </w:sdtPr>
        <w:sdtContent>
          <w:r w:rsidR="00DD6FC8">
            <w:rPr>
              <w:rFonts w:asciiTheme="majorHAnsi" w:hAnsiTheme="majorHAnsi" w:cstheme="majorHAnsi"/>
              <w:sz w:val="22"/>
            </w:rPr>
            <w:fldChar w:fldCharType="begin"/>
          </w:r>
          <w:r w:rsidR="00DD6FC8">
            <w:rPr>
              <w:rFonts w:asciiTheme="majorHAnsi" w:hAnsiTheme="majorHAnsi" w:cstheme="majorHAnsi"/>
              <w:sz w:val="22"/>
              <w:lang w:val="en-US"/>
            </w:rPr>
            <w:instrText xml:space="preserve"> CITATION UNS26 \l 1033 </w:instrText>
          </w:r>
          <w:r w:rsidR="00DD6FC8">
            <w:rPr>
              <w:rFonts w:asciiTheme="majorHAnsi" w:hAnsiTheme="majorHAnsi" w:cstheme="majorHAnsi"/>
              <w:sz w:val="22"/>
            </w:rPr>
            <w:fldChar w:fldCharType="separate"/>
          </w:r>
          <w:r w:rsidR="00DD6FC8" w:rsidRPr="00DD6FC8">
            <w:rPr>
              <w:rFonts w:asciiTheme="majorHAnsi" w:hAnsiTheme="majorHAnsi" w:cstheme="majorHAnsi"/>
              <w:noProof/>
              <w:sz w:val="22"/>
              <w:lang w:val="en-US"/>
            </w:rPr>
            <w:t>(UNSW, ZZBU6505 Data and Ethics, 2026)</w:t>
          </w:r>
          <w:r w:rsidR="00DD6FC8">
            <w:rPr>
              <w:rFonts w:asciiTheme="majorHAnsi" w:hAnsiTheme="majorHAnsi" w:cstheme="majorHAnsi"/>
              <w:sz w:val="22"/>
            </w:rPr>
            <w:fldChar w:fldCharType="end"/>
          </w:r>
        </w:sdtContent>
      </w:sdt>
      <w:r w:rsidRPr="00B204C9">
        <w:rPr>
          <w:rFonts w:asciiTheme="majorHAnsi" w:hAnsiTheme="majorHAnsi" w:cstheme="majorHAnsi"/>
          <w:sz w:val="22"/>
        </w:rPr>
        <w:t>, with potentially significant consequences for infrastructure and public trust.</w:t>
      </w:r>
    </w:p>
    <w:p w:rsidR="005532A5" w:rsidRPr="00B204C9" w:rsidRDefault="005532A5" w:rsidP="005532A5">
      <w:pPr>
        <w:pStyle w:val="Heading3"/>
        <w:rPr>
          <w:rFonts w:asciiTheme="majorHAnsi" w:hAnsiTheme="majorHAnsi" w:cstheme="majorHAnsi"/>
          <w:sz w:val="24"/>
        </w:rPr>
      </w:pPr>
      <w:bookmarkStart w:id="8" w:name="_Toc226463276"/>
      <w:r w:rsidRPr="00B204C9">
        <w:rPr>
          <w:rStyle w:val="Strong"/>
          <w:rFonts w:asciiTheme="majorHAnsi" w:hAnsiTheme="majorHAnsi" w:cstheme="majorHAnsi"/>
          <w:b/>
          <w:bCs/>
          <w:sz w:val="24"/>
        </w:rPr>
        <w:t>Ethical Evaluation and Public Interest</w:t>
      </w:r>
      <w:bookmarkEnd w:id="8"/>
    </w:p>
    <w:p w:rsidR="000736CC" w:rsidRDefault="000736CC" w:rsidP="00B204C9">
      <w:pPr>
        <w:pStyle w:val="NormalWeb"/>
        <w:jc w:val="both"/>
        <w:rPr>
          <w:rFonts w:asciiTheme="majorHAnsi" w:hAnsiTheme="majorHAnsi" w:cstheme="majorHAnsi"/>
          <w:sz w:val="22"/>
        </w:rPr>
      </w:pPr>
      <w:r w:rsidRPr="000736CC">
        <w:rPr>
          <w:rFonts w:asciiTheme="majorHAnsi" w:hAnsiTheme="majorHAnsi" w:cstheme="majorHAnsi"/>
          <w:sz w:val="22"/>
        </w:rPr>
        <w:t xml:space="preserve">From a </w:t>
      </w:r>
      <w:r w:rsidRPr="000736CC">
        <w:rPr>
          <w:rFonts w:asciiTheme="majorHAnsi" w:hAnsiTheme="majorHAnsi" w:cstheme="majorHAnsi"/>
          <w:b/>
          <w:sz w:val="22"/>
        </w:rPr>
        <w:t>deontological standpoint</w:t>
      </w:r>
      <w:r w:rsidR="00DD6FC8">
        <w:rPr>
          <w:rFonts w:asciiTheme="majorHAnsi" w:hAnsiTheme="majorHAnsi" w:cstheme="majorHAnsi"/>
          <w:sz w:val="22"/>
        </w:rPr>
        <w:t xml:space="preserve"> </w:t>
      </w:r>
      <w:sdt>
        <w:sdtPr>
          <w:rPr>
            <w:rFonts w:asciiTheme="majorHAnsi" w:hAnsiTheme="majorHAnsi" w:cstheme="majorHAnsi"/>
            <w:sz w:val="22"/>
          </w:rPr>
          <w:id w:val="1042948148"/>
          <w:citation/>
        </w:sdtPr>
        <w:sdtContent>
          <w:r w:rsidR="00DD6FC8">
            <w:rPr>
              <w:rFonts w:asciiTheme="majorHAnsi" w:hAnsiTheme="majorHAnsi" w:cstheme="majorHAnsi"/>
              <w:sz w:val="22"/>
            </w:rPr>
            <w:fldChar w:fldCharType="begin"/>
          </w:r>
          <w:r w:rsidR="00DD6FC8">
            <w:rPr>
              <w:rFonts w:asciiTheme="majorHAnsi" w:hAnsiTheme="majorHAnsi" w:cstheme="majorHAnsi"/>
              <w:sz w:val="22"/>
              <w:lang w:val="en-US"/>
            </w:rPr>
            <w:instrText xml:space="preserve"> CITATION UNS26 \l 1033 </w:instrText>
          </w:r>
          <w:r w:rsidR="00DD6FC8">
            <w:rPr>
              <w:rFonts w:asciiTheme="majorHAnsi" w:hAnsiTheme="majorHAnsi" w:cstheme="majorHAnsi"/>
              <w:sz w:val="22"/>
            </w:rPr>
            <w:fldChar w:fldCharType="separate"/>
          </w:r>
          <w:r w:rsidR="00DD6FC8" w:rsidRPr="00DD6FC8">
            <w:rPr>
              <w:rFonts w:asciiTheme="majorHAnsi" w:hAnsiTheme="majorHAnsi" w:cstheme="majorHAnsi"/>
              <w:noProof/>
              <w:sz w:val="22"/>
              <w:lang w:val="en-US"/>
            </w:rPr>
            <w:t>(UNSW, ZZBU6505 Data and Ethics, 2026)</w:t>
          </w:r>
          <w:r w:rsidR="00DD6FC8">
            <w:rPr>
              <w:rFonts w:asciiTheme="majorHAnsi" w:hAnsiTheme="majorHAnsi" w:cstheme="majorHAnsi"/>
              <w:sz w:val="22"/>
            </w:rPr>
            <w:fldChar w:fldCharType="end"/>
          </w:r>
        </w:sdtContent>
      </w:sdt>
      <w:r w:rsidRPr="000736CC">
        <w:rPr>
          <w:rFonts w:asciiTheme="majorHAnsi" w:hAnsiTheme="majorHAnsi" w:cstheme="majorHAnsi"/>
          <w:sz w:val="22"/>
        </w:rPr>
        <w:t>, the system raises obligations to ensure fairness, transparency, and non-maleficence. Stakeholders have a moral right not to be adversely affected by opaque or biased models, requiring explainability, auditin</w:t>
      </w:r>
      <w:r>
        <w:rPr>
          <w:rFonts w:asciiTheme="majorHAnsi" w:hAnsiTheme="majorHAnsi" w:cstheme="majorHAnsi"/>
          <w:sz w:val="22"/>
        </w:rPr>
        <w:t xml:space="preserve">g, and safeguards against harm. </w:t>
      </w:r>
      <w:r w:rsidRPr="000736CC">
        <w:rPr>
          <w:rFonts w:asciiTheme="majorHAnsi" w:hAnsiTheme="majorHAnsi" w:cstheme="majorHAnsi"/>
          <w:b/>
          <w:sz w:val="22"/>
        </w:rPr>
        <w:t>Justice frameworks</w:t>
      </w:r>
      <w:r w:rsidRPr="000736CC">
        <w:rPr>
          <w:rFonts w:asciiTheme="majorHAnsi" w:hAnsiTheme="majorHAnsi" w:cstheme="majorHAnsi"/>
          <w:sz w:val="22"/>
        </w:rPr>
        <w:t>, including Rawls’ veil of ignorance</w:t>
      </w:r>
      <w:r w:rsidR="00DD6FC8">
        <w:rPr>
          <w:rFonts w:asciiTheme="majorHAnsi" w:hAnsiTheme="majorHAnsi" w:cstheme="majorHAnsi"/>
          <w:sz w:val="22"/>
        </w:rPr>
        <w:t xml:space="preserve"> </w:t>
      </w:r>
      <w:sdt>
        <w:sdtPr>
          <w:rPr>
            <w:rFonts w:asciiTheme="majorHAnsi" w:hAnsiTheme="majorHAnsi" w:cstheme="majorHAnsi"/>
            <w:sz w:val="22"/>
          </w:rPr>
          <w:id w:val="-1157912705"/>
          <w:citation/>
        </w:sdtPr>
        <w:sdtContent>
          <w:r w:rsidR="00DD6FC8">
            <w:rPr>
              <w:rFonts w:asciiTheme="majorHAnsi" w:hAnsiTheme="majorHAnsi" w:cstheme="majorHAnsi"/>
              <w:sz w:val="22"/>
            </w:rPr>
            <w:fldChar w:fldCharType="begin"/>
          </w:r>
          <w:r w:rsidR="00DD6FC8">
            <w:rPr>
              <w:rFonts w:asciiTheme="majorHAnsi" w:hAnsiTheme="majorHAnsi" w:cstheme="majorHAnsi"/>
              <w:sz w:val="22"/>
              <w:lang w:val="en-US"/>
            </w:rPr>
            <w:instrText xml:space="preserve"> CITATION JRa71 \l 1033 </w:instrText>
          </w:r>
          <w:r w:rsidR="00DD6FC8">
            <w:rPr>
              <w:rFonts w:asciiTheme="majorHAnsi" w:hAnsiTheme="majorHAnsi" w:cstheme="majorHAnsi"/>
              <w:sz w:val="22"/>
            </w:rPr>
            <w:fldChar w:fldCharType="separate"/>
          </w:r>
          <w:r w:rsidR="00DD6FC8" w:rsidRPr="00DD6FC8">
            <w:rPr>
              <w:rFonts w:asciiTheme="majorHAnsi" w:hAnsiTheme="majorHAnsi" w:cstheme="majorHAnsi"/>
              <w:noProof/>
              <w:sz w:val="22"/>
              <w:lang w:val="en-US"/>
            </w:rPr>
            <w:t>(Rawls, 1971)</w:t>
          </w:r>
          <w:r w:rsidR="00DD6FC8">
            <w:rPr>
              <w:rFonts w:asciiTheme="majorHAnsi" w:hAnsiTheme="majorHAnsi" w:cstheme="majorHAnsi"/>
              <w:sz w:val="22"/>
            </w:rPr>
            <w:fldChar w:fldCharType="end"/>
          </w:r>
        </w:sdtContent>
      </w:sdt>
      <w:r w:rsidRPr="000736CC">
        <w:rPr>
          <w:rFonts w:asciiTheme="majorHAnsi" w:hAnsiTheme="majorHAnsi" w:cstheme="majorHAnsi"/>
          <w:sz w:val="22"/>
        </w:rPr>
        <w:t xml:space="preserve"> and Sen’s </w:t>
      </w:r>
      <w:sdt>
        <w:sdtPr>
          <w:rPr>
            <w:rFonts w:asciiTheme="majorHAnsi" w:hAnsiTheme="majorHAnsi" w:cstheme="majorHAnsi"/>
            <w:sz w:val="22"/>
          </w:rPr>
          <w:id w:val="1666508953"/>
          <w:citation/>
        </w:sdtPr>
        <w:sdtContent>
          <w:r w:rsidR="00DD6FC8">
            <w:rPr>
              <w:rFonts w:asciiTheme="majorHAnsi" w:hAnsiTheme="majorHAnsi" w:cstheme="majorHAnsi"/>
              <w:sz w:val="22"/>
            </w:rPr>
            <w:fldChar w:fldCharType="begin"/>
          </w:r>
          <w:r w:rsidR="00DD6FC8">
            <w:rPr>
              <w:rFonts w:asciiTheme="majorHAnsi" w:hAnsiTheme="majorHAnsi" w:cstheme="majorHAnsi"/>
              <w:sz w:val="22"/>
              <w:lang w:val="en-US"/>
            </w:rPr>
            <w:instrText xml:space="preserve"> CITATION ASe99 \l 1033 </w:instrText>
          </w:r>
          <w:r w:rsidR="00DD6FC8">
            <w:rPr>
              <w:rFonts w:asciiTheme="majorHAnsi" w:hAnsiTheme="majorHAnsi" w:cstheme="majorHAnsi"/>
              <w:sz w:val="22"/>
            </w:rPr>
            <w:fldChar w:fldCharType="separate"/>
          </w:r>
          <w:r w:rsidR="00DD6FC8" w:rsidRPr="00DD6FC8">
            <w:rPr>
              <w:rFonts w:asciiTheme="majorHAnsi" w:hAnsiTheme="majorHAnsi" w:cstheme="majorHAnsi"/>
              <w:noProof/>
              <w:sz w:val="22"/>
              <w:lang w:val="en-US"/>
            </w:rPr>
            <w:t>(Sen, 1999)</w:t>
          </w:r>
          <w:r w:rsidR="00DD6FC8">
            <w:rPr>
              <w:rFonts w:asciiTheme="majorHAnsi" w:hAnsiTheme="majorHAnsi" w:cstheme="majorHAnsi"/>
              <w:sz w:val="22"/>
            </w:rPr>
            <w:fldChar w:fldCharType="end"/>
          </w:r>
        </w:sdtContent>
      </w:sdt>
      <w:r w:rsidR="00DD6FC8">
        <w:rPr>
          <w:rFonts w:asciiTheme="majorHAnsi" w:hAnsiTheme="majorHAnsi" w:cstheme="majorHAnsi"/>
          <w:sz w:val="22"/>
        </w:rPr>
        <w:t xml:space="preserve"> </w:t>
      </w:r>
      <w:r w:rsidRPr="000736CC">
        <w:rPr>
          <w:rFonts w:asciiTheme="majorHAnsi" w:hAnsiTheme="majorHAnsi" w:cstheme="majorHAnsi"/>
          <w:sz w:val="22"/>
        </w:rPr>
        <w:lastRenderedPageBreak/>
        <w:t>capability approach, emphasise protecting the least advantaged and enabling equit</w:t>
      </w:r>
      <w:r>
        <w:rPr>
          <w:rFonts w:asciiTheme="majorHAnsi" w:hAnsiTheme="majorHAnsi" w:cstheme="majorHAnsi"/>
          <w:sz w:val="22"/>
        </w:rPr>
        <w:t>able access to energy benefits.</w:t>
      </w:r>
    </w:p>
    <w:p w:rsidR="00B204C9" w:rsidRDefault="000736CC" w:rsidP="00B204C9">
      <w:pPr>
        <w:pStyle w:val="NormalWeb"/>
        <w:jc w:val="both"/>
        <w:rPr>
          <w:rFonts w:asciiTheme="majorHAnsi" w:hAnsiTheme="majorHAnsi" w:cstheme="majorHAnsi"/>
          <w:sz w:val="22"/>
        </w:rPr>
      </w:pPr>
      <w:r w:rsidRPr="000736CC">
        <w:rPr>
          <w:rFonts w:asciiTheme="majorHAnsi" w:hAnsiTheme="majorHAnsi" w:cstheme="majorHAnsi"/>
          <w:sz w:val="22"/>
        </w:rPr>
        <w:t xml:space="preserve">While the system delivers societal value through improved efficiency and reliability, </w:t>
      </w:r>
      <w:r w:rsidRPr="000736CC">
        <w:rPr>
          <w:rFonts w:asciiTheme="majorHAnsi" w:hAnsiTheme="majorHAnsi" w:cstheme="majorHAnsi"/>
          <w:b/>
          <w:sz w:val="22"/>
        </w:rPr>
        <w:t>ethical legitimacy</w:t>
      </w:r>
      <w:r w:rsidRPr="000736CC">
        <w:rPr>
          <w:rFonts w:asciiTheme="majorHAnsi" w:hAnsiTheme="majorHAnsi" w:cstheme="majorHAnsi"/>
          <w:sz w:val="22"/>
        </w:rPr>
        <w:t xml:space="preserve"> depends on </w:t>
      </w:r>
      <w:r w:rsidRPr="000736CC">
        <w:rPr>
          <w:rFonts w:asciiTheme="majorHAnsi" w:hAnsiTheme="majorHAnsi" w:cstheme="majorHAnsi"/>
          <w:b/>
          <w:sz w:val="22"/>
        </w:rPr>
        <w:t>addressing inequality, enhancing transparency, and ensuring accountability</w:t>
      </w:r>
      <w:r w:rsidRPr="000736CC">
        <w:rPr>
          <w:rFonts w:asciiTheme="majorHAnsi" w:hAnsiTheme="majorHAnsi" w:cstheme="majorHAnsi"/>
          <w:sz w:val="22"/>
        </w:rPr>
        <w:t>. Without such measures, it risks reinforcing disparities and undermining public trust in data-driven decision-making systems.</w:t>
      </w:r>
    </w:p>
    <w:p w:rsidR="00BE1C27" w:rsidRDefault="00BE1C27">
      <w:pPr>
        <w:rPr>
          <w:rStyle w:val="Strong"/>
          <w:rFonts w:asciiTheme="majorHAnsi" w:eastAsia="Times New Roman" w:hAnsiTheme="majorHAnsi" w:cstheme="majorHAnsi"/>
          <w:sz w:val="28"/>
          <w:szCs w:val="36"/>
          <w:lang w:eastAsia="en-AU"/>
        </w:rPr>
      </w:pPr>
      <w:r>
        <w:rPr>
          <w:rStyle w:val="Strong"/>
          <w:rFonts w:asciiTheme="majorHAnsi" w:hAnsiTheme="majorHAnsi" w:cstheme="majorHAnsi"/>
          <w:b w:val="0"/>
          <w:bCs w:val="0"/>
          <w:sz w:val="28"/>
        </w:rPr>
        <w:br w:type="page"/>
      </w:r>
    </w:p>
    <w:p w:rsidR="00F3697A" w:rsidRPr="00F43C0A" w:rsidRDefault="00F43C0A" w:rsidP="00F43C0A">
      <w:pPr>
        <w:pStyle w:val="Heading2"/>
        <w:ind w:left="360"/>
        <w:rPr>
          <w:rStyle w:val="Strong"/>
          <w:rFonts w:asciiTheme="majorHAnsi" w:hAnsiTheme="majorHAnsi" w:cstheme="majorHAnsi"/>
          <w:sz w:val="28"/>
        </w:rPr>
      </w:pPr>
      <w:bookmarkStart w:id="9" w:name="_Toc226463277"/>
      <w:r>
        <w:rPr>
          <w:rStyle w:val="Strong"/>
          <w:rFonts w:asciiTheme="majorHAnsi" w:hAnsiTheme="majorHAnsi" w:cstheme="majorHAnsi"/>
          <w:b/>
          <w:bCs/>
          <w:sz w:val="28"/>
        </w:rPr>
        <w:lastRenderedPageBreak/>
        <w:t>Appendix</w:t>
      </w:r>
      <w:r w:rsidR="00F3697A" w:rsidRPr="00F43C0A">
        <w:rPr>
          <w:rStyle w:val="Strong"/>
          <w:rFonts w:asciiTheme="majorHAnsi" w:hAnsiTheme="majorHAnsi" w:cstheme="majorHAnsi"/>
          <w:b/>
          <w:bCs/>
          <w:sz w:val="28"/>
        </w:rPr>
        <w:t>: Methodology and Supporting Materials</w:t>
      </w:r>
      <w:bookmarkEnd w:id="9"/>
    </w:p>
    <w:p w:rsidR="00F3697A" w:rsidRPr="00F43C0A" w:rsidRDefault="00F3697A" w:rsidP="00F43C0A">
      <w:pPr>
        <w:spacing w:before="100" w:beforeAutospacing="1" w:after="100" w:afterAutospacing="1" w:line="240" w:lineRule="auto"/>
        <w:outlineLvl w:val="2"/>
        <w:rPr>
          <w:rFonts w:asciiTheme="majorHAnsi" w:eastAsia="Times New Roman" w:hAnsiTheme="majorHAnsi" w:cstheme="majorHAnsi"/>
          <w:b/>
          <w:bCs/>
          <w:sz w:val="24"/>
          <w:szCs w:val="27"/>
          <w:lang w:eastAsia="en-AU"/>
        </w:rPr>
      </w:pPr>
      <w:bookmarkStart w:id="10" w:name="_Toc226463278"/>
      <w:r w:rsidRPr="00F43C0A">
        <w:rPr>
          <w:rFonts w:asciiTheme="majorHAnsi" w:eastAsia="Times New Roman" w:hAnsiTheme="majorHAnsi" w:cstheme="majorHAnsi"/>
          <w:b/>
          <w:sz w:val="24"/>
          <w:szCs w:val="27"/>
          <w:lang w:eastAsia="en-AU"/>
        </w:rPr>
        <w:t>A1. Methodology</w:t>
      </w:r>
      <w:bookmarkEnd w:id="10"/>
    </w:p>
    <w:p w:rsidR="00F3697A" w:rsidRPr="00F43C0A" w:rsidRDefault="00F3697A" w:rsidP="00F43C0A">
      <w:pPr>
        <w:pStyle w:val="NormalWeb"/>
        <w:jc w:val="both"/>
        <w:rPr>
          <w:rFonts w:asciiTheme="majorHAnsi" w:hAnsiTheme="majorHAnsi" w:cstheme="majorHAnsi"/>
          <w:sz w:val="22"/>
          <w:szCs w:val="22"/>
        </w:rPr>
      </w:pPr>
      <w:r w:rsidRPr="00F43C0A">
        <w:rPr>
          <w:rFonts w:asciiTheme="majorHAnsi" w:hAnsiTheme="majorHAnsi" w:cstheme="majorHAnsi"/>
          <w:sz w:val="22"/>
          <w:szCs w:val="22"/>
        </w:rPr>
        <w:t xml:space="preserve">This report was developed using a </w:t>
      </w:r>
      <w:r w:rsidRPr="00F43C0A">
        <w:rPr>
          <w:rStyle w:val="Strong"/>
          <w:rFonts w:asciiTheme="majorHAnsi" w:hAnsiTheme="majorHAnsi" w:cstheme="majorHAnsi"/>
          <w:sz w:val="22"/>
          <w:szCs w:val="22"/>
        </w:rPr>
        <w:t>case-based analytical approach</w:t>
      </w:r>
      <w:r w:rsidRPr="00F43C0A">
        <w:rPr>
          <w:rFonts w:asciiTheme="majorHAnsi" w:hAnsiTheme="majorHAnsi" w:cstheme="majorHAnsi"/>
          <w:sz w:val="22"/>
          <w:szCs w:val="22"/>
        </w:rPr>
        <w:t xml:space="preserve">, drawing on both </w:t>
      </w:r>
      <w:r w:rsidRPr="00F43C0A">
        <w:rPr>
          <w:rStyle w:val="Strong"/>
          <w:rFonts w:asciiTheme="majorHAnsi" w:hAnsiTheme="majorHAnsi" w:cstheme="majorHAnsi"/>
          <w:sz w:val="22"/>
          <w:szCs w:val="22"/>
        </w:rPr>
        <w:t>practical experience and course materials</w:t>
      </w:r>
      <w:r w:rsidR="000736CC">
        <w:rPr>
          <w:rFonts w:asciiTheme="majorHAnsi" w:hAnsiTheme="majorHAnsi" w:cstheme="majorHAnsi"/>
          <w:sz w:val="22"/>
          <w:szCs w:val="22"/>
        </w:rPr>
        <w:t xml:space="preserve">. The selected data scenario, electricity demand forecasting, </w:t>
      </w:r>
      <w:r w:rsidRPr="00F43C0A">
        <w:rPr>
          <w:rFonts w:asciiTheme="majorHAnsi" w:hAnsiTheme="majorHAnsi" w:cstheme="majorHAnsi"/>
          <w:sz w:val="22"/>
          <w:szCs w:val="22"/>
        </w:rPr>
        <w:t>is directly aligned with my academic project in time-series modelling, where I worked extensively with a dataset comprising</w:t>
      </w:r>
      <w:r w:rsidR="000736CC">
        <w:rPr>
          <w:rFonts w:asciiTheme="majorHAnsi" w:hAnsiTheme="majorHAnsi" w:cstheme="majorHAnsi"/>
          <w:sz w:val="22"/>
          <w:szCs w:val="22"/>
        </w:rPr>
        <w:t xml:space="preserve"> </w:t>
      </w:r>
      <w:r w:rsidR="000736CC" w:rsidRPr="000736CC">
        <w:rPr>
          <w:rFonts w:asciiTheme="majorHAnsi" w:hAnsiTheme="majorHAnsi" w:cstheme="majorHAnsi"/>
          <w:b/>
          <w:sz w:val="22"/>
          <w:szCs w:val="22"/>
        </w:rPr>
        <w:t>millions of</w:t>
      </w:r>
      <w:r w:rsidR="000736CC">
        <w:rPr>
          <w:rFonts w:asciiTheme="majorHAnsi" w:hAnsiTheme="majorHAnsi" w:cstheme="majorHAnsi"/>
          <w:sz w:val="22"/>
          <w:szCs w:val="22"/>
        </w:rPr>
        <w:t xml:space="preserve"> </w:t>
      </w:r>
      <w:r w:rsidR="000736CC">
        <w:rPr>
          <w:rStyle w:val="Strong"/>
          <w:rFonts w:asciiTheme="majorHAnsi" w:hAnsiTheme="majorHAnsi" w:cstheme="majorHAnsi"/>
          <w:sz w:val="22"/>
          <w:szCs w:val="22"/>
        </w:rPr>
        <w:t>observations and dozens of</w:t>
      </w:r>
      <w:r w:rsidRPr="00F43C0A">
        <w:rPr>
          <w:rStyle w:val="Strong"/>
          <w:rFonts w:asciiTheme="majorHAnsi" w:hAnsiTheme="majorHAnsi" w:cstheme="majorHAnsi"/>
          <w:sz w:val="22"/>
          <w:szCs w:val="22"/>
        </w:rPr>
        <w:t xml:space="preserve"> engineered features</w:t>
      </w:r>
      <w:r w:rsidRPr="00F43C0A">
        <w:rPr>
          <w:rFonts w:asciiTheme="majorHAnsi" w:hAnsiTheme="majorHAnsi" w:cstheme="majorHAnsi"/>
          <w:sz w:val="22"/>
          <w:szCs w:val="22"/>
        </w:rPr>
        <w:t xml:space="preserve">. As such, my role in this analysis can be described as a </w:t>
      </w:r>
      <w:r w:rsidRPr="00F43C0A">
        <w:rPr>
          <w:rStyle w:val="Strong"/>
          <w:rFonts w:asciiTheme="majorHAnsi" w:hAnsiTheme="majorHAnsi" w:cstheme="majorHAnsi"/>
          <w:sz w:val="22"/>
          <w:szCs w:val="22"/>
        </w:rPr>
        <w:t>participant-observer</w:t>
      </w:r>
      <w:r w:rsidRPr="00F43C0A">
        <w:rPr>
          <w:rFonts w:asciiTheme="majorHAnsi" w:hAnsiTheme="majorHAnsi" w:cstheme="majorHAnsi"/>
          <w:sz w:val="22"/>
          <w:szCs w:val="22"/>
        </w:rPr>
        <w:t>, combining practical familiarity with critical reflection.</w:t>
      </w:r>
    </w:p>
    <w:p w:rsidR="00F3697A" w:rsidRPr="00F43C0A" w:rsidRDefault="00F3697A" w:rsidP="00F43C0A">
      <w:pPr>
        <w:pStyle w:val="NormalWeb"/>
        <w:jc w:val="both"/>
        <w:rPr>
          <w:rFonts w:asciiTheme="majorHAnsi" w:hAnsiTheme="majorHAnsi" w:cstheme="majorHAnsi"/>
          <w:sz w:val="22"/>
          <w:szCs w:val="22"/>
        </w:rPr>
      </w:pPr>
      <w:r w:rsidRPr="00F43C0A">
        <w:rPr>
          <w:rFonts w:asciiTheme="majorHAnsi" w:hAnsiTheme="majorHAnsi" w:cstheme="majorHAnsi"/>
          <w:sz w:val="22"/>
          <w:szCs w:val="22"/>
        </w:rPr>
        <w:t>The primary sources used in this report include:</w:t>
      </w:r>
    </w:p>
    <w:p w:rsidR="00F3697A" w:rsidRPr="00F43C0A" w:rsidRDefault="00F3697A" w:rsidP="00F43C0A">
      <w:pPr>
        <w:numPr>
          <w:ilvl w:val="0"/>
          <w:numId w:val="4"/>
        </w:numPr>
        <w:spacing w:before="100" w:beforeAutospacing="1" w:after="100" w:afterAutospacing="1" w:line="240" w:lineRule="auto"/>
        <w:jc w:val="both"/>
        <w:rPr>
          <w:rFonts w:asciiTheme="majorHAnsi" w:hAnsiTheme="majorHAnsi" w:cstheme="majorHAnsi"/>
        </w:rPr>
      </w:pPr>
      <w:r w:rsidRPr="00F43C0A">
        <w:rPr>
          <w:rFonts w:asciiTheme="majorHAnsi" w:hAnsiTheme="majorHAnsi" w:cstheme="majorHAnsi"/>
        </w:rPr>
        <w:t xml:space="preserve">Course materials  focusing on </w:t>
      </w:r>
      <w:r w:rsidRPr="00F43C0A">
        <w:rPr>
          <w:rStyle w:val="Strong"/>
          <w:rFonts w:asciiTheme="majorHAnsi" w:hAnsiTheme="majorHAnsi" w:cstheme="majorHAnsi"/>
        </w:rPr>
        <w:t>data ethics, stakeholder analysis, and ethical frameworks</w:t>
      </w:r>
      <w:r w:rsidRPr="00F43C0A">
        <w:rPr>
          <w:rFonts w:asciiTheme="majorHAnsi" w:hAnsiTheme="majorHAnsi" w:cstheme="majorHAnsi"/>
        </w:rPr>
        <w:t xml:space="preserve"> </w:t>
      </w:r>
    </w:p>
    <w:p w:rsidR="00F3697A" w:rsidRPr="00F43C0A" w:rsidRDefault="000736CC" w:rsidP="00F43C0A">
      <w:pPr>
        <w:numPr>
          <w:ilvl w:val="0"/>
          <w:numId w:val="4"/>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Project dataset &amp;</w:t>
      </w:r>
      <w:r w:rsidR="00F3697A" w:rsidRPr="00F43C0A">
        <w:rPr>
          <w:rFonts w:asciiTheme="majorHAnsi" w:hAnsiTheme="majorHAnsi" w:cstheme="majorHAnsi"/>
        </w:rPr>
        <w:t xml:space="preserve"> modelling workflow, including feature engineering </w:t>
      </w:r>
      <w:r>
        <w:rPr>
          <w:rFonts w:asciiTheme="majorHAnsi" w:hAnsiTheme="majorHAnsi" w:cstheme="majorHAnsi"/>
        </w:rPr>
        <w:t>&amp;</w:t>
      </w:r>
      <w:r w:rsidR="00F3697A" w:rsidRPr="00F43C0A">
        <w:rPr>
          <w:rFonts w:asciiTheme="majorHAnsi" w:hAnsiTheme="majorHAnsi" w:cstheme="majorHAnsi"/>
        </w:rPr>
        <w:t xml:space="preserve"> forecasting techniques </w:t>
      </w:r>
    </w:p>
    <w:p w:rsidR="00F3697A" w:rsidRPr="00F43C0A" w:rsidRDefault="000736CC" w:rsidP="00F43C0A">
      <w:pPr>
        <w:numPr>
          <w:ilvl w:val="0"/>
          <w:numId w:val="4"/>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I</w:t>
      </w:r>
      <w:r w:rsidR="00F3697A" w:rsidRPr="00F43C0A">
        <w:rPr>
          <w:rFonts w:asciiTheme="majorHAnsi" w:hAnsiTheme="majorHAnsi" w:cstheme="majorHAnsi"/>
        </w:rPr>
        <w:t xml:space="preserve">nsights derived from discussions on </w:t>
      </w:r>
      <w:r w:rsidR="00F3697A" w:rsidRPr="00F43C0A">
        <w:rPr>
          <w:rStyle w:val="Strong"/>
          <w:rFonts w:asciiTheme="majorHAnsi" w:hAnsiTheme="majorHAnsi" w:cstheme="majorHAnsi"/>
        </w:rPr>
        <w:t xml:space="preserve">algorithmic bias, black-box models, </w:t>
      </w:r>
      <w:r w:rsidRPr="000736CC">
        <w:rPr>
          <w:rStyle w:val="Strong"/>
          <w:rFonts w:asciiTheme="majorHAnsi" w:hAnsiTheme="majorHAnsi" w:cstheme="majorHAnsi"/>
          <w:b w:val="0"/>
        </w:rPr>
        <w:t>&amp;</w:t>
      </w:r>
      <w:r>
        <w:rPr>
          <w:rStyle w:val="Strong"/>
          <w:rFonts w:asciiTheme="majorHAnsi" w:hAnsiTheme="majorHAnsi" w:cstheme="majorHAnsi"/>
        </w:rPr>
        <w:t xml:space="preserve"> </w:t>
      </w:r>
      <w:r w:rsidR="00F3697A" w:rsidRPr="00F43C0A">
        <w:rPr>
          <w:rStyle w:val="Strong"/>
          <w:rFonts w:asciiTheme="majorHAnsi" w:hAnsiTheme="majorHAnsi" w:cstheme="majorHAnsi"/>
        </w:rPr>
        <w:t>data justice</w:t>
      </w:r>
      <w:r w:rsidR="00F3697A" w:rsidRPr="00F43C0A">
        <w:rPr>
          <w:rFonts w:asciiTheme="majorHAnsi" w:hAnsiTheme="majorHAnsi" w:cstheme="majorHAnsi"/>
        </w:rPr>
        <w:t xml:space="preserve"> </w:t>
      </w:r>
    </w:p>
    <w:p w:rsidR="00F3697A" w:rsidRPr="00F43C0A" w:rsidRDefault="00F3697A" w:rsidP="00F43C0A">
      <w:pPr>
        <w:pStyle w:val="NormalWeb"/>
        <w:jc w:val="both"/>
        <w:rPr>
          <w:rFonts w:asciiTheme="majorHAnsi" w:hAnsiTheme="majorHAnsi" w:cstheme="majorHAnsi"/>
          <w:sz w:val="22"/>
          <w:szCs w:val="22"/>
        </w:rPr>
      </w:pPr>
      <w:r w:rsidRPr="00F43C0A">
        <w:rPr>
          <w:rFonts w:asciiTheme="majorHAnsi" w:hAnsiTheme="majorHAnsi" w:cstheme="majorHAnsi"/>
          <w:sz w:val="22"/>
          <w:szCs w:val="22"/>
        </w:rPr>
        <w:t>The methodology involved three key stages:</w:t>
      </w:r>
    </w:p>
    <w:p w:rsidR="00F3697A" w:rsidRPr="00F43C0A" w:rsidRDefault="00F3697A" w:rsidP="00F43C0A">
      <w:pPr>
        <w:numPr>
          <w:ilvl w:val="0"/>
          <w:numId w:val="5"/>
        </w:numPr>
        <w:spacing w:before="100" w:beforeAutospacing="1" w:after="100" w:afterAutospacing="1" w:line="240" w:lineRule="auto"/>
        <w:jc w:val="both"/>
        <w:rPr>
          <w:rFonts w:asciiTheme="majorHAnsi" w:hAnsiTheme="majorHAnsi" w:cstheme="majorHAnsi"/>
        </w:rPr>
      </w:pPr>
      <w:r w:rsidRPr="00F43C0A">
        <w:rPr>
          <w:rStyle w:val="Strong"/>
          <w:rFonts w:asciiTheme="majorHAnsi" w:hAnsiTheme="majorHAnsi" w:cstheme="majorHAnsi"/>
        </w:rPr>
        <w:t>Data Scenario Mapping</w:t>
      </w:r>
      <w:r w:rsidR="00F43C0A">
        <w:rPr>
          <w:rStyle w:val="Strong"/>
          <w:rFonts w:asciiTheme="majorHAnsi" w:hAnsiTheme="majorHAnsi" w:cstheme="majorHAnsi"/>
          <w:b w:val="0"/>
          <w:bCs w:val="0"/>
        </w:rPr>
        <w:t xml:space="preserve">: </w:t>
      </w:r>
      <w:r w:rsidRPr="00F43C0A">
        <w:rPr>
          <w:rFonts w:asciiTheme="majorHAnsi" w:hAnsiTheme="majorHAnsi" w:cstheme="majorHAnsi"/>
        </w:rPr>
        <w:t xml:space="preserve">I first documented the end-to-end data pipeline, including upstream data sources, feature engineering processes, model development, and downstream decision-making. This ensured alignment with the </w:t>
      </w:r>
      <w:r w:rsidRPr="00F43C0A">
        <w:rPr>
          <w:rStyle w:val="Strong"/>
          <w:rFonts w:asciiTheme="majorHAnsi" w:hAnsiTheme="majorHAnsi" w:cstheme="majorHAnsi"/>
        </w:rPr>
        <w:t>data supply chain framework</w:t>
      </w:r>
      <w:r w:rsidRPr="00F43C0A">
        <w:rPr>
          <w:rFonts w:asciiTheme="majorHAnsi" w:hAnsiTheme="majorHAnsi" w:cstheme="majorHAnsi"/>
        </w:rPr>
        <w:t xml:space="preserve">. </w:t>
      </w:r>
    </w:p>
    <w:p w:rsidR="00F3697A" w:rsidRPr="00F43C0A" w:rsidRDefault="00F3697A" w:rsidP="003108D4">
      <w:pPr>
        <w:numPr>
          <w:ilvl w:val="0"/>
          <w:numId w:val="5"/>
        </w:numPr>
        <w:spacing w:before="100" w:beforeAutospacing="1" w:after="100" w:afterAutospacing="1" w:line="240" w:lineRule="auto"/>
        <w:jc w:val="both"/>
        <w:rPr>
          <w:rFonts w:asciiTheme="majorHAnsi" w:hAnsiTheme="majorHAnsi" w:cstheme="majorHAnsi"/>
        </w:rPr>
      </w:pPr>
      <w:r w:rsidRPr="00F43C0A">
        <w:rPr>
          <w:rStyle w:val="Strong"/>
          <w:rFonts w:asciiTheme="majorHAnsi" w:hAnsiTheme="majorHAnsi" w:cstheme="majorHAnsi"/>
        </w:rPr>
        <w:t>Stakeholder Identification and Analysis</w:t>
      </w:r>
      <w:r w:rsidR="00F43C0A" w:rsidRPr="00F43C0A">
        <w:rPr>
          <w:rStyle w:val="Strong"/>
          <w:rFonts w:asciiTheme="majorHAnsi" w:hAnsiTheme="majorHAnsi" w:cstheme="majorHAnsi"/>
        </w:rPr>
        <w:t xml:space="preserve">: </w:t>
      </w:r>
      <w:r w:rsidRPr="00F43C0A">
        <w:rPr>
          <w:rFonts w:asciiTheme="majorHAnsi" w:hAnsiTheme="majorHAnsi" w:cstheme="majorHAnsi"/>
        </w:rPr>
        <w:t xml:space="preserve">Stakeholders were identified across the data lifecycle, including data subjects, system operators, and affected communities. Their </w:t>
      </w:r>
      <w:r w:rsidRPr="00F43C0A">
        <w:rPr>
          <w:rStyle w:val="Strong"/>
          <w:rFonts w:asciiTheme="majorHAnsi" w:hAnsiTheme="majorHAnsi" w:cstheme="majorHAnsi"/>
        </w:rPr>
        <w:t>power, agency, and vulnerabilities</w:t>
      </w:r>
      <w:r w:rsidRPr="00F43C0A">
        <w:rPr>
          <w:rFonts w:asciiTheme="majorHAnsi" w:hAnsiTheme="majorHAnsi" w:cstheme="majorHAnsi"/>
        </w:rPr>
        <w:t xml:space="preserve"> were analysed using concepts from </w:t>
      </w:r>
      <w:r w:rsidRPr="00085B09">
        <w:rPr>
          <w:rFonts w:asciiTheme="majorHAnsi" w:hAnsiTheme="majorHAnsi" w:cstheme="majorHAnsi"/>
          <w:b/>
        </w:rPr>
        <w:t>data stakeholders</w:t>
      </w:r>
      <w:r w:rsidR="00085B09">
        <w:rPr>
          <w:rFonts w:asciiTheme="majorHAnsi" w:hAnsiTheme="majorHAnsi" w:cstheme="majorHAnsi"/>
        </w:rPr>
        <w:t xml:space="preserve"> &amp; </w:t>
      </w:r>
      <w:r w:rsidRPr="00085B09">
        <w:rPr>
          <w:rFonts w:asciiTheme="majorHAnsi" w:hAnsiTheme="majorHAnsi" w:cstheme="majorHAnsi"/>
          <w:b/>
        </w:rPr>
        <w:t>ethical reasoning frameworks</w:t>
      </w:r>
      <w:r w:rsidRPr="00F43C0A">
        <w:rPr>
          <w:rFonts w:asciiTheme="majorHAnsi" w:hAnsiTheme="majorHAnsi" w:cstheme="majorHAnsi"/>
        </w:rPr>
        <w:t xml:space="preserve">. </w:t>
      </w:r>
    </w:p>
    <w:p w:rsidR="00F3697A" w:rsidRPr="00F43C0A" w:rsidRDefault="00F3697A" w:rsidP="000406B3">
      <w:pPr>
        <w:numPr>
          <w:ilvl w:val="0"/>
          <w:numId w:val="5"/>
        </w:numPr>
        <w:spacing w:before="100" w:beforeAutospacing="1" w:after="100" w:afterAutospacing="1" w:line="240" w:lineRule="auto"/>
        <w:jc w:val="both"/>
        <w:rPr>
          <w:rFonts w:asciiTheme="majorHAnsi" w:hAnsiTheme="majorHAnsi" w:cstheme="majorHAnsi"/>
        </w:rPr>
      </w:pPr>
      <w:r w:rsidRPr="00F43C0A">
        <w:rPr>
          <w:rStyle w:val="Strong"/>
          <w:rFonts w:asciiTheme="majorHAnsi" w:hAnsiTheme="majorHAnsi" w:cstheme="majorHAnsi"/>
        </w:rPr>
        <w:t>Ethical Impact Evaluation</w:t>
      </w:r>
      <w:r w:rsidR="00F43C0A" w:rsidRPr="00F43C0A">
        <w:rPr>
          <w:rStyle w:val="Strong"/>
          <w:rFonts w:asciiTheme="majorHAnsi" w:hAnsiTheme="majorHAnsi" w:cstheme="majorHAnsi"/>
        </w:rPr>
        <w:t xml:space="preserve">: </w:t>
      </w:r>
      <w:r w:rsidRPr="00F43C0A">
        <w:rPr>
          <w:rFonts w:asciiTheme="majorHAnsi" w:hAnsiTheme="majorHAnsi" w:cstheme="majorHAnsi"/>
        </w:rPr>
        <w:t xml:space="preserve">The impacts of the system were evaluated using multiple ethical frameworks: </w:t>
      </w:r>
    </w:p>
    <w:p w:rsidR="00F3697A" w:rsidRPr="00F43C0A" w:rsidRDefault="00F3697A" w:rsidP="00F43C0A">
      <w:pPr>
        <w:numPr>
          <w:ilvl w:val="1"/>
          <w:numId w:val="12"/>
        </w:numPr>
        <w:spacing w:before="100" w:beforeAutospacing="1" w:after="100" w:afterAutospacing="1" w:line="240" w:lineRule="auto"/>
        <w:jc w:val="both"/>
        <w:rPr>
          <w:rFonts w:asciiTheme="majorHAnsi" w:hAnsiTheme="majorHAnsi" w:cstheme="majorHAnsi"/>
        </w:rPr>
      </w:pPr>
      <w:r w:rsidRPr="00F43C0A">
        <w:rPr>
          <w:rStyle w:val="Strong"/>
          <w:rFonts w:asciiTheme="majorHAnsi" w:hAnsiTheme="majorHAnsi" w:cstheme="majorHAnsi"/>
        </w:rPr>
        <w:t>Utilitarianism</w:t>
      </w:r>
      <w:r w:rsidRPr="00F43C0A">
        <w:rPr>
          <w:rFonts w:asciiTheme="majorHAnsi" w:hAnsiTheme="majorHAnsi" w:cstheme="majorHAnsi"/>
        </w:rPr>
        <w:t xml:space="preserve"> (overall efficiency and societal benefit) </w:t>
      </w:r>
    </w:p>
    <w:p w:rsidR="00F3697A" w:rsidRPr="00F43C0A" w:rsidRDefault="00F3697A" w:rsidP="00F43C0A">
      <w:pPr>
        <w:numPr>
          <w:ilvl w:val="1"/>
          <w:numId w:val="12"/>
        </w:numPr>
        <w:spacing w:before="100" w:beforeAutospacing="1" w:after="100" w:afterAutospacing="1" w:line="240" w:lineRule="auto"/>
        <w:jc w:val="both"/>
        <w:rPr>
          <w:rFonts w:asciiTheme="majorHAnsi" w:hAnsiTheme="majorHAnsi" w:cstheme="majorHAnsi"/>
        </w:rPr>
      </w:pPr>
      <w:r w:rsidRPr="00F43C0A">
        <w:rPr>
          <w:rStyle w:val="Strong"/>
          <w:rFonts w:asciiTheme="majorHAnsi" w:hAnsiTheme="majorHAnsi" w:cstheme="majorHAnsi"/>
        </w:rPr>
        <w:t>Deontology</w:t>
      </w:r>
      <w:r w:rsidRPr="00F43C0A">
        <w:rPr>
          <w:rFonts w:asciiTheme="majorHAnsi" w:hAnsiTheme="majorHAnsi" w:cstheme="majorHAnsi"/>
        </w:rPr>
        <w:t xml:space="preserve"> (rights, fairness, and duties) </w:t>
      </w:r>
    </w:p>
    <w:p w:rsidR="00F3697A" w:rsidRPr="00F43C0A" w:rsidRDefault="00F3697A" w:rsidP="00807CFA">
      <w:pPr>
        <w:numPr>
          <w:ilvl w:val="1"/>
          <w:numId w:val="12"/>
        </w:numPr>
        <w:spacing w:before="100" w:beforeAutospacing="1" w:after="100" w:afterAutospacing="1" w:line="240" w:lineRule="auto"/>
        <w:jc w:val="both"/>
        <w:rPr>
          <w:rFonts w:asciiTheme="majorHAnsi" w:hAnsiTheme="majorHAnsi" w:cstheme="majorHAnsi"/>
        </w:rPr>
      </w:pPr>
      <w:r w:rsidRPr="00F43C0A">
        <w:rPr>
          <w:rStyle w:val="Strong"/>
          <w:rFonts w:asciiTheme="majorHAnsi" w:hAnsiTheme="majorHAnsi" w:cstheme="majorHAnsi"/>
        </w:rPr>
        <w:t>Justice frameworks</w:t>
      </w:r>
      <w:r w:rsidRPr="00F43C0A">
        <w:rPr>
          <w:rFonts w:asciiTheme="majorHAnsi" w:hAnsiTheme="majorHAnsi" w:cstheme="majorHAnsi"/>
        </w:rPr>
        <w:t xml:space="preserve"> (Rawls’ veil of ignorance and Sen’s capability approach)</w:t>
      </w:r>
      <w:r w:rsidR="00085B09">
        <w:t>. T</w:t>
      </w:r>
      <w:r w:rsidR="00807CFA" w:rsidRPr="00F43C0A">
        <w:rPr>
          <w:rFonts w:asciiTheme="majorHAnsi" w:hAnsiTheme="majorHAnsi" w:cstheme="majorHAnsi"/>
        </w:rPr>
        <w:t>his</w:t>
      </w:r>
      <w:r w:rsidRPr="00F43C0A">
        <w:rPr>
          <w:rFonts w:asciiTheme="majorHAnsi" w:hAnsiTheme="majorHAnsi" w:cstheme="majorHAnsi"/>
        </w:rPr>
        <w:t xml:space="preserve"> multi-framework approach enabled a more comprehensive and balanced evaluation of both intend</w:t>
      </w:r>
      <w:r w:rsidR="00085B09">
        <w:rPr>
          <w:rFonts w:asciiTheme="majorHAnsi" w:hAnsiTheme="majorHAnsi" w:cstheme="majorHAnsi"/>
        </w:rPr>
        <w:t>ed and unintended consequences.</w:t>
      </w:r>
    </w:p>
    <w:p w:rsidR="00B52EB1" w:rsidRDefault="00F3697A" w:rsidP="00481483">
      <w:pPr>
        <w:pStyle w:val="NormalWeb"/>
        <w:jc w:val="both"/>
        <w:rPr>
          <w:rFonts w:asciiTheme="majorHAnsi" w:hAnsiTheme="majorHAnsi" w:cstheme="majorHAnsi"/>
          <w:b/>
          <w:bCs/>
          <w:szCs w:val="27"/>
        </w:rPr>
      </w:pPr>
      <w:r w:rsidRPr="00F43C0A">
        <w:rPr>
          <w:rFonts w:asciiTheme="majorHAnsi" w:hAnsiTheme="majorHAnsi" w:cstheme="majorHAnsi"/>
          <w:sz w:val="22"/>
          <w:szCs w:val="22"/>
        </w:rPr>
        <w:t xml:space="preserve">This methodology was chosen because it integrates </w:t>
      </w:r>
      <w:r w:rsidRPr="00F43C0A">
        <w:rPr>
          <w:rStyle w:val="Strong"/>
          <w:rFonts w:asciiTheme="majorHAnsi" w:hAnsiTheme="majorHAnsi" w:cstheme="majorHAnsi"/>
          <w:sz w:val="22"/>
          <w:szCs w:val="22"/>
        </w:rPr>
        <w:t>technical understanding with ethical reasoning</w:t>
      </w:r>
      <w:r w:rsidRPr="00F43C0A">
        <w:rPr>
          <w:rFonts w:asciiTheme="majorHAnsi" w:hAnsiTheme="majorHAnsi" w:cstheme="majorHAnsi"/>
          <w:sz w:val="22"/>
          <w:szCs w:val="22"/>
        </w:rPr>
        <w:t xml:space="preserve">, allowing for a holistic evaluation of the data system. However, it is limited by the absence of direct stakeholder interviews or organisational data, meaning that some insights are based on </w:t>
      </w:r>
      <w:r w:rsidRPr="00F43C0A">
        <w:rPr>
          <w:rStyle w:val="Strong"/>
          <w:rFonts w:asciiTheme="majorHAnsi" w:hAnsiTheme="majorHAnsi" w:cstheme="majorHAnsi"/>
          <w:sz w:val="22"/>
          <w:szCs w:val="22"/>
        </w:rPr>
        <w:t>inference rather than empirical validation</w:t>
      </w:r>
      <w:r w:rsidRPr="00F43C0A">
        <w:rPr>
          <w:rFonts w:asciiTheme="majorHAnsi" w:hAnsiTheme="majorHAnsi" w:cstheme="majorHAnsi"/>
          <w:sz w:val="22"/>
          <w:szCs w:val="22"/>
        </w:rPr>
        <w:t>.</w:t>
      </w:r>
    </w:p>
    <w:p w:rsidR="00D4413C" w:rsidRPr="00F43C0A" w:rsidRDefault="00D4413C" w:rsidP="00F43C0A">
      <w:pPr>
        <w:spacing w:before="100" w:beforeAutospacing="1" w:after="100" w:afterAutospacing="1" w:line="240" w:lineRule="auto"/>
        <w:outlineLvl w:val="2"/>
        <w:rPr>
          <w:rFonts w:asciiTheme="majorHAnsi" w:eastAsia="Times New Roman" w:hAnsiTheme="majorHAnsi" w:cstheme="majorHAnsi"/>
          <w:b/>
          <w:bCs/>
          <w:sz w:val="24"/>
          <w:szCs w:val="27"/>
          <w:lang w:eastAsia="en-AU"/>
        </w:rPr>
      </w:pPr>
      <w:bookmarkStart w:id="11" w:name="_Toc226463279"/>
      <w:r w:rsidRPr="00F43C0A">
        <w:rPr>
          <w:rFonts w:asciiTheme="majorHAnsi" w:eastAsia="Times New Roman" w:hAnsiTheme="majorHAnsi" w:cstheme="majorHAnsi"/>
          <w:b/>
          <w:bCs/>
          <w:sz w:val="24"/>
          <w:szCs w:val="27"/>
          <w:lang w:eastAsia="en-AU"/>
        </w:rPr>
        <w:t>A2</w:t>
      </w:r>
      <w:r w:rsidR="00F3697A" w:rsidRPr="00F43C0A">
        <w:rPr>
          <w:rFonts w:asciiTheme="majorHAnsi" w:eastAsia="Times New Roman" w:hAnsiTheme="majorHAnsi" w:cstheme="majorHAnsi"/>
          <w:b/>
          <w:bCs/>
          <w:sz w:val="24"/>
          <w:szCs w:val="27"/>
          <w:lang w:eastAsia="en-AU"/>
        </w:rPr>
        <w:t xml:space="preserve">. </w:t>
      </w:r>
      <w:r w:rsidRPr="00F43C0A">
        <w:rPr>
          <w:rFonts w:asciiTheme="majorHAnsi" w:eastAsia="Times New Roman" w:hAnsiTheme="majorHAnsi" w:cstheme="majorHAnsi"/>
          <w:b/>
          <w:sz w:val="24"/>
          <w:szCs w:val="27"/>
          <w:lang w:eastAsia="en-AU"/>
        </w:rPr>
        <w:t>Use of Artificial Intelligence (AI) and Its Limitations</w:t>
      </w:r>
      <w:bookmarkEnd w:id="11"/>
    </w:p>
    <w:p w:rsidR="00085B09" w:rsidRPr="00085B09" w:rsidRDefault="00085B09" w:rsidP="00085B09">
      <w:pPr>
        <w:spacing w:before="100" w:beforeAutospacing="1" w:after="100" w:afterAutospacing="1" w:line="240" w:lineRule="auto"/>
        <w:jc w:val="both"/>
        <w:rPr>
          <w:rFonts w:asciiTheme="majorHAnsi" w:eastAsia="Times New Roman" w:hAnsiTheme="majorHAnsi" w:cstheme="majorHAnsi"/>
          <w:szCs w:val="24"/>
          <w:lang w:eastAsia="en-AU"/>
        </w:rPr>
      </w:pPr>
      <w:r w:rsidRPr="00085B09">
        <w:rPr>
          <w:rFonts w:asciiTheme="majorHAnsi" w:eastAsia="Times New Roman" w:hAnsiTheme="majorHAnsi" w:cstheme="majorHAnsi"/>
          <w:szCs w:val="24"/>
          <w:lang w:eastAsia="en-AU"/>
        </w:rPr>
        <w:t xml:space="preserve">Limited use of generative AI (ChatGPT) was made during the preparation of this report, primarily for </w:t>
      </w:r>
      <w:r w:rsidRPr="00085B09">
        <w:rPr>
          <w:rFonts w:asciiTheme="majorHAnsi" w:eastAsia="Times New Roman" w:hAnsiTheme="majorHAnsi" w:cstheme="majorHAnsi"/>
          <w:b/>
          <w:bCs/>
          <w:szCs w:val="24"/>
          <w:lang w:eastAsia="en-AU"/>
        </w:rPr>
        <w:t>language refinement and structural clarity</w:t>
      </w:r>
      <w:r w:rsidRPr="00085B09">
        <w:rPr>
          <w:rFonts w:asciiTheme="majorHAnsi" w:eastAsia="Times New Roman" w:hAnsiTheme="majorHAnsi" w:cstheme="majorHAnsi"/>
          <w:szCs w:val="24"/>
          <w:lang w:eastAsia="en-AU"/>
        </w:rPr>
        <w:t>. Specifically, AI was used to assist in improving sentence flow, enhancing academic tone, and organising content in line with the assessment requirements.</w:t>
      </w:r>
    </w:p>
    <w:p w:rsidR="00085B09" w:rsidRPr="00085B09" w:rsidRDefault="00085B09" w:rsidP="00085B09">
      <w:pPr>
        <w:spacing w:before="100" w:beforeAutospacing="1" w:after="100" w:afterAutospacing="1" w:line="240" w:lineRule="auto"/>
        <w:jc w:val="both"/>
        <w:rPr>
          <w:rFonts w:asciiTheme="majorHAnsi" w:eastAsia="Times New Roman" w:hAnsiTheme="majorHAnsi" w:cstheme="majorHAnsi"/>
          <w:szCs w:val="24"/>
          <w:lang w:eastAsia="en-AU"/>
        </w:rPr>
      </w:pPr>
      <w:r w:rsidRPr="00085B09">
        <w:rPr>
          <w:rFonts w:asciiTheme="majorHAnsi" w:eastAsia="Times New Roman" w:hAnsiTheme="majorHAnsi" w:cstheme="majorHAnsi"/>
          <w:szCs w:val="24"/>
          <w:lang w:eastAsia="en-AU"/>
        </w:rPr>
        <w:t>Example prompts included:</w:t>
      </w:r>
    </w:p>
    <w:p w:rsidR="00085B09" w:rsidRPr="00085B09" w:rsidRDefault="00085B09" w:rsidP="00085B09">
      <w:pPr>
        <w:numPr>
          <w:ilvl w:val="0"/>
          <w:numId w:val="14"/>
        </w:numPr>
        <w:spacing w:before="100" w:beforeAutospacing="1" w:after="100" w:afterAutospacing="1" w:line="240" w:lineRule="auto"/>
        <w:jc w:val="both"/>
        <w:rPr>
          <w:rFonts w:asciiTheme="majorHAnsi" w:eastAsia="Times New Roman" w:hAnsiTheme="majorHAnsi" w:cstheme="majorHAnsi"/>
          <w:szCs w:val="24"/>
          <w:lang w:eastAsia="en-AU"/>
        </w:rPr>
      </w:pPr>
      <w:r w:rsidRPr="00085B09">
        <w:rPr>
          <w:rFonts w:asciiTheme="majorHAnsi" w:eastAsia="Times New Roman" w:hAnsiTheme="majorHAnsi" w:cstheme="majorHAnsi"/>
          <w:i/>
          <w:iCs/>
          <w:szCs w:val="24"/>
          <w:lang w:eastAsia="en-AU"/>
        </w:rPr>
        <w:t>“Refine this paragraph for clarity and academic tone.”</w:t>
      </w:r>
      <w:r w:rsidRPr="00085B09">
        <w:rPr>
          <w:rFonts w:asciiTheme="majorHAnsi" w:eastAsia="Times New Roman" w:hAnsiTheme="majorHAnsi" w:cstheme="majorHAnsi"/>
          <w:szCs w:val="24"/>
          <w:lang w:eastAsia="en-AU"/>
        </w:rPr>
        <w:t xml:space="preserve"> </w:t>
      </w:r>
    </w:p>
    <w:p w:rsidR="00085B09" w:rsidRPr="00085B09" w:rsidRDefault="00085B09" w:rsidP="00085B09">
      <w:pPr>
        <w:numPr>
          <w:ilvl w:val="0"/>
          <w:numId w:val="14"/>
        </w:numPr>
        <w:spacing w:before="100" w:beforeAutospacing="1" w:after="100" w:afterAutospacing="1" w:line="240" w:lineRule="auto"/>
        <w:jc w:val="both"/>
        <w:rPr>
          <w:rFonts w:asciiTheme="majorHAnsi" w:eastAsia="Times New Roman" w:hAnsiTheme="majorHAnsi" w:cstheme="majorHAnsi"/>
          <w:szCs w:val="24"/>
          <w:lang w:eastAsia="en-AU"/>
        </w:rPr>
      </w:pPr>
      <w:r w:rsidRPr="00085B09">
        <w:rPr>
          <w:rFonts w:asciiTheme="majorHAnsi" w:eastAsia="Times New Roman" w:hAnsiTheme="majorHAnsi" w:cstheme="majorHAnsi"/>
          <w:i/>
          <w:iCs/>
          <w:szCs w:val="24"/>
          <w:lang w:eastAsia="en-AU"/>
        </w:rPr>
        <w:t>“Improve the structure of this section while maintaining original meaning.”</w:t>
      </w:r>
      <w:r w:rsidRPr="00085B09">
        <w:rPr>
          <w:rFonts w:asciiTheme="majorHAnsi" w:eastAsia="Times New Roman" w:hAnsiTheme="majorHAnsi" w:cstheme="majorHAnsi"/>
          <w:szCs w:val="24"/>
          <w:lang w:eastAsia="en-AU"/>
        </w:rPr>
        <w:t xml:space="preserve"> </w:t>
      </w:r>
    </w:p>
    <w:p w:rsidR="00085B09" w:rsidRPr="00085B09" w:rsidRDefault="00085B09" w:rsidP="00085B09">
      <w:pPr>
        <w:spacing w:before="100" w:beforeAutospacing="1" w:after="100" w:afterAutospacing="1" w:line="240" w:lineRule="auto"/>
        <w:jc w:val="both"/>
        <w:rPr>
          <w:rFonts w:asciiTheme="majorHAnsi" w:eastAsia="Times New Roman" w:hAnsiTheme="majorHAnsi" w:cstheme="majorHAnsi"/>
          <w:szCs w:val="24"/>
          <w:lang w:eastAsia="en-AU"/>
        </w:rPr>
      </w:pPr>
      <w:r w:rsidRPr="00085B09">
        <w:rPr>
          <w:rFonts w:asciiTheme="majorHAnsi" w:eastAsia="Times New Roman" w:hAnsiTheme="majorHAnsi" w:cstheme="majorHAnsi"/>
          <w:szCs w:val="24"/>
          <w:lang w:eastAsia="en-AU"/>
        </w:rPr>
        <w:lastRenderedPageBreak/>
        <w:t xml:space="preserve">The </w:t>
      </w:r>
      <w:r w:rsidRPr="00085B09">
        <w:rPr>
          <w:rFonts w:asciiTheme="majorHAnsi" w:eastAsia="Times New Roman" w:hAnsiTheme="majorHAnsi" w:cstheme="majorHAnsi"/>
          <w:b/>
          <w:bCs/>
          <w:szCs w:val="24"/>
          <w:lang w:eastAsia="en-AU"/>
        </w:rPr>
        <w:t>substantive content, analysis, and interpretation</w:t>
      </w:r>
      <w:r w:rsidRPr="00085B09">
        <w:rPr>
          <w:rFonts w:asciiTheme="majorHAnsi" w:eastAsia="Times New Roman" w:hAnsiTheme="majorHAnsi" w:cstheme="majorHAnsi"/>
          <w:szCs w:val="24"/>
          <w:lang w:eastAsia="en-AU"/>
        </w:rPr>
        <w:t xml:space="preserve"> were developed independently by the author, based on course materials and project work. All AI-assisted outputs were carefully reviewed, edited, and verified to ensure accuracy, relevance, and alignment with the electricity demand forecasting context.</w:t>
      </w:r>
    </w:p>
    <w:p w:rsidR="00085B09" w:rsidRPr="00085B09" w:rsidRDefault="00085B09" w:rsidP="00085B09">
      <w:pPr>
        <w:spacing w:before="100" w:beforeAutospacing="1" w:after="100" w:afterAutospacing="1" w:line="240" w:lineRule="auto"/>
        <w:jc w:val="both"/>
        <w:rPr>
          <w:rFonts w:asciiTheme="majorHAnsi" w:eastAsia="Times New Roman" w:hAnsiTheme="majorHAnsi" w:cstheme="majorHAnsi"/>
          <w:szCs w:val="24"/>
          <w:lang w:eastAsia="en-AU"/>
        </w:rPr>
      </w:pPr>
      <w:r w:rsidRPr="00085B09">
        <w:rPr>
          <w:rFonts w:asciiTheme="majorHAnsi" w:eastAsia="Times New Roman" w:hAnsiTheme="majorHAnsi" w:cstheme="majorHAnsi"/>
          <w:szCs w:val="24"/>
          <w:lang w:eastAsia="en-AU"/>
        </w:rPr>
        <w:t xml:space="preserve">AI use in this report has several limitations. First, AI does not have access to the full project context or underlying dataset and may generate </w:t>
      </w:r>
      <w:r w:rsidRPr="00085B09">
        <w:rPr>
          <w:rFonts w:asciiTheme="majorHAnsi" w:eastAsia="Times New Roman" w:hAnsiTheme="majorHAnsi" w:cstheme="majorHAnsi"/>
          <w:b/>
          <w:bCs/>
          <w:szCs w:val="24"/>
          <w:lang w:eastAsia="en-AU"/>
        </w:rPr>
        <w:t>generic or imprecise suggestions</w:t>
      </w:r>
      <w:r w:rsidRPr="00085B09">
        <w:rPr>
          <w:rFonts w:asciiTheme="majorHAnsi" w:eastAsia="Times New Roman" w:hAnsiTheme="majorHAnsi" w:cstheme="majorHAnsi"/>
          <w:szCs w:val="24"/>
          <w:lang w:eastAsia="en-AU"/>
        </w:rPr>
        <w:t>, requiring manual correction. Second, AI can sometimes oversimplify complex ethical concepts, necessitating further refinement to ensure appropriate depth and rigor.</w:t>
      </w:r>
      <w:r w:rsidR="004337A2">
        <w:rPr>
          <w:rFonts w:asciiTheme="majorHAnsi" w:eastAsia="Times New Roman" w:hAnsiTheme="majorHAnsi" w:cstheme="majorHAnsi"/>
          <w:szCs w:val="24"/>
          <w:lang w:eastAsia="en-AU"/>
        </w:rPr>
        <w:t xml:space="preserve"> Third, there is a risk of</w:t>
      </w:r>
      <w:r w:rsidRPr="00085B09">
        <w:rPr>
          <w:rFonts w:asciiTheme="majorHAnsi" w:eastAsia="Times New Roman" w:hAnsiTheme="majorHAnsi" w:cstheme="majorHAnsi"/>
          <w:szCs w:val="24"/>
          <w:lang w:eastAsia="en-AU"/>
        </w:rPr>
        <w:t xml:space="preserve"> inaccuracies, and therefore all content was cross-checked against course materials.</w:t>
      </w:r>
    </w:p>
    <w:p w:rsidR="00085B09" w:rsidRPr="00085B09" w:rsidRDefault="00085B09" w:rsidP="00085B09">
      <w:pPr>
        <w:spacing w:before="100" w:beforeAutospacing="1" w:after="100" w:afterAutospacing="1" w:line="240" w:lineRule="auto"/>
        <w:jc w:val="both"/>
        <w:rPr>
          <w:rFonts w:asciiTheme="majorHAnsi" w:eastAsia="Times New Roman" w:hAnsiTheme="majorHAnsi" w:cstheme="majorHAnsi"/>
          <w:szCs w:val="24"/>
          <w:lang w:eastAsia="en-AU"/>
        </w:rPr>
      </w:pPr>
      <w:r w:rsidRPr="00085B09">
        <w:rPr>
          <w:rFonts w:asciiTheme="majorHAnsi" w:eastAsia="Times New Roman" w:hAnsiTheme="majorHAnsi" w:cstheme="majorHAnsi"/>
          <w:szCs w:val="24"/>
          <w:lang w:eastAsia="en-AU"/>
        </w:rPr>
        <w:t xml:space="preserve">Overall, AI was used </w:t>
      </w:r>
      <w:r w:rsidRPr="00085B09">
        <w:rPr>
          <w:rFonts w:asciiTheme="majorHAnsi" w:eastAsia="Times New Roman" w:hAnsiTheme="majorHAnsi" w:cstheme="majorHAnsi"/>
          <w:b/>
          <w:bCs/>
          <w:szCs w:val="24"/>
          <w:lang w:eastAsia="en-AU"/>
        </w:rPr>
        <w:t>sparingly as an editing aid</w:t>
      </w:r>
      <w:r w:rsidRPr="00085B09">
        <w:rPr>
          <w:rFonts w:asciiTheme="majorHAnsi" w:eastAsia="Times New Roman" w:hAnsiTheme="majorHAnsi" w:cstheme="majorHAnsi"/>
          <w:szCs w:val="24"/>
          <w:lang w:eastAsia="en-AU"/>
        </w:rPr>
        <w:t>, and all final judgments, analysis, and conclusions remain the sole responsibility of the author.</w:t>
      </w:r>
    </w:p>
    <w:p w:rsidR="004A4F4C" w:rsidRPr="00F43C0A" w:rsidRDefault="00085B09" w:rsidP="00F43C0A">
      <w:pPr>
        <w:spacing w:before="100" w:beforeAutospacing="1" w:after="100" w:afterAutospacing="1" w:line="240" w:lineRule="auto"/>
        <w:outlineLvl w:val="2"/>
        <w:rPr>
          <w:rFonts w:asciiTheme="majorHAnsi" w:eastAsia="Times New Roman" w:hAnsiTheme="majorHAnsi" w:cstheme="majorHAnsi"/>
          <w:b/>
          <w:sz w:val="24"/>
          <w:szCs w:val="27"/>
          <w:lang w:eastAsia="en-AU"/>
        </w:rPr>
      </w:pPr>
      <w:bookmarkStart w:id="12" w:name="_Toc226463280"/>
      <w:r>
        <w:rPr>
          <w:rFonts w:asciiTheme="majorHAnsi" w:eastAsia="Times New Roman" w:hAnsiTheme="majorHAnsi" w:cstheme="majorHAnsi"/>
          <w:b/>
          <w:sz w:val="24"/>
          <w:szCs w:val="27"/>
          <w:lang w:eastAsia="en-AU"/>
        </w:rPr>
        <w:t>A3</w:t>
      </w:r>
      <w:r w:rsidR="004A4F4C" w:rsidRPr="00F43C0A">
        <w:rPr>
          <w:rFonts w:asciiTheme="majorHAnsi" w:eastAsia="Times New Roman" w:hAnsiTheme="majorHAnsi" w:cstheme="majorHAnsi"/>
          <w:b/>
          <w:sz w:val="24"/>
          <w:szCs w:val="27"/>
          <w:lang w:eastAsia="en-AU"/>
        </w:rPr>
        <w:t>. References</w:t>
      </w:r>
      <w:bookmarkEnd w:id="12"/>
    </w:p>
    <w:p w:rsidR="00C33B4C" w:rsidRDefault="00C33B4C" w:rsidP="005772D0">
      <w:pPr>
        <w:pStyle w:val="Bibliography"/>
        <w:numPr>
          <w:ilvl w:val="0"/>
          <w:numId w:val="13"/>
        </w:numPr>
        <w:spacing w:before="240" w:after="0"/>
        <w:jc w:val="both"/>
        <w:rPr>
          <w:noProof/>
          <w:sz w:val="24"/>
          <w:szCs w:val="24"/>
          <w:lang w:val="en-US"/>
        </w:rPr>
      </w:pPr>
      <w:r>
        <w:rPr>
          <w:rFonts w:asciiTheme="majorHAnsi" w:hAnsiTheme="majorHAnsi" w:cstheme="majorHAnsi"/>
        </w:rPr>
        <w:fldChar w:fldCharType="begin"/>
      </w:r>
      <w:r>
        <w:rPr>
          <w:rFonts w:asciiTheme="majorHAnsi" w:hAnsiTheme="majorHAnsi" w:cstheme="majorHAnsi"/>
          <w:lang w:val="en-US"/>
        </w:rPr>
        <w:instrText xml:space="preserve"> BIBLIOGRAPHY  \l 1033 </w:instrText>
      </w:r>
      <w:r>
        <w:rPr>
          <w:rFonts w:asciiTheme="majorHAnsi" w:hAnsiTheme="majorHAnsi" w:cstheme="majorHAnsi"/>
        </w:rPr>
        <w:fldChar w:fldCharType="separate"/>
      </w:r>
      <w:r>
        <w:rPr>
          <w:noProof/>
          <w:lang w:val="en-US"/>
        </w:rPr>
        <w:t xml:space="preserve">AEMO. (2023). </w:t>
      </w:r>
      <w:r>
        <w:rPr>
          <w:i/>
          <w:iCs/>
          <w:noProof/>
          <w:lang w:val="en-US"/>
        </w:rPr>
        <w:t>Electricity demand and forecasting in the National Electricity Market</w:t>
      </w:r>
      <w:r>
        <w:rPr>
          <w:noProof/>
          <w:lang w:val="en-US"/>
        </w:rPr>
        <w:t xml:space="preserve">. Retrieved from Australian Energy Market Operator: </w:t>
      </w:r>
      <w:r w:rsidRPr="00C33B4C">
        <w:rPr>
          <w:noProof/>
          <w:color w:val="0070C0"/>
          <w:u w:val="single"/>
          <w:lang w:val="en-US"/>
        </w:rPr>
        <w:t>https://www.aemo.com.au</w:t>
      </w:r>
    </w:p>
    <w:p w:rsidR="00C33B4C" w:rsidRDefault="00C33B4C" w:rsidP="005772D0">
      <w:pPr>
        <w:pStyle w:val="Bibliography"/>
        <w:numPr>
          <w:ilvl w:val="0"/>
          <w:numId w:val="13"/>
        </w:numPr>
        <w:spacing w:before="240" w:after="0"/>
        <w:jc w:val="both"/>
        <w:rPr>
          <w:noProof/>
          <w:lang w:val="en-US"/>
        </w:rPr>
      </w:pPr>
      <w:r>
        <w:rPr>
          <w:noProof/>
          <w:lang w:val="en-US"/>
        </w:rPr>
        <w:t xml:space="preserve">Doshi-Velez, F., &amp; Kim, B. (2017). Towards a rigorous science of interpretable machine learning. </w:t>
      </w:r>
      <w:r>
        <w:rPr>
          <w:i/>
          <w:iCs/>
          <w:noProof/>
          <w:lang w:val="en-US"/>
        </w:rPr>
        <w:t>arXiv preprint</w:t>
      </w:r>
      <w:r>
        <w:rPr>
          <w:noProof/>
          <w:lang w:val="en-US"/>
        </w:rPr>
        <w:t>, 1702.08608.</w:t>
      </w:r>
    </w:p>
    <w:p w:rsidR="00C33B4C" w:rsidRDefault="00C33B4C" w:rsidP="005772D0">
      <w:pPr>
        <w:pStyle w:val="Bibliography"/>
        <w:numPr>
          <w:ilvl w:val="0"/>
          <w:numId w:val="13"/>
        </w:numPr>
        <w:spacing w:before="240" w:after="0"/>
        <w:jc w:val="both"/>
        <w:rPr>
          <w:noProof/>
          <w:lang w:val="en-US"/>
        </w:rPr>
      </w:pPr>
      <w:r>
        <w:rPr>
          <w:noProof/>
          <w:lang w:val="en-US"/>
        </w:rPr>
        <w:t xml:space="preserve">Hochreiter, S., &amp; Schmidhuber, J. (1997). Long short-term memory. </w:t>
      </w:r>
      <w:r>
        <w:rPr>
          <w:i/>
          <w:iCs/>
          <w:noProof/>
          <w:lang w:val="en-US"/>
        </w:rPr>
        <w:t>Neural Computation</w:t>
      </w:r>
      <w:r>
        <w:rPr>
          <w:noProof/>
          <w:lang w:val="en-US"/>
        </w:rPr>
        <w:t>, 1735–1780.</w:t>
      </w:r>
    </w:p>
    <w:p w:rsidR="00C558EB" w:rsidRDefault="00C558EB" w:rsidP="00C558EB">
      <w:pPr>
        <w:pStyle w:val="Bibliography"/>
        <w:numPr>
          <w:ilvl w:val="0"/>
          <w:numId w:val="13"/>
        </w:numPr>
        <w:spacing w:before="240"/>
        <w:rPr>
          <w:noProof/>
          <w:lang w:val="en-US"/>
        </w:rPr>
      </w:pPr>
      <w:r>
        <w:rPr>
          <w:i/>
          <w:iCs/>
          <w:noProof/>
          <w:lang w:val="en-US"/>
        </w:rPr>
        <w:t>Climate data online</w:t>
      </w:r>
      <w:r>
        <w:rPr>
          <w:noProof/>
          <w:lang w:val="en-US"/>
        </w:rPr>
        <w:t xml:space="preserve">. (2021). Retrieved from Australian Bureau of Meteorology: </w:t>
      </w:r>
      <w:r w:rsidRPr="00C558EB">
        <w:rPr>
          <w:noProof/>
          <w:color w:val="0070C0"/>
          <w:u w:val="single"/>
          <w:lang w:val="en-US"/>
        </w:rPr>
        <w:t>http://www.bom.gov.au</w:t>
      </w:r>
    </w:p>
    <w:p w:rsidR="00C33B4C" w:rsidRDefault="00C33B4C" w:rsidP="005772D0">
      <w:pPr>
        <w:pStyle w:val="Bibliography"/>
        <w:numPr>
          <w:ilvl w:val="0"/>
          <w:numId w:val="13"/>
        </w:numPr>
        <w:spacing w:before="240" w:after="0"/>
        <w:jc w:val="both"/>
        <w:rPr>
          <w:noProof/>
          <w:lang w:val="en-US"/>
        </w:rPr>
      </w:pPr>
      <w:r>
        <w:rPr>
          <w:noProof/>
          <w:lang w:val="en-US"/>
        </w:rPr>
        <w:t xml:space="preserve">IEA. (2022). </w:t>
      </w:r>
      <w:r>
        <w:rPr>
          <w:i/>
          <w:iCs/>
          <w:noProof/>
          <w:lang w:val="en-US"/>
        </w:rPr>
        <w:t>Electricity market report</w:t>
      </w:r>
      <w:r>
        <w:rPr>
          <w:noProof/>
          <w:lang w:val="en-US"/>
        </w:rPr>
        <w:t xml:space="preserve">. Retrieved from International Energy Agency: </w:t>
      </w:r>
      <w:r w:rsidRPr="005772D0">
        <w:rPr>
          <w:noProof/>
          <w:color w:val="0070C0"/>
          <w:u w:val="single"/>
          <w:lang w:val="en-US"/>
        </w:rPr>
        <w:t>https://www.iea.org</w:t>
      </w:r>
    </w:p>
    <w:p w:rsidR="00C558EB" w:rsidRDefault="00C558EB" w:rsidP="00C558EB">
      <w:pPr>
        <w:pStyle w:val="Bibliography"/>
        <w:numPr>
          <w:ilvl w:val="0"/>
          <w:numId w:val="13"/>
        </w:numPr>
        <w:spacing w:before="240"/>
        <w:rPr>
          <w:noProof/>
          <w:lang w:val="en-US"/>
        </w:rPr>
      </w:pPr>
      <w:r>
        <w:rPr>
          <w:noProof/>
          <w:lang w:val="en-US"/>
        </w:rPr>
        <w:t xml:space="preserve">Endgame Economics. (2021). </w:t>
      </w:r>
      <w:r>
        <w:rPr>
          <w:i/>
          <w:iCs/>
          <w:noProof/>
          <w:lang w:val="en-US"/>
        </w:rPr>
        <w:t>Electricity demand forecasting datasets and modelling approaches.</w:t>
      </w:r>
      <w:r>
        <w:rPr>
          <w:noProof/>
          <w:lang w:val="en-US"/>
        </w:rPr>
        <w:t xml:space="preserve"> </w:t>
      </w:r>
    </w:p>
    <w:p w:rsidR="00C33B4C" w:rsidRDefault="00C33B4C" w:rsidP="005772D0">
      <w:pPr>
        <w:pStyle w:val="Bibliography"/>
        <w:numPr>
          <w:ilvl w:val="0"/>
          <w:numId w:val="13"/>
        </w:numPr>
        <w:spacing w:before="240" w:after="0"/>
        <w:jc w:val="both"/>
        <w:rPr>
          <w:noProof/>
          <w:lang w:val="en-US"/>
        </w:rPr>
      </w:pPr>
      <w:r>
        <w:rPr>
          <w:noProof/>
          <w:lang w:val="en-US"/>
        </w:rPr>
        <w:t xml:space="preserve">Rawls, J. (1971). A theory of justice. </w:t>
      </w:r>
      <w:r>
        <w:rPr>
          <w:i/>
          <w:iCs/>
          <w:noProof/>
          <w:lang w:val="en-US"/>
        </w:rPr>
        <w:t>Harvard University Press</w:t>
      </w:r>
      <w:r>
        <w:rPr>
          <w:noProof/>
          <w:lang w:val="en-US"/>
        </w:rPr>
        <w:t>.</w:t>
      </w:r>
    </w:p>
    <w:p w:rsidR="00C33B4C" w:rsidRDefault="00C33B4C" w:rsidP="005772D0">
      <w:pPr>
        <w:pStyle w:val="Bibliography"/>
        <w:numPr>
          <w:ilvl w:val="0"/>
          <w:numId w:val="13"/>
        </w:numPr>
        <w:spacing w:before="240" w:after="0"/>
        <w:jc w:val="both"/>
        <w:rPr>
          <w:noProof/>
          <w:lang w:val="en-US"/>
        </w:rPr>
      </w:pPr>
      <w:r>
        <w:rPr>
          <w:noProof/>
          <w:lang w:val="en-US"/>
        </w:rPr>
        <w:t xml:space="preserve">Sen, A. (1999). Development as freedom. </w:t>
      </w:r>
      <w:r>
        <w:rPr>
          <w:i/>
          <w:iCs/>
          <w:noProof/>
          <w:lang w:val="en-US"/>
        </w:rPr>
        <w:t>Oxford University Press</w:t>
      </w:r>
      <w:r>
        <w:rPr>
          <w:noProof/>
          <w:lang w:val="en-US"/>
        </w:rPr>
        <w:t>.</w:t>
      </w:r>
    </w:p>
    <w:p w:rsidR="00C558EB" w:rsidRDefault="00C558EB" w:rsidP="00C558EB">
      <w:pPr>
        <w:pStyle w:val="Bibliography"/>
        <w:numPr>
          <w:ilvl w:val="0"/>
          <w:numId w:val="13"/>
        </w:numPr>
        <w:spacing w:before="240"/>
        <w:rPr>
          <w:noProof/>
          <w:lang w:val="en-US"/>
        </w:rPr>
      </w:pPr>
      <w:r>
        <w:rPr>
          <w:noProof/>
          <w:lang w:val="en-US"/>
        </w:rPr>
        <w:t>UNSW. (2026). ZZBU6505 Data and Ethics. Ethics course mate</w:t>
      </w:r>
      <w:r>
        <w:rPr>
          <w:noProof/>
          <w:lang w:val="en-US"/>
        </w:rPr>
        <w:t>rials.</w:t>
      </w:r>
    </w:p>
    <w:p w:rsidR="00C33B4C" w:rsidRDefault="00C33B4C" w:rsidP="005772D0">
      <w:pPr>
        <w:pStyle w:val="Bibliography"/>
        <w:numPr>
          <w:ilvl w:val="0"/>
          <w:numId w:val="13"/>
        </w:numPr>
        <w:spacing w:before="240" w:after="0"/>
        <w:jc w:val="both"/>
        <w:rPr>
          <w:noProof/>
          <w:lang w:val="en-US"/>
        </w:rPr>
      </w:pPr>
      <w:r>
        <w:rPr>
          <w:noProof/>
          <w:lang w:val="en-US"/>
        </w:rPr>
        <w:t xml:space="preserve">Zhang, G., Eddy Patuwo, B., &amp; Hu, M. (1998). Forecasting with artificial neural networks: The state of the art. </w:t>
      </w:r>
      <w:r>
        <w:rPr>
          <w:i/>
          <w:iCs/>
          <w:noProof/>
          <w:lang w:val="en-US"/>
        </w:rPr>
        <w:t>International Journal of Forecasting</w:t>
      </w:r>
      <w:r>
        <w:rPr>
          <w:noProof/>
          <w:lang w:val="en-US"/>
        </w:rPr>
        <w:t>, 14(1), 35–62.</w:t>
      </w:r>
    </w:p>
    <w:p w:rsidR="004A4F4C" w:rsidRDefault="00C33B4C" w:rsidP="005772D0">
      <w:pPr>
        <w:pStyle w:val="NormalWeb"/>
        <w:spacing w:before="240" w:beforeAutospacing="0" w:after="0" w:afterAutospacing="0"/>
        <w:jc w:val="both"/>
        <w:rPr>
          <w:rFonts w:asciiTheme="majorHAnsi" w:hAnsiTheme="majorHAnsi" w:cstheme="majorHAnsi"/>
          <w:sz w:val="22"/>
          <w:szCs w:val="22"/>
        </w:rPr>
      </w:pPr>
      <w:r>
        <w:rPr>
          <w:rFonts w:asciiTheme="majorHAnsi" w:hAnsiTheme="majorHAnsi" w:cstheme="majorHAnsi"/>
          <w:sz w:val="22"/>
          <w:szCs w:val="22"/>
        </w:rPr>
        <w:fldChar w:fldCharType="end"/>
      </w:r>
    </w:p>
    <w:sectPr w:rsidR="004A4F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381BEB"/>
    <w:multiLevelType w:val="multilevel"/>
    <w:tmpl w:val="7F14AC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8A6570"/>
    <w:multiLevelType w:val="multilevel"/>
    <w:tmpl w:val="9152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F1E7C"/>
    <w:multiLevelType w:val="multilevel"/>
    <w:tmpl w:val="34D07FF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2C193E"/>
    <w:multiLevelType w:val="multilevel"/>
    <w:tmpl w:val="4466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652B3"/>
    <w:multiLevelType w:val="multilevel"/>
    <w:tmpl w:val="BD8C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A628FC"/>
    <w:multiLevelType w:val="multilevel"/>
    <w:tmpl w:val="ED52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6653B"/>
    <w:multiLevelType w:val="hybridMultilevel"/>
    <w:tmpl w:val="C8ECA6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2893AD9"/>
    <w:multiLevelType w:val="hybridMultilevel"/>
    <w:tmpl w:val="72B4DC8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45807FB2"/>
    <w:multiLevelType w:val="hybridMultilevel"/>
    <w:tmpl w:val="6D8046A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FC61B7B"/>
    <w:multiLevelType w:val="multilevel"/>
    <w:tmpl w:val="CACA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8911FF"/>
    <w:multiLevelType w:val="multilevel"/>
    <w:tmpl w:val="10E0B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F42350"/>
    <w:multiLevelType w:val="multilevel"/>
    <w:tmpl w:val="D49E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733AF9"/>
    <w:multiLevelType w:val="multilevel"/>
    <w:tmpl w:val="632A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F51EA3"/>
    <w:multiLevelType w:val="multilevel"/>
    <w:tmpl w:val="09F2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7"/>
  </w:num>
  <w:num w:numId="4">
    <w:abstractNumId w:val="12"/>
  </w:num>
  <w:num w:numId="5">
    <w:abstractNumId w:val="10"/>
  </w:num>
  <w:num w:numId="6">
    <w:abstractNumId w:val="11"/>
  </w:num>
  <w:num w:numId="7">
    <w:abstractNumId w:val="13"/>
  </w:num>
  <w:num w:numId="8">
    <w:abstractNumId w:val="9"/>
  </w:num>
  <w:num w:numId="9">
    <w:abstractNumId w:val="4"/>
  </w:num>
  <w:num w:numId="10">
    <w:abstractNumId w:val="1"/>
  </w:num>
  <w:num w:numId="11">
    <w:abstractNumId w:val="6"/>
  </w:num>
  <w:num w:numId="12">
    <w:abstractNumId w:val="0"/>
  </w:num>
  <w:num w:numId="13">
    <w:abstractNumId w:val="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0E7"/>
    <w:rsid w:val="000736CC"/>
    <w:rsid w:val="00085B09"/>
    <w:rsid w:val="00091F63"/>
    <w:rsid w:val="000E7389"/>
    <w:rsid w:val="001778E2"/>
    <w:rsid w:val="00193EA2"/>
    <w:rsid w:val="001A6D22"/>
    <w:rsid w:val="001E092B"/>
    <w:rsid w:val="00284B3A"/>
    <w:rsid w:val="002C1A79"/>
    <w:rsid w:val="00330F0B"/>
    <w:rsid w:val="003374BC"/>
    <w:rsid w:val="00394551"/>
    <w:rsid w:val="003D2014"/>
    <w:rsid w:val="004337A2"/>
    <w:rsid w:val="004610DE"/>
    <w:rsid w:val="00481483"/>
    <w:rsid w:val="004A4F4C"/>
    <w:rsid w:val="00507AE2"/>
    <w:rsid w:val="005350CF"/>
    <w:rsid w:val="005532A5"/>
    <w:rsid w:val="005772D0"/>
    <w:rsid w:val="005D41A0"/>
    <w:rsid w:val="005F7B7B"/>
    <w:rsid w:val="00671220"/>
    <w:rsid w:val="006B776C"/>
    <w:rsid w:val="0071034D"/>
    <w:rsid w:val="007C00E7"/>
    <w:rsid w:val="007E0906"/>
    <w:rsid w:val="00807CFA"/>
    <w:rsid w:val="00903C54"/>
    <w:rsid w:val="009F31C4"/>
    <w:rsid w:val="00A27A5B"/>
    <w:rsid w:val="00A30FEF"/>
    <w:rsid w:val="00A944B6"/>
    <w:rsid w:val="00A964E5"/>
    <w:rsid w:val="00AA40A8"/>
    <w:rsid w:val="00AB33ED"/>
    <w:rsid w:val="00B053A2"/>
    <w:rsid w:val="00B204C9"/>
    <w:rsid w:val="00B35EB5"/>
    <w:rsid w:val="00B45FE9"/>
    <w:rsid w:val="00B52EB1"/>
    <w:rsid w:val="00B60613"/>
    <w:rsid w:val="00BC7ED6"/>
    <w:rsid w:val="00BE0631"/>
    <w:rsid w:val="00BE1C27"/>
    <w:rsid w:val="00C1460D"/>
    <w:rsid w:val="00C22C18"/>
    <w:rsid w:val="00C33B4C"/>
    <w:rsid w:val="00C558EB"/>
    <w:rsid w:val="00CD0D37"/>
    <w:rsid w:val="00D4413C"/>
    <w:rsid w:val="00D669A0"/>
    <w:rsid w:val="00D95F27"/>
    <w:rsid w:val="00DA7D3A"/>
    <w:rsid w:val="00DC75E4"/>
    <w:rsid w:val="00DD6FC8"/>
    <w:rsid w:val="00F26015"/>
    <w:rsid w:val="00F3697A"/>
    <w:rsid w:val="00F43C0A"/>
    <w:rsid w:val="00F45A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0553D4-EC7F-427C-83C8-CCD843DC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944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D41A0"/>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5D41A0"/>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41A0"/>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5D41A0"/>
    <w:rPr>
      <w:rFonts w:ascii="Times New Roman" w:eastAsia="Times New Roman" w:hAnsi="Times New Roman" w:cs="Times New Roman"/>
      <w:b/>
      <w:bCs/>
      <w:sz w:val="27"/>
      <w:szCs w:val="27"/>
      <w:lang w:eastAsia="en-AU"/>
    </w:rPr>
  </w:style>
  <w:style w:type="character" w:styleId="Strong">
    <w:name w:val="Strong"/>
    <w:basedOn w:val="DefaultParagraphFont"/>
    <w:uiPriority w:val="22"/>
    <w:qFormat/>
    <w:rsid w:val="005D41A0"/>
    <w:rPr>
      <w:b/>
      <w:bCs/>
    </w:rPr>
  </w:style>
  <w:style w:type="paragraph" w:styleId="NormalWeb">
    <w:name w:val="Normal (Web)"/>
    <w:basedOn w:val="Normal"/>
    <w:uiPriority w:val="99"/>
    <w:unhideWhenUsed/>
    <w:rsid w:val="005D41A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5D41A0"/>
    <w:rPr>
      <w:i/>
      <w:iCs/>
    </w:rPr>
  </w:style>
  <w:style w:type="character" w:customStyle="1" w:styleId="Heading1Char">
    <w:name w:val="Heading 1 Char"/>
    <w:basedOn w:val="DefaultParagraphFont"/>
    <w:link w:val="Heading1"/>
    <w:uiPriority w:val="9"/>
    <w:rsid w:val="00A944B6"/>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B204C9"/>
    <w:pPr>
      <w:ind w:left="720"/>
      <w:contextualSpacing/>
    </w:pPr>
  </w:style>
  <w:style w:type="paragraph" w:styleId="TOCHeading">
    <w:name w:val="TOC Heading"/>
    <w:basedOn w:val="Heading1"/>
    <w:next w:val="Normal"/>
    <w:uiPriority w:val="39"/>
    <w:unhideWhenUsed/>
    <w:qFormat/>
    <w:rsid w:val="007E0906"/>
    <w:pPr>
      <w:outlineLvl w:val="9"/>
    </w:pPr>
    <w:rPr>
      <w:lang w:val="en-US"/>
    </w:rPr>
  </w:style>
  <w:style w:type="paragraph" w:styleId="TOC1">
    <w:name w:val="toc 1"/>
    <w:basedOn w:val="Normal"/>
    <w:next w:val="Normal"/>
    <w:autoRedefine/>
    <w:uiPriority w:val="39"/>
    <w:unhideWhenUsed/>
    <w:rsid w:val="007E0906"/>
    <w:pPr>
      <w:spacing w:after="100"/>
    </w:pPr>
  </w:style>
  <w:style w:type="paragraph" w:styleId="TOC2">
    <w:name w:val="toc 2"/>
    <w:basedOn w:val="Normal"/>
    <w:next w:val="Normal"/>
    <w:autoRedefine/>
    <w:uiPriority w:val="39"/>
    <w:unhideWhenUsed/>
    <w:rsid w:val="007E0906"/>
    <w:pPr>
      <w:spacing w:after="100"/>
      <w:ind w:left="220"/>
    </w:pPr>
  </w:style>
  <w:style w:type="paragraph" w:styleId="TOC3">
    <w:name w:val="toc 3"/>
    <w:basedOn w:val="Normal"/>
    <w:next w:val="Normal"/>
    <w:autoRedefine/>
    <w:uiPriority w:val="39"/>
    <w:unhideWhenUsed/>
    <w:rsid w:val="007E0906"/>
    <w:pPr>
      <w:spacing w:after="100"/>
      <w:ind w:left="440"/>
    </w:pPr>
  </w:style>
  <w:style w:type="character" w:styleId="Hyperlink">
    <w:name w:val="Hyperlink"/>
    <w:basedOn w:val="DefaultParagraphFont"/>
    <w:uiPriority w:val="99"/>
    <w:unhideWhenUsed/>
    <w:rsid w:val="007E0906"/>
    <w:rPr>
      <w:color w:val="0563C1" w:themeColor="hyperlink"/>
      <w:u w:val="single"/>
    </w:rPr>
  </w:style>
  <w:style w:type="paragraph" w:styleId="Bibliography">
    <w:name w:val="Bibliography"/>
    <w:basedOn w:val="Normal"/>
    <w:next w:val="Normal"/>
    <w:uiPriority w:val="37"/>
    <w:unhideWhenUsed/>
    <w:rsid w:val="00DC75E4"/>
  </w:style>
  <w:style w:type="table" w:styleId="TableGrid">
    <w:name w:val="Table Grid"/>
    <w:basedOn w:val="TableNormal"/>
    <w:uiPriority w:val="59"/>
    <w:rsid w:val="00B053A2"/>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002790">
      <w:bodyDiv w:val="1"/>
      <w:marLeft w:val="0"/>
      <w:marRight w:val="0"/>
      <w:marTop w:val="0"/>
      <w:marBottom w:val="0"/>
      <w:divBdr>
        <w:top w:val="none" w:sz="0" w:space="0" w:color="auto"/>
        <w:left w:val="none" w:sz="0" w:space="0" w:color="auto"/>
        <w:bottom w:val="none" w:sz="0" w:space="0" w:color="auto"/>
        <w:right w:val="none" w:sz="0" w:space="0" w:color="auto"/>
      </w:divBdr>
    </w:div>
    <w:div w:id="92827359">
      <w:bodyDiv w:val="1"/>
      <w:marLeft w:val="0"/>
      <w:marRight w:val="0"/>
      <w:marTop w:val="0"/>
      <w:marBottom w:val="0"/>
      <w:divBdr>
        <w:top w:val="none" w:sz="0" w:space="0" w:color="auto"/>
        <w:left w:val="none" w:sz="0" w:space="0" w:color="auto"/>
        <w:bottom w:val="none" w:sz="0" w:space="0" w:color="auto"/>
        <w:right w:val="none" w:sz="0" w:space="0" w:color="auto"/>
      </w:divBdr>
    </w:div>
    <w:div w:id="160705243">
      <w:bodyDiv w:val="1"/>
      <w:marLeft w:val="0"/>
      <w:marRight w:val="0"/>
      <w:marTop w:val="0"/>
      <w:marBottom w:val="0"/>
      <w:divBdr>
        <w:top w:val="none" w:sz="0" w:space="0" w:color="auto"/>
        <w:left w:val="none" w:sz="0" w:space="0" w:color="auto"/>
        <w:bottom w:val="none" w:sz="0" w:space="0" w:color="auto"/>
        <w:right w:val="none" w:sz="0" w:space="0" w:color="auto"/>
      </w:divBdr>
    </w:div>
    <w:div w:id="207495719">
      <w:bodyDiv w:val="1"/>
      <w:marLeft w:val="0"/>
      <w:marRight w:val="0"/>
      <w:marTop w:val="0"/>
      <w:marBottom w:val="0"/>
      <w:divBdr>
        <w:top w:val="none" w:sz="0" w:space="0" w:color="auto"/>
        <w:left w:val="none" w:sz="0" w:space="0" w:color="auto"/>
        <w:bottom w:val="none" w:sz="0" w:space="0" w:color="auto"/>
        <w:right w:val="none" w:sz="0" w:space="0" w:color="auto"/>
      </w:divBdr>
    </w:div>
    <w:div w:id="218830494">
      <w:bodyDiv w:val="1"/>
      <w:marLeft w:val="0"/>
      <w:marRight w:val="0"/>
      <w:marTop w:val="0"/>
      <w:marBottom w:val="0"/>
      <w:divBdr>
        <w:top w:val="none" w:sz="0" w:space="0" w:color="auto"/>
        <w:left w:val="none" w:sz="0" w:space="0" w:color="auto"/>
        <w:bottom w:val="none" w:sz="0" w:space="0" w:color="auto"/>
        <w:right w:val="none" w:sz="0" w:space="0" w:color="auto"/>
      </w:divBdr>
    </w:div>
    <w:div w:id="254822761">
      <w:bodyDiv w:val="1"/>
      <w:marLeft w:val="0"/>
      <w:marRight w:val="0"/>
      <w:marTop w:val="0"/>
      <w:marBottom w:val="0"/>
      <w:divBdr>
        <w:top w:val="none" w:sz="0" w:space="0" w:color="auto"/>
        <w:left w:val="none" w:sz="0" w:space="0" w:color="auto"/>
        <w:bottom w:val="none" w:sz="0" w:space="0" w:color="auto"/>
        <w:right w:val="none" w:sz="0" w:space="0" w:color="auto"/>
      </w:divBdr>
    </w:div>
    <w:div w:id="260182116">
      <w:bodyDiv w:val="1"/>
      <w:marLeft w:val="0"/>
      <w:marRight w:val="0"/>
      <w:marTop w:val="0"/>
      <w:marBottom w:val="0"/>
      <w:divBdr>
        <w:top w:val="none" w:sz="0" w:space="0" w:color="auto"/>
        <w:left w:val="none" w:sz="0" w:space="0" w:color="auto"/>
        <w:bottom w:val="none" w:sz="0" w:space="0" w:color="auto"/>
        <w:right w:val="none" w:sz="0" w:space="0" w:color="auto"/>
      </w:divBdr>
    </w:div>
    <w:div w:id="275603300">
      <w:bodyDiv w:val="1"/>
      <w:marLeft w:val="0"/>
      <w:marRight w:val="0"/>
      <w:marTop w:val="0"/>
      <w:marBottom w:val="0"/>
      <w:divBdr>
        <w:top w:val="none" w:sz="0" w:space="0" w:color="auto"/>
        <w:left w:val="none" w:sz="0" w:space="0" w:color="auto"/>
        <w:bottom w:val="none" w:sz="0" w:space="0" w:color="auto"/>
        <w:right w:val="none" w:sz="0" w:space="0" w:color="auto"/>
      </w:divBdr>
    </w:div>
    <w:div w:id="279261337">
      <w:bodyDiv w:val="1"/>
      <w:marLeft w:val="0"/>
      <w:marRight w:val="0"/>
      <w:marTop w:val="0"/>
      <w:marBottom w:val="0"/>
      <w:divBdr>
        <w:top w:val="none" w:sz="0" w:space="0" w:color="auto"/>
        <w:left w:val="none" w:sz="0" w:space="0" w:color="auto"/>
        <w:bottom w:val="none" w:sz="0" w:space="0" w:color="auto"/>
        <w:right w:val="none" w:sz="0" w:space="0" w:color="auto"/>
      </w:divBdr>
    </w:div>
    <w:div w:id="316543734">
      <w:bodyDiv w:val="1"/>
      <w:marLeft w:val="0"/>
      <w:marRight w:val="0"/>
      <w:marTop w:val="0"/>
      <w:marBottom w:val="0"/>
      <w:divBdr>
        <w:top w:val="none" w:sz="0" w:space="0" w:color="auto"/>
        <w:left w:val="none" w:sz="0" w:space="0" w:color="auto"/>
        <w:bottom w:val="none" w:sz="0" w:space="0" w:color="auto"/>
        <w:right w:val="none" w:sz="0" w:space="0" w:color="auto"/>
      </w:divBdr>
    </w:div>
    <w:div w:id="322978999">
      <w:bodyDiv w:val="1"/>
      <w:marLeft w:val="0"/>
      <w:marRight w:val="0"/>
      <w:marTop w:val="0"/>
      <w:marBottom w:val="0"/>
      <w:divBdr>
        <w:top w:val="none" w:sz="0" w:space="0" w:color="auto"/>
        <w:left w:val="none" w:sz="0" w:space="0" w:color="auto"/>
        <w:bottom w:val="none" w:sz="0" w:space="0" w:color="auto"/>
        <w:right w:val="none" w:sz="0" w:space="0" w:color="auto"/>
      </w:divBdr>
    </w:div>
    <w:div w:id="338969805">
      <w:bodyDiv w:val="1"/>
      <w:marLeft w:val="0"/>
      <w:marRight w:val="0"/>
      <w:marTop w:val="0"/>
      <w:marBottom w:val="0"/>
      <w:divBdr>
        <w:top w:val="none" w:sz="0" w:space="0" w:color="auto"/>
        <w:left w:val="none" w:sz="0" w:space="0" w:color="auto"/>
        <w:bottom w:val="none" w:sz="0" w:space="0" w:color="auto"/>
        <w:right w:val="none" w:sz="0" w:space="0" w:color="auto"/>
      </w:divBdr>
    </w:div>
    <w:div w:id="352659182">
      <w:bodyDiv w:val="1"/>
      <w:marLeft w:val="0"/>
      <w:marRight w:val="0"/>
      <w:marTop w:val="0"/>
      <w:marBottom w:val="0"/>
      <w:divBdr>
        <w:top w:val="none" w:sz="0" w:space="0" w:color="auto"/>
        <w:left w:val="none" w:sz="0" w:space="0" w:color="auto"/>
        <w:bottom w:val="none" w:sz="0" w:space="0" w:color="auto"/>
        <w:right w:val="none" w:sz="0" w:space="0" w:color="auto"/>
      </w:divBdr>
    </w:div>
    <w:div w:id="376004063">
      <w:bodyDiv w:val="1"/>
      <w:marLeft w:val="0"/>
      <w:marRight w:val="0"/>
      <w:marTop w:val="0"/>
      <w:marBottom w:val="0"/>
      <w:divBdr>
        <w:top w:val="none" w:sz="0" w:space="0" w:color="auto"/>
        <w:left w:val="none" w:sz="0" w:space="0" w:color="auto"/>
        <w:bottom w:val="none" w:sz="0" w:space="0" w:color="auto"/>
        <w:right w:val="none" w:sz="0" w:space="0" w:color="auto"/>
      </w:divBdr>
    </w:div>
    <w:div w:id="380179085">
      <w:bodyDiv w:val="1"/>
      <w:marLeft w:val="0"/>
      <w:marRight w:val="0"/>
      <w:marTop w:val="0"/>
      <w:marBottom w:val="0"/>
      <w:divBdr>
        <w:top w:val="none" w:sz="0" w:space="0" w:color="auto"/>
        <w:left w:val="none" w:sz="0" w:space="0" w:color="auto"/>
        <w:bottom w:val="none" w:sz="0" w:space="0" w:color="auto"/>
        <w:right w:val="none" w:sz="0" w:space="0" w:color="auto"/>
      </w:divBdr>
    </w:div>
    <w:div w:id="392235049">
      <w:bodyDiv w:val="1"/>
      <w:marLeft w:val="0"/>
      <w:marRight w:val="0"/>
      <w:marTop w:val="0"/>
      <w:marBottom w:val="0"/>
      <w:divBdr>
        <w:top w:val="none" w:sz="0" w:space="0" w:color="auto"/>
        <w:left w:val="none" w:sz="0" w:space="0" w:color="auto"/>
        <w:bottom w:val="none" w:sz="0" w:space="0" w:color="auto"/>
        <w:right w:val="none" w:sz="0" w:space="0" w:color="auto"/>
      </w:divBdr>
    </w:div>
    <w:div w:id="428549612">
      <w:bodyDiv w:val="1"/>
      <w:marLeft w:val="0"/>
      <w:marRight w:val="0"/>
      <w:marTop w:val="0"/>
      <w:marBottom w:val="0"/>
      <w:divBdr>
        <w:top w:val="none" w:sz="0" w:space="0" w:color="auto"/>
        <w:left w:val="none" w:sz="0" w:space="0" w:color="auto"/>
        <w:bottom w:val="none" w:sz="0" w:space="0" w:color="auto"/>
        <w:right w:val="none" w:sz="0" w:space="0" w:color="auto"/>
      </w:divBdr>
    </w:div>
    <w:div w:id="429470389">
      <w:bodyDiv w:val="1"/>
      <w:marLeft w:val="0"/>
      <w:marRight w:val="0"/>
      <w:marTop w:val="0"/>
      <w:marBottom w:val="0"/>
      <w:divBdr>
        <w:top w:val="none" w:sz="0" w:space="0" w:color="auto"/>
        <w:left w:val="none" w:sz="0" w:space="0" w:color="auto"/>
        <w:bottom w:val="none" w:sz="0" w:space="0" w:color="auto"/>
        <w:right w:val="none" w:sz="0" w:space="0" w:color="auto"/>
      </w:divBdr>
    </w:div>
    <w:div w:id="469175160">
      <w:bodyDiv w:val="1"/>
      <w:marLeft w:val="0"/>
      <w:marRight w:val="0"/>
      <w:marTop w:val="0"/>
      <w:marBottom w:val="0"/>
      <w:divBdr>
        <w:top w:val="none" w:sz="0" w:space="0" w:color="auto"/>
        <w:left w:val="none" w:sz="0" w:space="0" w:color="auto"/>
        <w:bottom w:val="none" w:sz="0" w:space="0" w:color="auto"/>
        <w:right w:val="none" w:sz="0" w:space="0" w:color="auto"/>
      </w:divBdr>
    </w:div>
    <w:div w:id="474838650">
      <w:bodyDiv w:val="1"/>
      <w:marLeft w:val="0"/>
      <w:marRight w:val="0"/>
      <w:marTop w:val="0"/>
      <w:marBottom w:val="0"/>
      <w:divBdr>
        <w:top w:val="none" w:sz="0" w:space="0" w:color="auto"/>
        <w:left w:val="none" w:sz="0" w:space="0" w:color="auto"/>
        <w:bottom w:val="none" w:sz="0" w:space="0" w:color="auto"/>
        <w:right w:val="none" w:sz="0" w:space="0" w:color="auto"/>
      </w:divBdr>
    </w:div>
    <w:div w:id="490415288">
      <w:bodyDiv w:val="1"/>
      <w:marLeft w:val="0"/>
      <w:marRight w:val="0"/>
      <w:marTop w:val="0"/>
      <w:marBottom w:val="0"/>
      <w:divBdr>
        <w:top w:val="none" w:sz="0" w:space="0" w:color="auto"/>
        <w:left w:val="none" w:sz="0" w:space="0" w:color="auto"/>
        <w:bottom w:val="none" w:sz="0" w:space="0" w:color="auto"/>
        <w:right w:val="none" w:sz="0" w:space="0" w:color="auto"/>
      </w:divBdr>
    </w:div>
    <w:div w:id="524640827">
      <w:bodyDiv w:val="1"/>
      <w:marLeft w:val="0"/>
      <w:marRight w:val="0"/>
      <w:marTop w:val="0"/>
      <w:marBottom w:val="0"/>
      <w:divBdr>
        <w:top w:val="none" w:sz="0" w:space="0" w:color="auto"/>
        <w:left w:val="none" w:sz="0" w:space="0" w:color="auto"/>
        <w:bottom w:val="none" w:sz="0" w:space="0" w:color="auto"/>
        <w:right w:val="none" w:sz="0" w:space="0" w:color="auto"/>
      </w:divBdr>
    </w:div>
    <w:div w:id="538401651">
      <w:bodyDiv w:val="1"/>
      <w:marLeft w:val="0"/>
      <w:marRight w:val="0"/>
      <w:marTop w:val="0"/>
      <w:marBottom w:val="0"/>
      <w:divBdr>
        <w:top w:val="none" w:sz="0" w:space="0" w:color="auto"/>
        <w:left w:val="none" w:sz="0" w:space="0" w:color="auto"/>
        <w:bottom w:val="none" w:sz="0" w:space="0" w:color="auto"/>
        <w:right w:val="none" w:sz="0" w:space="0" w:color="auto"/>
      </w:divBdr>
    </w:div>
    <w:div w:id="547885078">
      <w:bodyDiv w:val="1"/>
      <w:marLeft w:val="0"/>
      <w:marRight w:val="0"/>
      <w:marTop w:val="0"/>
      <w:marBottom w:val="0"/>
      <w:divBdr>
        <w:top w:val="none" w:sz="0" w:space="0" w:color="auto"/>
        <w:left w:val="none" w:sz="0" w:space="0" w:color="auto"/>
        <w:bottom w:val="none" w:sz="0" w:space="0" w:color="auto"/>
        <w:right w:val="none" w:sz="0" w:space="0" w:color="auto"/>
      </w:divBdr>
    </w:div>
    <w:div w:id="557594434">
      <w:bodyDiv w:val="1"/>
      <w:marLeft w:val="0"/>
      <w:marRight w:val="0"/>
      <w:marTop w:val="0"/>
      <w:marBottom w:val="0"/>
      <w:divBdr>
        <w:top w:val="none" w:sz="0" w:space="0" w:color="auto"/>
        <w:left w:val="none" w:sz="0" w:space="0" w:color="auto"/>
        <w:bottom w:val="none" w:sz="0" w:space="0" w:color="auto"/>
        <w:right w:val="none" w:sz="0" w:space="0" w:color="auto"/>
      </w:divBdr>
    </w:div>
    <w:div w:id="581645908">
      <w:bodyDiv w:val="1"/>
      <w:marLeft w:val="0"/>
      <w:marRight w:val="0"/>
      <w:marTop w:val="0"/>
      <w:marBottom w:val="0"/>
      <w:divBdr>
        <w:top w:val="none" w:sz="0" w:space="0" w:color="auto"/>
        <w:left w:val="none" w:sz="0" w:space="0" w:color="auto"/>
        <w:bottom w:val="none" w:sz="0" w:space="0" w:color="auto"/>
        <w:right w:val="none" w:sz="0" w:space="0" w:color="auto"/>
      </w:divBdr>
    </w:div>
    <w:div w:id="593437764">
      <w:bodyDiv w:val="1"/>
      <w:marLeft w:val="0"/>
      <w:marRight w:val="0"/>
      <w:marTop w:val="0"/>
      <w:marBottom w:val="0"/>
      <w:divBdr>
        <w:top w:val="none" w:sz="0" w:space="0" w:color="auto"/>
        <w:left w:val="none" w:sz="0" w:space="0" w:color="auto"/>
        <w:bottom w:val="none" w:sz="0" w:space="0" w:color="auto"/>
        <w:right w:val="none" w:sz="0" w:space="0" w:color="auto"/>
      </w:divBdr>
    </w:div>
    <w:div w:id="595787823">
      <w:bodyDiv w:val="1"/>
      <w:marLeft w:val="0"/>
      <w:marRight w:val="0"/>
      <w:marTop w:val="0"/>
      <w:marBottom w:val="0"/>
      <w:divBdr>
        <w:top w:val="none" w:sz="0" w:space="0" w:color="auto"/>
        <w:left w:val="none" w:sz="0" w:space="0" w:color="auto"/>
        <w:bottom w:val="none" w:sz="0" w:space="0" w:color="auto"/>
        <w:right w:val="none" w:sz="0" w:space="0" w:color="auto"/>
      </w:divBdr>
    </w:div>
    <w:div w:id="596719910">
      <w:bodyDiv w:val="1"/>
      <w:marLeft w:val="0"/>
      <w:marRight w:val="0"/>
      <w:marTop w:val="0"/>
      <w:marBottom w:val="0"/>
      <w:divBdr>
        <w:top w:val="none" w:sz="0" w:space="0" w:color="auto"/>
        <w:left w:val="none" w:sz="0" w:space="0" w:color="auto"/>
        <w:bottom w:val="none" w:sz="0" w:space="0" w:color="auto"/>
        <w:right w:val="none" w:sz="0" w:space="0" w:color="auto"/>
      </w:divBdr>
    </w:div>
    <w:div w:id="726491538">
      <w:bodyDiv w:val="1"/>
      <w:marLeft w:val="0"/>
      <w:marRight w:val="0"/>
      <w:marTop w:val="0"/>
      <w:marBottom w:val="0"/>
      <w:divBdr>
        <w:top w:val="none" w:sz="0" w:space="0" w:color="auto"/>
        <w:left w:val="none" w:sz="0" w:space="0" w:color="auto"/>
        <w:bottom w:val="none" w:sz="0" w:space="0" w:color="auto"/>
        <w:right w:val="none" w:sz="0" w:space="0" w:color="auto"/>
      </w:divBdr>
    </w:div>
    <w:div w:id="744188789">
      <w:bodyDiv w:val="1"/>
      <w:marLeft w:val="0"/>
      <w:marRight w:val="0"/>
      <w:marTop w:val="0"/>
      <w:marBottom w:val="0"/>
      <w:divBdr>
        <w:top w:val="none" w:sz="0" w:space="0" w:color="auto"/>
        <w:left w:val="none" w:sz="0" w:space="0" w:color="auto"/>
        <w:bottom w:val="none" w:sz="0" w:space="0" w:color="auto"/>
        <w:right w:val="none" w:sz="0" w:space="0" w:color="auto"/>
      </w:divBdr>
    </w:div>
    <w:div w:id="744953326">
      <w:bodyDiv w:val="1"/>
      <w:marLeft w:val="0"/>
      <w:marRight w:val="0"/>
      <w:marTop w:val="0"/>
      <w:marBottom w:val="0"/>
      <w:divBdr>
        <w:top w:val="none" w:sz="0" w:space="0" w:color="auto"/>
        <w:left w:val="none" w:sz="0" w:space="0" w:color="auto"/>
        <w:bottom w:val="none" w:sz="0" w:space="0" w:color="auto"/>
        <w:right w:val="none" w:sz="0" w:space="0" w:color="auto"/>
      </w:divBdr>
    </w:div>
    <w:div w:id="761336128">
      <w:bodyDiv w:val="1"/>
      <w:marLeft w:val="0"/>
      <w:marRight w:val="0"/>
      <w:marTop w:val="0"/>
      <w:marBottom w:val="0"/>
      <w:divBdr>
        <w:top w:val="none" w:sz="0" w:space="0" w:color="auto"/>
        <w:left w:val="none" w:sz="0" w:space="0" w:color="auto"/>
        <w:bottom w:val="none" w:sz="0" w:space="0" w:color="auto"/>
        <w:right w:val="none" w:sz="0" w:space="0" w:color="auto"/>
      </w:divBdr>
    </w:div>
    <w:div w:id="780688541">
      <w:bodyDiv w:val="1"/>
      <w:marLeft w:val="0"/>
      <w:marRight w:val="0"/>
      <w:marTop w:val="0"/>
      <w:marBottom w:val="0"/>
      <w:divBdr>
        <w:top w:val="none" w:sz="0" w:space="0" w:color="auto"/>
        <w:left w:val="none" w:sz="0" w:space="0" w:color="auto"/>
        <w:bottom w:val="none" w:sz="0" w:space="0" w:color="auto"/>
        <w:right w:val="none" w:sz="0" w:space="0" w:color="auto"/>
      </w:divBdr>
    </w:div>
    <w:div w:id="810169250">
      <w:bodyDiv w:val="1"/>
      <w:marLeft w:val="0"/>
      <w:marRight w:val="0"/>
      <w:marTop w:val="0"/>
      <w:marBottom w:val="0"/>
      <w:divBdr>
        <w:top w:val="none" w:sz="0" w:space="0" w:color="auto"/>
        <w:left w:val="none" w:sz="0" w:space="0" w:color="auto"/>
        <w:bottom w:val="none" w:sz="0" w:space="0" w:color="auto"/>
        <w:right w:val="none" w:sz="0" w:space="0" w:color="auto"/>
      </w:divBdr>
    </w:div>
    <w:div w:id="863178678">
      <w:bodyDiv w:val="1"/>
      <w:marLeft w:val="0"/>
      <w:marRight w:val="0"/>
      <w:marTop w:val="0"/>
      <w:marBottom w:val="0"/>
      <w:divBdr>
        <w:top w:val="none" w:sz="0" w:space="0" w:color="auto"/>
        <w:left w:val="none" w:sz="0" w:space="0" w:color="auto"/>
        <w:bottom w:val="none" w:sz="0" w:space="0" w:color="auto"/>
        <w:right w:val="none" w:sz="0" w:space="0" w:color="auto"/>
      </w:divBdr>
    </w:div>
    <w:div w:id="902982967">
      <w:bodyDiv w:val="1"/>
      <w:marLeft w:val="0"/>
      <w:marRight w:val="0"/>
      <w:marTop w:val="0"/>
      <w:marBottom w:val="0"/>
      <w:divBdr>
        <w:top w:val="none" w:sz="0" w:space="0" w:color="auto"/>
        <w:left w:val="none" w:sz="0" w:space="0" w:color="auto"/>
        <w:bottom w:val="none" w:sz="0" w:space="0" w:color="auto"/>
        <w:right w:val="none" w:sz="0" w:space="0" w:color="auto"/>
      </w:divBdr>
    </w:div>
    <w:div w:id="928387116">
      <w:bodyDiv w:val="1"/>
      <w:marLeft w:val="0"/>
      <w:marRight w:val="0"/>
      <w:marTop w:val="0"/>
      <w:marBottom w:val="0"/>
      <w:divBdr>
        <w:top w:val="none" w:sz="0" w:space="0" w:color="auto"/>
        <w:left w:val="none" w:sz="0" w:space="0" w:color="auto"/>
        <w:bottom w:val="none" w:sz="0" w:space="0" w:color="auto"/>
        <w:right w:val="none" w:sz="0" w:space="0" w:color="auto"/>
      </w:divBdr>
    </w:div>
    <w:div w:id="992297587">
      <w:bodyDiv w:val="1"/>
      <w:marLeft w:val="0"/>
      <w:marRight w:val="0"/>
      <w:marTop w:val="0"/>
      <w:marBottom w:val="0"/>
      <w:divBdr>
        <w:top w:val="none" w:sz="0" w:space="0" w:color="auto"/>
        <w:left w:val="none" w:sz="0" w:space="0" w:color="auto"/>
        <w:bottom w:val="none" w:sz="0" w:space="0" w:color="auto"/>
        <w:right w:val="none" w:sz="0" w:space="0" w:color="auto"/>
      </w:divBdr>
    </w:div>
    <w:div w:id="1001934512">
      <w:bodyDiv w:val="1"/>
      <w:marLeft w:val="0"/>
      <w:marRight w:val="0"/>
      <w:marTop w:val="0"/>
      <w:marBottom w:val="0"/>
      <w:divBdr>
        <w:top w:val="none" w:sz="0" w:space="0" w:color="auto"/>
        <w:left w:val="none" w:sz="0" w:space="0" w:color="auto"/>
        <w:bottom w:val="none" w:sz="0" w:space="0" w:color="auto"/>
        <w:right w:val="none" w:sz="0" w:space="0" w:color="auto"/>
      </w:divBdr>
    </w:div>
    <w:div w:id="1022979090">
      <w:bodyDiv w:val="1"/>
      <w:marLeft w:val="0"/>
      <w:marRight w:val="0"/>
      <w:marTop w:val="0"/>
      <w:marBottom w:val="0"/>
      <w:divBdr>
        <w:top w:val="none" w:sz="0" w:space="0" w:color="auto"/>
        <w:left w:val="none" w:sz="0" w:space="0" w:color="auto"/>
        <w:bottom w:val="none" w:sz="0" w:space="0" w:color="auto"/>
        <w:right w:val="none" w:sz="0" w:space="0" w:color="auto"/>
      </w:divBdr>
    </w:div>
    <w:div w:id="1038239694">
      <w:bodyDiv w:val="1"/>
      <w:marLeft w:val="0"/>
      <w:marRight w:val="0"/>
      <w:marTop w:val="0"/>
      <w:marBottom w:val="0"/>
      <w:divBdr>
        <w:top w:val="none" w:sz="0" w:space="0" w:color="auto"/>
        <w:left w:val="none" w:sz="0" w:space="0" w:color="auto"/>
        <w:bottom w:val="none" w:sz="0" w:space="0" w:color="auto"/>
        <w:right w:val="none" w:sz="0" w:space="0" w:color="auto"/>
      </w:divBdr>
    </w:div>
    <w:div w:id="1092625818">
      <w:bodyDiv w:val="1"/>
      <w:marLeft w:val="0"/>
      <w:marRight w:val="0"/>
      <w:marTop w:val="0"/>
      <w:marBottom w:val="0"/>
      <w:divBdr>
        <w:top w:val="none" w:sz="0" w:space="0" w:color="auto"/>
        <w:left w:val="none" w:sz="0" w:space="0" w:color="auto"/>
        <w:bottom w:val="none" w:sz="0" w:space="0" w:color="auto"/>
        <w:right w:val="none" w:sz="0" w:space="0" w:color="auto"/>
      </w:divBdr>
    </w:div>
    <w:div w:id="1101219514">
      <w:bodyDiv w:val="1"/>
      <w:marLeft w:val="0"/>
      <w:marRight w:val="0"/>
      <w:marTop w:val="0"/>
      <w:marBottom w:val="0"/>
      <w:divBdr>
        <w:top w:val="none" w:sz="0" w:space="0" w:color="auto"/>
        <w:left w:val="none" w:sz="0" w:space="0" w:color="auto"/>
        <w:bottom w:val="none" w:sz="0" w:space="0" w:color="auto"/>
        <w:right w:val="none" w:sz="0" w:space="0" w:color="auto"/>
      </w:divBdr>
    </w:div>
    <w:div w:id="1156067577">
      <w:bodyDiv w:val="1"/>
      <w:marLeft w:val="0"/>
      <w:marRight w:val="0"/>
      <w:marTop w:val="0"/>
      <w:marBottom w:val="0"/>
      <w:divBdr>
        <w:top w:val="none" w:sz="0" w:space="0" w:color="auto"/>
        <w:left w:val="none" w:sz="0" w:space="0" w:color="auto"/>
        <w:bottom w:val="none" w:sz="0" w:space="0" w:color="auto"/>
        <w:right w:val="none" w:sz="0" w:space="0" w:color="auto"/>
      </w:divBdr>
    </w:div>
    <w:div w:id="1176729867">
      <w:bodyDiv w:val="1"/>
      <w:marLeft w:val="0"/>
      <w:marRight w:val="0"/>
      <w:marTop w:val="0"/>
      <w:marBottom w:val="0"/>
      <w:divBdr>
        <w:top w:val="none" w:sz="0" w:space="0" w:color="auto"/>
        <w:left w:val="none" w:sz="0" w:space="0" w:color="auto"/>
        <w:bottom w:val="none" w:sz="0" w:space="0" w:color="auto"/>
        <w:right w:val="none" w:sz="0" w:space="0" w:color="auto"/>
      </w:divBdr>
    </w:div>
    <w:div w:id="1179126733">
      <w:bodyDiv w:val="1"/>
      <w:marLeft w:val="0"/>
      <w:marRight w:val="0"/>
      <w:marTop w:val="0"/>
      <w:marBottom w:val="0"/>
      <w:divBdr>
        <w:top w:val="none" w:sz="0" w:space="0" w:color="auto"/>
        <w:left w:val="none" w:sz="0" w:space="0" w:color="auto"/>
        <w:bottom w:val="none" w:sz="0" w:space="0" w:color="auto"/>
        <w:right w:val="none" w:sz="0" w:space="0" w:color="auto"/>
      </w:divBdr>
    </w:div>
    <w:div w:id="1179195853">
      <w:bodyDiv w:val="1"/>
      <w:marLeft w:val="0"/>
      <w:marRight w:val="0"/>
      <w:marTop w:val="0"/>
      <w:marBottom w:val="0"/>
      <w:divBdr>
        <w:top w:val="none" w:sz="0" w:space="0" w:color="auto"/>
        <w:left w:val="none" w:sz="0" w:space="0" w:color="auto"/>
        <w:bottom w:val="none" w:sz="0" w:space="0" w:color="auto"/>
        <w:right w:val="none" w:sz="0" w:space="0" w:color="auto"/>
      </w:divBdr>
    </w:div>
    <w:div w:id="1190604344">
      <w:bodyDiv w:val="1"/>
      <w:marLeft w:val="0"/>
      <w:marRight w:val="0"/>
      <w:marTop w:val="0"/>
      <w:marBottom w:val="0"/>
      <w:divBdr>
        <w:top w:val="none" w:sz="0" w:space="0" w:color="auto"/>
        <w:left w:val="none" w:sz="0" w:space="0" w:color="auto"/>
        <w:bottom w:val="none" w:sz="0" w:space="0" w:color="auto"/>
        <w:right w:val="none" w:sz="0" w:space="0" w:color="auto"/>
      </w:divBdr>
    </w:div>
    <w:div w:id="1229389866">
      <w:bodyDiv w:val="1"/>
      <w:marLeft w:val="0"/>
      <w:marRight w:val="0"/>
      <w:marTop w:val="0"/>
      <w:marBottom w:val="0"/>
      <w:divBdr>
        <w:top w:val="none" w:sz="0" w:space="0" w:color="auto"/>
        <w:left w:val="none" w:sz="0" w:space="0" w:color="auto"/>
        <w:bottom w:val="none" w:sz="0" w:space="0" w:color="auto"/>
        <w:right w:val="none" w:sz="0" w:space="0" w:color="auto"/>
      </w:divBdr>
    </w:div>
    <w:div w:id="1233738491">
      <w:bodyDiv w:val="1"/>
      <w:marLeft w:val="0"/>
      <w:marRight w:val="0"/>
      <w:marTop w:val="0"/>
      <w:marBottom w:val="0"/>
      <w:divBdr>
        <w:top w:val="none" w:sz="0" w:space="0" w:color="auto"/>
        <w:left w:val="none" w:sz="0" w:space="0" w:color="auto"/>
        <w:bottom w:val="none" w:sz="0" w:space="0" w:color="auto"/>
        <w:right w:val="none" w:sz="0" w:space="0" w:color="auto"/>
      </w:divBdr>
    </w:div>
    <w:div w:id="1249391737">
      <w:bodyDiv w:val="1"/>
      <w:marLeft w:val="0"/>
      <w:marRight w:val="0"/>
      <w:marTop w:val="0"/>
      <w:marBottom w:val="0"/>
      <w:divBdr>
        <w:top w:val="none" w:sz="0" w:space="0" w:color="auto"/>
        <w:left w:val="none" w:sz="0" w:space="0" w:color="auto"/>
        <w:bottom w:val="none" w:sz="0" w:space="0" w:color="auto"/>
        <w:right w:val="none" w:sz="0" w:space="0" w:color="auto"/>
      </w:divBdr>
    </w:div>
    <w:div w:id="1268002056">
      <w:bodyDiv w:val="1"/>
      <w:marLeft w:val="0"/>
      <w:marRight w:val="0"/>
      <w:marTop w:val="0"/>
      <w:marBottom w:val="0"/>
      <w:divBdr>
        <w:top w:val="none" w:sz="0" w:space="0" w:color="auto"/>
        <w:left w:val="none" w:sz="0" w:space="0" w:color="auto"/>
        <w:bottom w:val="none" w:sz="0" w:space="0" w:color="auto"/>
        <w:right w:val="none" w:sz="0" w:space="0" w:color="auto"/>
      </w:divBdr>
    </w:div>
    <w:div w:id="1270965299">
      <w:bodyDiv w:val="1"/>
      <w:marLeft w:val="0"/>
      <w:marRight w:val="0"/>
      <w:marTop w:val="0"/>
      <w:marBottom w:val="0"/>
      <w:divBdr>
        <w:top w:val="none" w:sz="0" w:space="0" w:color="auto"/>
        <w:left w:val="none" w:sz="0" w:space="0" w:color="auto"/>
        <w:bottom w:val="none" w:sz="0" w:space="0" w:color="auto"/>
        <w:right w:val="none" w:sz="0" w:space="0" w:color="auto"/>
      </w:divBdr>
    </w:div>
    <w:div w:id="1293093665">
      <w:bodyDiv w:val="1"/>
      <w:marLeft w:val="0"/>
      <w:marRight w:val="0"/>
      <w:marTop w:val="0"/>
      <w:marBottom w:val="0"/>
      <w:divBdr>
        <w:top w:val="none" w:sz="0" w:space="0" w:color="auto"/>
        <w:left w:val="none" w:sz="0" w:space="0" w:color="auto"/>
        <w:bottom w:val="none" w:sz="0" w:space="0" w:color="auto"/>
        <w:right w:val="none" w:sz="0" w:space="0" w:color="auto"/>
      </w:divBdr>
    </w:div>
    <w:div w:id="1320961564">
      <w:bodyDiv w:val="1"/>
      <w:marLeft w:val="0"/>
      <w:marRight w:val="0"/>
      <w:marTop w:val="0"/>
      <w:marBottom w:val="0"/>
      <w:divBdr>
        <w:top w:val="none" w:sz="0" w:space="0" w:color="auto"/>
        <w:left w:val="none" w:sz="0" w:space="0" w:color="auto"/>
        <w:bottom w:val="none" w:sz="0" w:space="0" w:color="auto"/>
        <w:right w:val="none" w:sz="0" w:space="0" w:color="auto"/>
      </w:divBdr>
    </w:div>
    <w:div w:id="1322200127">
      <w:bodyDiv w:val="1"/>
      <w:marLeft w:val="0"/>
      <w:marRight w:val="0"/>
      <w:marTop w:val="0"/>
      <w:marBottom w:val="0"/>
      <w:divBdr>
        <w:top w:val="none" w:sz="0" w:space="0" w:color="auto"/>
        <w:left w:val="none" w:sz="0" w:space="0" w:color="auto"/>
        <w:bottom w:val="none" w:sz="0" w:space="0" w:color="auto"/>
        <w:right w:val="none" w:sz="0" w:space="0" w:color="auto"/>
      </w:divBdr>
    </w:div>
    <w:div w:id="1322613750">
      <w:bodyDiv w:val="1"/>
      <w:marLeft w:val="0"/>
      <w:marRight w:val="0"/>
      <w:marTop w:val="0"/>
      <w:marBottom w:val="0"/>
      <w:divBdr>
        <w:top w:val="none" w:sz="0" w:space="0" w:color="auto"/>
        <w:left w:val="none" w:sz="0" w:space="0" w:color="auto"/>
        <w:bottom w:val="none" w:sz="0" w:space="0" w:color="auto"/>
        <w:right w:val="none" w:sz="0" w:space="0" w:color="auto"/>
      </w:divBdr>
    </w:div>
    <w:div w:id="1323896587">
      <w:bodyDiv w:val="1"/>
      <w:marLeft w:val="0"/>
      <w:marRight w:val="0"/>
      <w:marTop w:val="0"/>
      <w:marBottom w:val="0"/>
      <w:divBdr>
        <w:top w:val="none" w:sz="0" w:space="0" w:color="auto"/>
        <w:left w:val="none" w:sz="0" w:space="0" w:color="auto"/>
        <w:bottom w:val="none" w:sz="0" w:space="0" w:color="auto"/>
        <w:right w:val="none" w:sz="0" w:space="0" w:color="auto"/>
      </w:divBdr>
    </w:div>
    <w:div w:id="1334213609">
      <w:bodyDiv w:val="1"/>
      <w:marLeft w:val="0"/>
      <w:marRight w:val="0"/>
      <w:marTop w:val="0"/>
      <w:marBottom w:val="0"/>
      <w:divBdr>
        <w:top w:val="none" w:sz="0" w:space="0" w:color="auto"/>
        <w:left w:val="none" w:sz="0" w:space="0" w:color="auto"/>
        <w:bottom w:val="none" w:sz="0" w:space="0" w:color="auto"/>
        <w:right w:val="none" w:sz="0" w:space="0" w:color="auto"/>
      </w:divBdr>
    </w:div>
    <w:div w:id="1349871020">
      <w:bodyDiv w:val="1"/>
      <w:marLeft w:val="0"/>
      <w:marRight w:val="0"/>
      <w:marTop w:val="0"/>
      <w:marBottom w:val="0"/>
      <w:divBdr>
        <w:top w:val="none" w:sz="0" w:space="0" w:color="auto"/>
        <w:left w:val="none" w:sz="0" w:space="0" w:color="auto"/>
        <w:bottom w:val="none" w:sz="0" w:space="0" w:color="auto"/>
        <w:right w:val="none" w:sz="0" w:space="0" w:color="auto"/>
      </w:divBdr>
    </w:div>
    <w:div w:id="1356230644">
      <w:bodyDiv w:val="1"/>
      <w:marLeft w:val="0"/>
      <w:marRight w:val="0"/>
      <w:marTop w:val="0"/>
      <w:marBottom w:val="0"/>
      <w:divBdr>
        <w:top w:val="none" w:sz="0" w:space="0" w:color="auto"/>
        <w:left w:val="none" w:sz="0" w:space="0" w:color="auto"/>
        <w:bottom w:val="none" w:sz="0" w:space="0" w:color="auto"/>
        <w:right w:val="none" w:sz="0" w:space="0" w:color="auto"/>
      </w:divBdr>
    </w:div>
    <w:div w:id="1367019520">
      <w:bodyDiv w:val="1"/>
      <w:marLeft w:val="0"/>
      <w:marRight w:val="0"/>
      <w:marTop w:val="0"/>
      <w:marBottom w:val="0"/>
      <w:divBdr>
        <w:top w:val="none" w:sz="0" w:space="0" w:color="auto"/>
        <w:left w:val="none" w:sz="0" w:space="0" w:color="auto"/>
        <w:bottom w:val="none" w:sz="0" w:space="0" w:color="auto"/>
        <w:right w:val="none" w:sz="0" w:space="0" w:color="auto"/>
      </w:divBdr>
    </w:div>
    <w:div w:id="1371370815">
      <w:bodyDiv w:val="1"/>
      <w:marLeft w:val="0"/>
      <w:marRight w:val="0"/>
      <w:marTop w:val="0"/>
      <w:marBottom w:val="0"/>
      <w:divBdr>
        <w:top w:val="none" w:sz="0" w:space="0" w:color="auto"/>
        <w:left w:val="none" w:sz="0" w:space="0" w:color="auto"/>
        <w:bottom w:val="none" w:sz="0" w:space="0" w:color="auto"/>
        <w:right w:val="none" w:sz="0" w:space="0" w:color="auto"/>
      </w:divBdr>
    </w:div>
    <w:div w:id="1384527383">
      <w:bodyDiv w:val="1"/>
      <w:marLeft w:val="0"/>
      <w:marRight w:val="0"/>
      <w:marTop w:val="0"/>
      <w:marBottom w:val="0"/>
      <w:divBdr>
        <w:top w:val="none" w:sz="0" w:space="0" w:color="auto"/>
        <w:left w:val="none" w:sz="0" w:space="0" w:color="auto"/>
        <w:bottom w:val="none" w:sz="0" w:space="0" w:color="auto"/>
        <w:right w:val="none" w:sz="0" w:space="0" w:color="auto"/>
      </w:divBdr>
    </w:div>
    <w:div w:id="1414157525">
      <w:bodyDiv w:val="1"/>
      <w:marLeft w:val="0"/>
      <w:marRight w:val="0"/>
      <w:marTop w:val="0"/>
      <w:marBottom w:val="0"/>
      <w:divBdr>
        <w:top w:val="none" w:sz="0" w:space="0" w:color="auto"/>
        <w:left w:val="none" w:sz="0" w:space="0" w:color="auto"/>
        <w:bottom w:val="none" w:sz="0" w:space="0" w:color="auto"/>
        <w:right w:val="none" w:sz="0" w:space="0" w:color="auto"/>
      </w:divBdr>
    </w:div>
    <w:div w:id="1415207194">
      <w:bodyDiv w:val="1"/>
      <w:marLeft w:val="0"/>
      <w:marRight w:val="0"/>
      <w:marTop w:val="0"/>
      <w:marBottom w:val="0"/>
      <w:divBdr>
        <w:top w:val="none" w:sz="0" w:space="0" w:color="auto"/>
        <w:left w:val="none" w:sz="0" w:space="0" w:color="auto"/>
        <w:bottom w:val="none" w:sz="0" w:space="0" w:color="auto"/>
        <w:right w:val="none" w:sz="0" w:space="0" w:color="auto"/>
      </w:divBdr>
    </w:div>
    <w:div w:id="1428116051">
      <w:bodyDiv w:val="1"/>
      <w:marLeft w:val="0"/>
      <w:marRight w:val="0"/>
      <w:marTop w:val="0"/>
      <w:marBottom w:val="0"/>
      <w:divBdr>
        <w:top w:val="none" w:sz="0" w:space="0" w:color="auto"/>
        <w:left w:val="none" w:sz="0" w:space="0" w:color="auto"/>
        <w:bottom w:val="none" w:sz="0" w:space="0" w:color="auto"/>
        <w:right w:val="none" w:sz="0" w:space="0" w:color="auto"/>
      </w:divBdr>
    </w:div>
    <w:div w:id="1440491915">
      <w:bodyDiv w:val="1"/>
      <w:marLeft w:val="0"/>
      <w:marRight w:val="0"/>
      <w:marTop w:val="0"/>
      <w:marBottom w:val="0"/>
      <w:divBdr>
        <w:top w:val="none" w:sz="0" w:space="0" w:color="auto"/>
        <w:left w:val="none" w:sz="0" w:space="0" w:color="auto"/>
        <w:bottom w:val="none" w:sz="0" w:space="0" w:color="auto"/>
        <w:right w:val="none" w:sz="0" w:space="0" w:color="auto"/>
      </w:divBdr>
      <w:divsChild>
        <w:div w:id="1490556148">
          <w:marLeft w:val="0"/>
          <w:marRight w:val="0"/>
          <w:marTop w:val="0"/>
          <w:marBottom w:val="0"/>
          <w:divBdr>
            <w:top w:val="none" w:sz="0" w:space="0" w:color="auto"/>
            <w:left w:val="none" w:sz="0" w:space="0" w:color="auto"/>
            <w:bottom w:val="none" w:sz="0" w:space="0" w:color="auto"/>
            <w:right w:val="none" w:sz="0" w:space="0" w:color="auto"/>
          </w:divBdr>
          <w:divsChild>
            <w:div w:id="2294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25003">
      <w:bodyDiv w:val="1"/>
      <w:marLeft w:val="0"/>
      <w:marRight w:val="0"/>
      <w:marTop w:val="0"/>
      <w:marBottom w:val="0"/>
      <w:divBdr>
        <w:top w:val="none" w:sz="0" w:space="0" w:color="auto"/>
        <w:left w:val="none" w:sz="0" w:space="0" w:color="auto"/>
        <w:bottom w:val="none" w:sz="0" w:space="0" w:color="auto"/>
        <w:right w:val="none" w:sz="0" w:space="0" w:color="auto"/>
      </w:divBdr>
    </w:div>
    <w:div w:id="1458255578">
      <w:bodyDiv w:val="1"/>
      <w:marLeft w:val="0"/>
      <w:marRight w:val="0"/>
      <w:marTop w:val="0"/>
      <w:marBottom w:val="0"/>
      <w:divBdr>
        <w:top w:val="none" w:sz="0" w:space="0" w:color="auto"/>
        <w:left w:val="none" w:sz="0" w:space="0" w:color="auto"/>
        <w:bottom w:val="none" w:sz="0" w:space="0" w:color="auto"/>
        <w:right w:val="none" w:sz="0" w:space="0" w:color="auto"/>
      </w:divBdr>
    </w:div>
    <w:div w:id="1487360630">
      <w:bodyDiv w:val="1"/>
      <w:marLeft w:val="0"/>
      <w:marRight w:val="0"/>
      <w:marTop w:val="0"/>
      <w:marBottom w:val="0"/>
      <w:divBdr>
        <w:top w:val="none" w:sz="0" w:space="0" w:color="auto"/>
        <w:left w:val="none" w:sz="0" w:space="0" w:color="auto"/>
        <w:bottom w:val="none" w:sz="0" w:space="0" w:color="auto"/>
        <w:right w:val="none" w:sz="0" w:space="0" w:color="auto"/>
      </w:divBdr>
    </w:div>
    <w:div w:id="1493330136">
      <w:bodyDiv w:val="1"/>
      <w:marLeft w:val="0"/>
      <w:marRight w:val="0"/>
      <w:marTop w:val="0"/>
      <w:marBottom w:val="0"/>
      <w:divBdr>
        <w:top w:val="none" w:sz="0" w:space="0" w:color="auto"/>
        <w:left w:val="none" w:sz="0" w:space="0" w:color="auto"/>
        <w:bottom w:val="none" w:sz="0" w:space="0" w:color="auto"/>
        <w:right w:val="none" w:sz="0" w:space="0" w:color="auto"/>
      </w:divBdr>
    </w:div>
    <w:div w:id="1497961632">
      <w:bodyDiv w:val="1"/>
      <w:marLeft w:val="0"/>
      <w:marRight w:val="0"/>
      <w:marTop w:val="0"/>
      <w:marBottom w:val="0"/>
      <w:divBdr>
        <w:top w:val="none" w:sz="0" w:space="0" w:color="auto"/>
        <w:left w:val="none" w:sz="0" w:space="0" w:color="auto"/>
        <w:bottom w:val="none" w:sz="0" w:space="0" w:color="auto"/>
        <w:right w:val="none" w:sz="0" w:space="0" w:color="auto"/>
      </w:divBdr>
    </w:div>
    <w:div w:id="1519852123">
      <w:bodyDiv w:val="1"/>
      <w:marLeft w:val="0"/>
      <w:marRight w:val="0"/>
      <w:marTop w:val="0"/>
      <w:marBottom w:val="0"/>
      <w:divBdr>
        <w:top w:val="none" w:sz="0" w:space="0" w:color="auto"/>
        <w:left w:val="none" w:sz="0" w:space="0" w:color="auto"/>
        <w:bottom w:val="none" w:sz="0" w:space="0" w:color="auto"/>
        <w:right w:val="none" w:sz="0" w:space="0" w:color="auto"/>
      </w:divBdr>
    </w:div>
    <w:div w:id="1528327504">
      <w:bodyDiv w:val="1"/>
      <w:marLeft w:val="0"/>
      <w:marRight w:val="0"/>
      <w:marTop w:val="0"/>
      <w:marBottom w:val="0"/>
      <w:divBdr>
        <w:top w:val="none" w:sz="0" w:space="0" w:color="auto"/>
        <w:left w:val="none" w:sz="0" w:space="0" w:color="auto"/>
        <w:bottom w:val="none" w:sz="0" w:space="0" w:color="auto"/>
        <w:right w:val="none" w:sz="0" w:space="0" w:color="auto"/>
      </w:divBdr>
    </w:div>
    <w:div w:id="1589660045">
      <w:bodyDiv w:val="1"/>
      <w:marLeft w:val="0"/>
      <w:marRight w:val="0"/>
      <w:marTop w:val="0"/>
      <w:marBottom w:val="0"/>
      <w:divBdr>
        <w:top w:val="none" w:sz="0" w:space="0" w:color="auto"/>
        <w:left w:val="none" w:sz="0" w:space="0" w:color="auto"/>
        <w:bottom w:val="none" w:sz="0" w:space="0" w:color="auto"/>
        <w:right w:val="none" w:sz="0" w:space="0" w:color="auto"/>
      </w:divBdr>
    </w:div>
    <w:div w:id="1591498966">
      <w:bodyDiv w:val="1"/>
      <w:marLeft w:val="0"/>
      <w:marRight w:val="0"/>
      <w:marTop w:val="0"/>
      <w:marBottom w:val="0"/>
      <w:divBdr>
        <w:top w:val="none" w:sz="0" w:space="0" w:color="auto"/>
        <w:left w:val="none" w:sz="0" w:space="0" w:color="auto"/>
        <w:bottom w:val="none" w:sz="0" w:space="0" w:color="auto"/>
        <w:right w:val="none" w:sz="0" w:space="0" w:color="auto"/>
      </w:divBdr>
      <w:divsChild>
        <w:div w:id="728529033">
          <w:marLeft w:val="0"/>
          <w:marRight w:val="0"/>
          <w:marTop w:val="0"/>
          <w:marBottom w:val="0"/>
          <w:divBdr>
            <w:top w:val="none" w:sz="0" w:space="0" w:color="auto"/>
            <w:left w:val="none" w:sz="0" w:space="0" w:color="auto"/>
            <w:bottom w:val="none" w:sz="0" w:space="0" w:color="auto"/>
            <w:right w:val="none" w:sz="0" w:space="0" w:color="auto"/>
          </w:divBdr>
          <w:divsChild>
            <w:div w:id="84529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41843">
      <w:bodyDiv w:val="1"/>
      <w:marLeft w:val="0"/>
      <w:marRight w:val="0"/>
      <w:marTop w:val="0"/>
      <w:marBottom w:val="0"/>
      <w:divBdr>
        <w:top w:val="none" w:sz="0" w:space="0" w:color="auto"/>
        <w:left w:val="none" w:sz="0" w:space="0" w:color="auto"/>
        <w:bottom w:val="none" w:sz="0" w:space="0" w:color="auto"/>
        <w:right w:val="none" w:sz="0" w:space="0" w:color="auto"/>
      </w:divBdr>
    </w:div>
    <w:div w:id="1663124183">
      <w:bodyDiv w:val="1"/>
      <w:marLeft w:val="0"/>
      <w:marRight w:val="0"/>
      <w:marTop w:val="0"/>
      <w:marBottom w:val="0"/>
      <w:divBdr>
        <w:top w:val="none" w:sz="0" w:space="0" w:color="auto"/>
        <w:left w:val="none" w:sz="0" w:space="0" w:color="auto"/>
        <w:bottom w:val="none" w:sz="0" w:space="0" w:color="auto"/>
        <w:right w:val="none" w:sz="0" w:space="0" w:color="auto"/>
      </w:divBdr>
    </w:div>
    <w:div w:id="1681348185">
      <w:bodyDiv w:val="1"/>
      <w:marLeft w:val="0"/>
      <w:marRight w:val="0"/>
      <w:marTop w:val="0"/>
      <w:marBottom w:val="0"/>
      <w:divBdr>
        <w:top w:val="none" w:sz="0" w:space="0" w:color="auto"/>
        <w:left w:val="none" w:sz="0" w:space="0" w:color="auto"/>
        <w:bottom w:val="none" w:sz="0" w:space="0" w:color="auto"/>
        <w:right w:val="none" w:sz="0" w:space="0" w:color="auto"/>
      </w:divBdr>
    </w:div>
    <w:div w:id="1702591257">
      <w:bodyDiv w:val="1"/>
      <w:marLeft w:val="0"/>
      <w:marRight w:val="0"/>
      <w:marTop w:val="0"/>
      <w:marBottom w:val="0"/>
      <w:divBdr>
        <w:top w:val="none" w:sz="0" w:space="0" w:color="auto"/>
        <w:left w:val="none" w:sz="0" w:space="0" w:color="auto"/>
        <w:bottom w:val="none" w:sz="0" w:space="0" w:color="auto"/>
        <w:right w:val="none" w:sz="0" w:space="0" w:color="auto"/>
      </w:divBdr>
    </w:div>
    <w:div w:id="1714235116">
      <w:bodyDiv w:val="1"/>
      <w:marLeft w:val="0"/>
      <w:marRight w:val="0"/>
      <w:marTop w:val="0"/>
      <w:marBottom w:val="0"/>
      <w:divBdr>
        <w:top w:val="none" w:sz="0" w:space="0" w:color="auto"/>
        <w:left w:val="none" w:sz="0" w:space="0" w:color="auto"/>
        <w:bottom w:val="none" w:sz="0" w:space="0" w:color="auto"/>
        <w:right w:val="none" w:sz="0" w:space="0" w:color="auto"/>
      </w:divBdr>
    </w:div>
    <w:div w:id="1728845620">
      <w:bodyDiv w:val="1"/>
      <w:marLeft w:val="0"/>
      <w:marRight w:val="0"/>
      <w:marTop w:val="0"/>
      <w:marBottom w:val="0"/>
      <w:divBdr>
        <w:top w:val="none" w:sz="0" w:space="0" w:color="auto"/>
        <w:left w:val="none" w:sz="0" w:space="0" w:color="auto"/>
        <w:bottom w:val="none" w:sz="0" w:space="0" w:color="auto"/>
        <w:right w:val="none" w:sz="0" w:space="0" w:color="auto"/>
      </w:divBdr>
    </w:div>
    <w:div w:id="1732919049">
      <w:bodyDiv w:val="1"/>
      <w:marLeft w:val="0"/>
      <w:marRight w:val="0"/>
      <w:marTop w:val="0"/>
      <w:marBottom w:val="0"/>
      <w:divBdr>
        <w:top w:val="none" w:sz="0" w:space="0" w:color="auto"/>
        <w:left w:val="none" w:sz="0" w:space="0" w:color="auto"/>
        <w:bottom w:val="none" w:sz="0" w:space="0" w:color="auto"/>
        <w:right w:val="none" w:sz="0" w:space="0" w:color="auto"/>
      </w:divBdr>
      <w:divsChild>
        <w:div w:id="760444562">
          <w:marLeft w:val="0"/>
          <w:marRight w:val="0"/>
          <w:marTop w:val="0"/>
          <w:marBottom w:val="0"/>
          <w:divBdr>
            <w:top w:val="none" w:sz="0" w:space="0" w:color="auto"/>
            <w:left w:val="none" w:sz="0" w:space="0" w:color="auto"/>
            <w:bottom w:val="none" w:sz="0" w:space="0" w:color="auto"/>
            <w:right w:val="none" w:sz="0" w:space="0" w:color="auto"/>
          </w:divBdr>
          <w:divsChild>
            <w:div w:id="402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81927">
      <w:bodyDiv w:val="1"/>
      <w:marLeft w:val="0"/>
      <w:marRight w:val="0"/>
      <w:marTop w:val="0"/>
      <w:marBottom w:val="0"/>
      <w:divBdr>
        <w:top w:val="none" w:sz="0" w:space="0" w:color="auto"/>
        <w:left w:val="none" w:sz="0" w:space="0" w:color="auto"/>
        <w:bottom w:val="none" w:sz="0" w:space="0" w:color="auto"/>
        <w:right w:val="none" w:sz="0" w:space="0" w:color="auto"/>
      </w:divBdr>
    </w:div>
    <w:div w:id="1743672633">
      <w:bodyDiv w:val="1"/>
      <w:marLeft w:val="0"/>
      <w:marRight w:val="0"/>
      <w:marTop w:val="0"/>
      <w:marBottom w:val="0"/>
      <w:divBdr>
        <w:top w:val="none" w:sz="0" w:space="0" w:color="auto"/>
        <w:left w:val="none" w:sz="0" w:space="0" w:color="auto"/>
        <w:bottom w:val="none" w:sz="0" w:space="0" w:color="auto"/>
        <w:right w:val="none" w:sz="0" w:space="0" w:color="auto"/>
      </w:divBdr>
    </w:div>
    <w:div w:id="1803378175">
      <w:bodyDiv w:val="1"/>
      <w:marLeft w:val="0"/>
      <w:marRight w:val="0"/>
      <w:marTop w:val="0"/>
      <w:marBottom w:val="0"/>
      <w:divBdr>
        <w:top w:val="none" w:sz="0" w:space="0" w:color="auto"/>
        <w:left w:val="none" w:sz="0" w:space="0" w:color="auto"/>
        <w:bottom w:val="none" w:sz="0" w:space="0" w:color="auto"/>
        <w:right w:val="none" w:sz="0" w:space="0" w:color="auto"/>
      </w:divBdr>
      <w:divsChild>
        <w:div w:id="84114650">
          <w:marLeft w:val="0"/>
          <w:marRight w:val="0"/>
          <w:marTop w:val="0"/>
          <w:marBottom w:val="0"/>
          <w:divBdr>
            <w:top w:val="none" w:sz="0" w:space="0" w:color="auto"/>
            <w:left w:val="none" w:sz="0" w:space="0" w:color="auto"/>
            <w:bottom w:val="none" w:sz="0" w:space="0" w:color="auto"/>
            <w:right w:val="none" w:sz="0" w:space="0" w:color="auto"/>
          </w:divBdr>
          <w:divsChild>
            <w:div w:id="153912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5179">
      <w:bodyDiv w:val="1"/>
      <w:marLeft w:val="0"/>
      <w:marRight w:val="0"/>
      <w:marTop w:val="0"/>
      <w:marBottom w:val="0"/>
      <w:divBdr>
        <w:top w:val="none" w:sz="0" w:space="0" w:color="auto"/>
        <w:left w:val="none" w:sz="0" w:space="0" w:color="auto"/>
        <w:bottom w:val="none" w:sz="0" w:space="0" w:color="auto"/>
        <w:right w:val="none" w:sz="0" w:space="0" w:color="auto"/>
      </w:divBdr>
    </w:div>
    <w:div w:id="1949005984">
      <w:bodyDiv w:val="1"/>
      <w:marLeft w:val="0"/>
      <w:marRight w:val="0"/>
      <w:marTop w:val="0"/>
      <w:marBottom w:val="0"/>
      <w:divBdr>
        <w:top w:val="none" w:sz="0" w:space="0" w:color="auto"/>
        <w:left w:val="none" w:sz="0" w:space="0" w:color="auto"/>
        <w:bottom w:val="none" w:sz="0" w:space="0" w:color="auto"/>
        <w:right w:val="none" w:sz="0" w:space="0" w:color="auto"/>
      </w:divBdr>
    </w:div>
    <w:div w:id="2000041901">
      <w:bodyDiv w:val="1"/>
      <w:marLeft w:val="0"/>
      <w:marRight w:val="0"/>
      <w:marTop w:val="0"/>
      <w:marBottom w:val="0"/>
      <w:divBdr>
        <w:top w:val="none" w:sz="0" w:space="0" w:color="auto"/>
        <w:left w:val="none" w:sz="0" w:space="0" w:color="auto"/>
        <w:bottom w:val="none" w:sz="0" w:space="0" w:color="auto"/>
        <w:right w:val="none" w:sz="0" w:space="0" w:color="auto"/>
      </w:divBdr>
    </w:div>
    <w:div w:id="2016570727">
      <w:bodyDiv w:val="1"/>
      <w:marLeft w:val="0"/>
      <w:marRight w:val="0"/>
      <w:marTop w:val="0"/>
      <w:marBottom w:val="0"/>
      <w:divBdr>
        <w:top w:val="none" w:sz="0" w:space="0" w:color="auto"/>
        <w:left w:val="none" w:sz="0" w:space="0" w:color="auto"/>
        <w:bottom w:val="none" w:sz="0" w:space="0" w:color="auto"/>
        <w:right w:val="none" w:sz="0" w:space="0" w:color="auto"/>
      </w:divBdr>
    </w:div>
    <w:div w:id="2033335058">
      <w:bodyDiv w:val="1"/>
      <w:marLeft w:val="0"/>
      <w:marRight w:val="0"/>
      <w:marTop w:val="0"/>
      <w:marBottom w:val="0"/>
      <w:divBdr>
        <w:top w:val="none" w:sz="0" w:space="0" w:color="auto"/>
        <w:left w:val="none" w:sz="0" w:space="0" w:color="auto"/>
        <w:bottom w:val="none" w:sz="0" w:space="0" w:color="auto"/>
        <w:right w:val="none" w:sz="0" w:space="0" w:color="auto"/>
      </w:divBdr>
    </w:div>
    <w:div w:id="2040936003">
      <w:bodyDiv w:val="1"/>
      <w:marLeft w:val="0"/>
      <w:marRight w:val="0"/>
      <w:marTop w:val="0"/>
      <w:marBottom w:val="0"/>
      <w:divBdr>
        <w:top w:val="none" w:sz="0" w:space="0" w:color="auto"/>
        <w:left w:val="none" w:sz="0" w:space="0" w:color="auto"/>
        <w:bottom w:val="none" w:sz="0" w:space="0" w:color="auto"/>
        <w:right w:val="none" w:sz="0" w:space="0" w:color="auto"/>
      </w:divBdr>
    </w:div>
    <w:div w:id="2043283038">
      <w:bodyDiv w:val="1"/>
      <w:marLeft w:val="0"/>
      <w:marRight w:val="0"/>
      <w:marTop w:val="0"/>
      <w:marBottom w:val="0"/>
      <w:divBdr>
        <w:top w:val="none" w:sz="0" w:space="0" w:color="auto"/>
        <w:left w:val="none" w:sz="0" w:space="0" w:color="auto"/>
        <w:bottom w:val="none" w:sz="0" w:space="0" w:color="auto"/>
        <w:right w:val="none" w:sz="0" w:space="0" w:color="auto"/>
      </w:divBdr>
    </w:div>
    <w:div w:id="2067871489">
      <w:bodyDiv w:val="1"/>
      <w:marLeft w:val="0"/>
      <w:marRight w:val="0"/>
      <w:marTop w:val="0"/>
      <w:marBottom w:val="0"/>
      <w:divBdr>
        <w:top w:val="none" w:sz="0" w:space="0" w:color="auto"/>
        <w:left w:val="none" w:sz="0" w:space="0" w:color="auto"/>
        <w:bottom w:val="none" w:sz="0" w:space="0" w:color="auto"/>
        <w:right w:val="none" w:sz="0" w:space="0" w:color="auto"/>
      </w:divBdr>
    </w:div>
    <w:div w:id="211794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AEM23</b:Tag>
    <b:SourceType>InternetSite</b:SourceType>
    <b:Guid>{6CD9A64F-5B3A-4012-82F4-3D65C69721E2}</b:Guid>
    <b:Author>
      <b:Author>
        <b:NameList>
          <b:Person>
            <b:Last>AEMO</b:Last>
          </b:Person>
        </b:NameList>
      </b:Author>
    </b:Author>
    <b:Title>Electricity demand and forecasting in the National Electricity Market</b:Title>
    <b:InternetSiteTitle>Australian Energy Market Operator</b:InternetSiteTitle>
    <b:Year>2023</b:Year>
    <b:URL>https://www.aemo.com.au</b:URL>
    <b:RefOrder>1</b:RefOrder>
  </b:Source>
  <b:Source>
    <b:Tag>Dos17</b:Tag>
    <b:SourceType>JournalArticle</b:SourceType>
    <b:Guid>{CA0F2BFA-ACC3-4D66-8B9E-463DA66B1E89}</b:Guid>
    <b:Title>Towards a rigorous science of interpretable machine learning</b:Title>
    <b:JournalName>arXiv preprint</b:JournalName>
    <b:Year>2017</b:Year>
    <b:Pages>1702.08608</b:Pages>
    <b:Author>
      <b:Author>
        <b:NameList>
          <b:Person>
            <b:Last>Doshi-Velez</b:Last>
            <b:First>F</b:First>
          </b:Person>
          <b:Person>
            <b:Last>Kim</b:Last>
            <b:First>B</b:First>
          </b:Person>
        </b:NameList>
      </b:Author>
    </b:Author>
    <b:RefOrder>10</b:RefOrder>
  </b:Source>
  <b:Source>
    <b:Tag>Hoc97</b:Tag>
    <b:SourceType>JournalArticle</b:SourceType>
    <b:Guid>{C7589800-25C3-4ACF-8282-A8450B0BF52E}</b:Guid>
    <b:Title>Long short-term memory</b:Title>
    <b:JournalName>Neural Computation</b:JournalName>
    <b:Year>1997</b:Year>
    <b:Pages>1735–1780</b:Pages>
    <b:Author>
      <b:Author>
        <b:NameList>
          <b:Person>
            <b:Last>Hochreiter</b:Last>
            <b:First>S</b:First>
          </b:Person>
          <b:Person>
            <b:Last>Schmidhuber</b:Last>
            <b:First>J</b:First>
          </b:Person>
        </b:NameList>
      </b:Author>
    </b:Author>
    <b:RefOrder>5</b:RefOrder>
  </b:Source>
  <b:Source>
    <b:Tag>IEA22</b:Tag>
    <b:SourceType>InternetSite</b:SourceType>
    <b:Guid>{8C5D4DB1-0B92-45D2-BB1F-235DC6B53385}</b:Guid>
    <b:Title>Electricity market report</b:Title>
    <b:Year>2022</b:Year>
    <b:Author>
      <b:Author>
        <b:NameList>
          <b:Person>
            <b:Last>IEA</b:Last>
          </b:Person>
        </b:NameList>
      </b:Author>
    </b:Author>
    <b:InternetSiteTitle>International Energy Agency</b:InternetSiteTitle>
    <b:URL>https://www.iea.org</b:URL>
    <b:RefOrder>3</b:RefOrder>
  </b:Source>
  <b:Source>
    <b:Tag>JRa71</b:Tag>
    <b:SourceType>JournalArticle</b:SourceType>
    <b:Guid>{176E3A28-94BA-4372-890C-FB26D2E75F32}</b:Guid>
    <b:Title>A theory of justice</b:Title>
    <b:Year>1971</b:Year>
    <b:Author>
      <b:Author>
        <b:NameList>
          <b:Person>
            <b:Last>Rawls</b:Last>
            <b:First>J</b:First>
          </b:Person>
        </b:NameList>
      </b:Author>
    </b:Author>
    <b:JournalName>Harvard University Press</b:JournalName>
    <b:RefOrder>7</b:RefOrder>
  </b:Source>
  <b:Source>
    <b:Tag>ASe99</b:Tag>
    <b:SourceType>JournalArticle</b:SourceType>
    <b:Guid>{61EEBD26-9B2B-4D27-BC3F-7E9AF5514885}</b:Guid>
    <b:Author>
      <b:Author>
        <b:NameList>
          <b:Person>
            <b:Last>Sen</b:Last>
            <b:First>A</b:First>
          </b:Person>
        </b:NameList>
      </b:Author>
    </b:Author>
    <b:Title>Development as freedom</b:Title>
    <b:JournalName>Oxford University Press</b:JournalName>
    <b:Year>1999</b:Year>
    <b:RefOrder>8</b:RefOrder>
  </b:Source>
  <b:Source>
    <b:Tag>UNS261</b:Tag>
    <b:SourceType>Misc</b:SourceType>
    <b:Guid>{B0D8DD8F-5C23-4051-95D3-812CA932AEE5}</b:Guid>
    <b:Author>
      <b:Author>
        <b:NameList>
          <b:Person>
            <b:Last>UNSW</b:Last>
          </b:Person>
        </b:NameList>
      </b:Author>
    </b:Author>
    <b:Title>Project report – Part A</b:Title>
    <b:PublicationTitle>Data impact evaluation guidelines</b:PublicationTitle>
    <b:Year>2026</b:Year>
    <b:RefOrder>11</b:RefOrder>
  </b:Source>
  <b:Source>
    <b:Tag>Zha98</b:Tag>
    <b:SourceType>JournalArticle</b:SourceType>
    <b:Guid>{57D04032-A84E-4761-91D6-7D89FE689904}</b:Guid>
    <b:Title>Forecasting with artificial neural networks: The state of the art</b:Title>
    <b:Year>1998</b:Year>
    <b:JournalName>International Journal of Forecasting</b:JournalName>
    <b:Pages>14(1), 35–62</b:Pages>
    <b:Author>
      <b:Author>
        <b:NameList>
          <b:Person>
            <b:Last>Zhang</b:Last>
            <b:First>G</b:First>
          </b:Person>
          <b:Person>
            <b:Last>Eddy Patuwo</b:Last>
            <b:First>B</b:First>
          </b:Person>
          <b:Person>
            <b:Last>Hu</b:Last>
            <b:First>M</b:First>
          </b:Person>
        </b:NameList>
      </b:Author>
    </b:Author>
    <b:RefOrder>6</b:RefOrder>
  </b:Source>
  <b:Source xmlns:b="http://schemas.openxmlformats.org/officeDocument/2006/bibliography">
    <b:Tag>Bro20</b:Tag>
    <b:SourceType>JournalArticle</b:SourceType>
    <b:Guid>{B829C6E8-B5E4-47F1-87EE-CA8AE781B425}</b:Guid>
    <b:Title>Language models are few-shot learners.</b:Title>
    <b:Year>2020</b:Year>
    <b:JournalName>Advances in Neural Information Processing Systems</b:JournalName>
    <b:Pages>1877–1901</b:Pages>
    <b:Author>
      <b:Author>
        <b:NameList>
          <b:Person>
            <b:Last>Brown</b:Last>
            <b:First>T</b:First>
          </b:Person>
          <b:Person>
            <b:Last>Mann</b:Last>
            <b:First>B</b:First>
          </b:Person>
          <b:Person>
            <b:Last>Ryder</b:Last>
            <b:First>N</b:First>
          </b:Person>
        </b:NameList>
      </b:Author>
    </b:Author>
    <b:RefOrder>9</b:RefOrder>
  </b:Source>
  <b:Source>
    <b:Tag>End21</b:Tag>
    <b:SourceType>JournalArticle</b:SourceType>
    <b:Guid>{D28A4584-A1FA-4C73-B95A-A38C3409E3C9}</b:Guid>
    <b:Title>Endgame Economics</b:Title>
    <b:JournalName>Electricity demand forecasting datasets and modelling approaches.</b:JournalName>
    <b:Year>2021</b:Year>
    <b:RefOrder>12</b:RefOrder>
  </b:Source>
  <b:Source>
    <b:Tag>Cli21</b:Tag>
    <b:SourceType>InternetSite</b:SourceType>
    <b:Guid>{612D3DFD-E73C-49FE-B4F0-84B55B782AAF}</b:Guid>
    <b:Title>Climate data online</b:Title>
    <b:Year>2021</b:Year>
    <b:InternetSiteTitle>Australian Bureau of Meteorology</b:InternetSiteTitle>
    <b:URL>http://www.bom.gov.au</b:URL>
    <b:RefOrder>2</b:RefOrder>
  </b:Source>
  <b:Source>
    <b:Tag>UNS26</b:Tag>
    <b:SourceType>JournalArticle</b:SourceType>
    <b:Guid>{E7DAB244-DA28-4A5F-9341-84F29106C4A3}</b:Guid>
    <b:Year>2026</b:Year>
    <b:Author>
      <b:Author>
        <b:NameList>
          <b:Person>
            <b:Last>UNSW</b:Last>
          </b:Person>
        </b:NameList>
      </b:Author>
    </b:Author>
    <b:PublicationTitle>Weeks 1–3</b:PublicationTitle>
    <b:InternetSiteTitle>Weeks 1–3</b:InternetSiteTitle>
    <b:Pages>Ethics course materials</b:Pages>
    <b:Title>ZZBU6505 Data and Ethics</b:Title>
    <b:RefOrder>4</b:RefOrder>
  </b:Source>
</b:Sources>
</file>

<file path=customXml/itemProps1.xml><?xml version="1.0" encoding="utf-8"?>
<ds:datastoreItem xmlns:ds="http://schemas.openxmlformats.org/officeDocument/2006/customXml" ds:itemID="{2AF3B9D2-3E96-41A0-B081-EB54A8D34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1905</TotalTime>
  <Pages>10</Pages>
  <Words>2824</Words>
  <Characters>16103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cp:revision>
  <cp:lastPrinted>2026-04-07T04:09:00Z</cp:lastPrinted>
  <dcterms:created xsi:type="dcterms:W3CDTF">2026-04-05T20:12:00Z</dcterms:created>
  <dcterms:modified xsi:type="dcterms:W3CDTF">2026-04-07T04:09:00Z</dcterms:modified>
</cp:coreProperties>
</file>