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E64" w:rsidRDefault="00041E64" w:rsidP="00041E64">
      <w:pPr>
        <w:spacing w:after="0"/>
        <w:jc w:val="center"/>
        <w:rPr>
          <w:rFonts w:asciiTheme="majorHAnsi" w:hAnsiTheme="majorHAnsi" w:cstheme="majorHAnsi"/>
          <w:b/>
          <w:smallCaps/>
          <w:sz w:val="60"/>
          <w:szCs w:val="60"/>
        </w:rPr>
      </w:pPr>
      <w:r w:rsidRPr="00041E64">
        <w:rPr>
          <w:rFonts w:asciiTheme="majorHAnsi" w:hAnsiTheme="majorHAnsi" w:cstheme="majorHAnsi"/>
          <w:b/>
          <w:smallCaps/>
          <w:sz w:val="64"/>
          <w:szCs w:val="64"/>
        </w:rPr>
        <w:t>Ethical Evaluation, Risk Asse</w:t>
      </w:r>
      <w:r w:rsidR="00A56029">
        <w:rPr>
          <w:rFonts w:asciiTheme="majorHAnsi" w:hAnsiTheme="majorHAnsi" w:cstheme="majorHAnsi"/>
          <w:b/>
          <w:smallCaps/>
          <w:sz w:val="64"/>
          <w:szCs w:val="64"/>
        </w:rPr>
        <w:t>ssment &amp; Recommendations for AI-B</w:t>
      </w:r>
      <w:r w:rsidRPr="00041E64">
        <w:rPr>
          <w:rFonts w:asciiTheme="majorHAnsi" w:hAnsiTheme="majorHAnsi" w:cstheme="majorHAnsi"/>
          <w:b/>
          <w:smallCaps/>
          <w:sz w:val="64"/>
          <w:szCs w:val="64"/>
        </w:rPr>
        <w:t xml:space="preserve">ased </w:t>
      </w:r>
      <w:r w:rsidRPr="00041E64">
        <w:rPr>
          <w:rFonts w:asciiTheme="majorHAnsi" w:hAnsiTheme="majorHAnsi" w:cstheme="majorHAnsi"/>
          <w:b/>
          <w:smallCaps/>
          <w:sz w:val="60"/>
          <w:szCs w:val="60"/>
        </w:rPr>
        <w:t>Electricity Demand Forecasting System</w:t>
      </w:r>
    </w:p>
    <w:p w:rsidR="00041E64" w:rsidRDefault="00041E64" w:rsidP="00041E64">
      <w:pPr>
        <w:spacing w:after="0"/>
        <w:jc w:val="center"/>
        <w:rPr>
          <w:rFonts w:asciiTheme="majorHAnsi" w:hAnsiTheme="majorHAnsi" w:cstheme="majorHAnsi"/>
          <w:b/>
          <w:smallCaps/>
          <w:sz w:val="60"/>
          <w:szCs w:val="60"/>
        </w:rPr>
      </w:pPr>
    </w:p>
    <w:p w:rsidR="00485355" w:rsidRDefault="00485355" w:rsidP="00041E64">
      <w:pPr>
        <w:spacing w:after="0"/>
        <w:jc w:val="center"/>
        <w:rPr>
          <w:rFonts w:asciiTheme="majorHAnsi" w:hAnsiTheme="majorHAnsi" w:cstheme="majorHAnsi"/>
          <w:b/>
          <w:smallCaps/>
          <w:sz w:val="60"/>
          <w:szCs w:val="60"/>
        </w:rPr>
      </w:pPr>
    </w:p>
    <w:p w:rsidR="00041E64" w:rsidRDefault="00485355" w:rsidP="00041E64">
      <w:pPr>
        <w:spacing w:after="0"/>
        <w:jc w:val="center"/>
        <w:rPr>
          <w:rFonts w:asciiTheme="majorHAnsi" w:hAnsiTheme="majorHAnsi" w:cstheme="majorHAnsi"/>
          <w:b/>
          <w:smallCaps/>
          <w:sz w:val="60"/>
          <w:szCs w:val="60"/>
        </w:rPr>
      </w:pPr>
      <w:r w:rsidRPr="00485355">
        <w:rPr>
          <w:rFonts w:asciiTheme="majorHAnsi" w:hAnsiTheme="majorHAnsi" w:cstheme="majorHAnsi"/>
          <w:b/>
          <w:smallCaps/>
          <w:noProof/>
          <w:sz w:val="60"/>
          <w:szCs w:val="60"/>
          <w:lang w:eastAsia="en-AU"/>
        </w:rPr>
        <w:drawing>
          <wp:inline distT="0" distB="0" distL="0" distR="0">
            <wp:extent cx="4524375" cy="3393541"/>
            <wp:effectExtent l="0" t="0" r="0" b="0"/>
            <wp:docPr id="1" name="Picture 1" descr="C:\Users\User\Downloads\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cover.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41490" cy="3406378"/>
                    </a:xfrm>
                    <a:prstGeom prst="rect">
                      <a:avLst/>
                    </a:prstGeom>
                    <a:noFill/>
                    <a:ln>
                      <a:noFill/>
                    </a:ln>
                  </pic:spPr>
                </pic:pic>
              </a:graphicData>
            </a:graphic>
          </wp:inline>
        </w:drawing>
      </w:r>
    </w:p>
    <w:p w:rsidR="00485355" w:rsidRDefault="00485355" w:rsidP="00613414">
      <w:pPr>
        <w:jc w:val="center"/>
        <w:rPr>
          <w:rFonts w:asciiTheme="majorHAnsi" w:hAnsiTheme="majorHAnsi" w:cstheme="majorHAnsi"/>
          <w:sz w:val="40"/>
        </w:rPr>
      </w:pPr>
    </w:p>
    <w:p w:rsidR="00485355" w:rsidRPr="00B053A2" w:rsidRDefault="00485355" w:rsidP="00666F3D">
      <w:pPr>
        <w:rPr>
          <w:rFonts w:asciiTheme="majorHAnsi" w:hAnsiTheme="majorHAnsi" w:cstheme="majorHAnsi"/>
          <w:sz w:val="40"/>
        </w:rPr>
      </w:pPr>
    </w:p>
    <w:tbl>
      <w:tblPr>
        <w:tblStyle w:val="TableGrid"/>
        <w:tblW w:w="6662" w:type="dxa"/>
        <w:jc w:val="center"/>
        <w:tblLook w:val="04A0" w:firstRow="1" w:lastRow="0" w:firstColumn="1" w:lastColumn="0" w:noHBand="0" w:noVBand="1"/>
      </w:tblPr>
      <w:tblGrid>
        <w:gridCol w:w="1701"/>
        <w:gridCol w:w="4961"/>
      </w:tblGrid>
      <w:tr w:rsidR="00613414" w:rsidRPr="000032AD" w:rsidTr="00666F3D">
        <w:trPr>
          <w:jc w:val="center"/>
        </w:trPr>
        <w:tc>
          <w:tcPr>
            <w:tcW w:w="1701" w:type="dxa"/>
          </w:tcPr>
          <w:p w:rsidR="00613414" w:rsidRPr="00666F3D" w:rsidRDefault="00613414" w:rsidP="00666F3D">
            <w:pPr>
              <w:rPr>
                <w:rFonts w:asciiTheme="majorHAnsi" w:hAnsiTheme="majorHAnsi" w:cstheme="majorHAnsi"/>
                <w:b/>
                <w:bCs/>
                <w:color w:val="262626" w:themeColor="text1" w:themeTint="D9"/>
                <w:szCs w:val="24"/>
              </w:rPr>
            </w:pPr>
            <w:r w:rsidRPr="00666F3D">
              <w:rPr>
                <w:rFonts w:asciiTheme="majorHAnsi" w:hAnsiTheme="majorHAnsi" w:cstheme="majorHAnsi"/>
                <w:b/>
                <w:bCs/>
                <w:color w:val="262626" w:themeColor="text1" w:themeTint="D9"/>
                <w:szCs w:val="24"/>
              </w:rPr>
              <w:t>Author</w:t>
            </w:r>
          </w:p>
        </w:tc>
        <w:tc>
          <w:tcPr>
            <w:tcW w:w="4961" w:type="dxa"/>
          </w:tcPr>
          <w:p w:rsidR="00613414" w:rsidRPr="00666F3D" w:rsidRDefault="00613414" w:rsidP="00666F3D">
            <w:pPr>
              <w:rPr>
                <w:rFonts w:asciiTheme="majorHAnsi" w:hAnsiTheme="majorHAnsi" w:cstheme="majorHAnsi"/>
                <w:color w:val="262626" w:themeColor="text1" w:themeTint="D9"/>
                <w:szCs w:val="24"/>
              </w:rPr>
            </w:pPr>
            <w:r w:rsidRPr="00666F3D">
              <w:rPr>
                <w:rFonts w:asciiTheme="majorHAnsi" w:hAnsiTheme="majorHAnsi" w:cstheme="majorHAnsi"/>
                <w:color w:val="262626" w:themeColor="text1" w:themeTint="D9"/>
                <w:szCs w:val="24"/>
              </w:rPr>
              <w:t>Anirban Chakrabarty</w:t>
            </w:r>
          </w:p>
        </w:tc>
      </w:tr>
      <w:tr w:rsidR="00613414" w:rsidRPr="000032AD" w:rsidTr="00666F3D">
        <w:trPr>
          <w:jc w:val="center"/>
        </w:trPr>
        <w:tc>
          <w:tcPr>
            <w:tcW w:w="1701" w:type="dxa"/>
          </w:tcPr>
          <w:p w:rsidR="00613414" w:rsidRPr="00666F3D" w:rsidRDefault="00613414" w:rsidP="00666F3D">
            <w:pPr>
              <w:rPr>
                <w:rFonts w:asciiTheme="majorHAnsi" w:hAnsiTheme="majorHAnsi" w:cstheme="majorHAnsi"/>
                <w:b/>
                <w:bCs/>
                <w:color w:val="262626" w:themeColor="text1" w:themeTint="D9"/>
                <w:szCs w:val="24"/>
              </w:rPr>
            </w:pPr>
            <w:r w:rsidRPr="00666F3D">
              <w:rPr>
                <w:rFonts w:asciiTheme="majorHAnsi" w:hAnsiTheme="majorHAnsi" w:cstheme="majorHAnsi"/>
                <w:b/>
                <w:bCs/>
                <w:color w:val="262626" w:themeColor="text1" w:themeTint="D9"/>
                <w:szCs w:val="24"/>
              </w:rPr>
              <w:t>zlD</w:t>
            </w:r>
          </w:p>
        </w:tc>
        <w:tc>
          <w:tcPr>
            <w:tcW w:w="4961" w:type="dxa"/>
          </w:tcPr>
          <w:p w:rsidR="00613414" w:rsidRPr="00666F3D" w:rsidRDefault="00613414" w:rsidP="00666F3D">
            <w:pPr>
              <w:rPr>
                <w:rFonts w:asciiTheme="majorHAnsi" w:hAnsiTheme="majorHAnsi" w:cstheme="majorHAnsi"/>
                <w:color w:val="262626" w:themeColor="text1" w:themeTint="D9"/>
                <w:szCs w:val="24"/>
              </w:rPr>
            </w:pPr>
            <w:r w:rsidRPr="00666F3D">
              <w:rPr>
                <w:rFonts w:asciiTheme="majorHAnsi" w:hAnsiTheme="majorHAnsi" w:cstheme="majorHAnsi"/>
                <w:color w:val="262626" w:themeColor="text1" w:themeTint="D9"/>
                <w:szCs w:val="24"/>
              </w:rPr>
              <w:t>z5626947</w:t>
            </w:r>
          </w:p>
        </w:tc>
      </w:tr>
      <w:tr w:rsidR="00613414" w:rsidRPr="000032AD" w:rsidTr="00666F3D">
        <w:trPr>
          <w:jc w:val="center"/>
        </w:trPr>
        <w:tc>
          <w:tcPr>
            <w:tcW w:w="1701" w:type="dxa"/>
          </w:tcPr>
          <w:p w:rsidR="00613414" w:rsidRPr="00666F3D" w:rsidRDefault="00613414" w:rsidP="00666F3D">
            <w:pPr>
              <w:rPr>
                <w:rFonts w:asciiTheme="majorHAnsi" w:hAnsiTheme="majorHAnsi" w:cstheme="majorHAnsi"/>
                <w:b/>
                <w:bCs/>
                <w:color w:val="262626" w:themeColor="text1" w:themeTint="D9"/>
                <w:szCs w:val="24"/>
              </w:rPr>
            </w:pPr>
            <w:r w:rsidRPr="00666F3D">
              <w:rPr>
                <w:rFonts w:asciiTheme="majorHAnsi" w:hAnsiTheme="majorHAnsi" w:cstheme="majorHAnsi"/>
                <w:b/>
                <w:bCs/>
                <w:color w:val="262626" w:themeColor="text1" w:themeTint="D9"/>
                <w:szCs w:val="24"/>
              </w:rPr>
              <w:t>Course</w:t>
            </w:r>
          </w:p>
        </w:tc>
        <w:tc>
          <w:tcPr>
            <w:tcW w:w="4961" w:type="dxa"/>
          </w:tcPr>
          <w:p w:rsidR="00613414" w:rsidRPr="00666F3D" w:rsidRDefault="00613414" w:rsidP="00666F3D">
            <w:pPr>
              <w:spacing w:line="278" w:lineRule="auto"/>
              <w:rPr>
                <w:rFonts w:asciiTheme="majorHAnsi" w:hAnsiTheme="majorHAnsi" w:cstheme="majorHAnsi"/>
                <w:color w:val="262626" w:themeColor="text1" w:themeTint="D9"/>
                <w:szCs w:val="24"/>
              </w:rPr>
            </w:pPr>
            <w:r w:rsidRPr="00666F3D">
              <w:rPr>
                <w:rFonts w:asciiTheme="majorHAnsi" w:hAnsiTheme="majorHAnsi" w:cstheme="majorHAnsi"/>
                <w:color w:val="000000"/>
                <w:szCs w:val="24"/>
                <w:shd w:val="clear" w:color="auto" w:fill="FFFFFF"/>
              </w:rPr>
              <w:t>ZZBU6505-Data and Ethics</w:t>
            </w:r>
            <w:r w:rsidRPr="00666F3D">
              <w:rPr>
                <w:rFonts w:asciiTheme="majorHAnsi" w:hAnsiTheme="majorHAnsi" w:cstheme="majorHAnsi"/>
                <w:color w:val="262626" w:themeColor="text1" w:themeTint="D9"/>
                <w:szCs w:val="24"/>
              </w:rPr>
              <w:t xml:space="preserve"> (H226 Online)</w:t>
            </w:r>
          </w:p>
        </w:tc>
      </w:tr>
      <w:tr w:rsidR="00613414" w:rsidRPr="000032AD" w:rsidTr="00666F3D">
        <w:trPr>
          <w:jc w:val="center"/>
        </w:trPr>
        <w:tc>
          <w:tcPr>
            <w:tcW w:w="1701" w:type="dxa"/>
          </w:tcPr>
          <w:p w:rsidR="00613414" w:rsidRPr="00666F3D" w:rsidRDefault="00613414" w:rsidP="00666F3D">
            <w:pPr>
              <w:rPr>
                <w:rFonts w:asciiTheme="majorHAnsi" w:hAnsiTheme="majorHAnsi" w:cstheme="majorHAnsi"/>
                <w:b/>
                <w:bCs/>
                <w:color w:val="262626" w:themeColor="text1" w:themeTint="D9"/>
                <w:szCs w:val="24"/>
              </w:rPr>
            </w:pPr>
            <w:r w:rsidRPr="00666F3D">
              <w:rPr>
                <w:rFonts w:asciiTheme="majorHAnsi" w:hAnsiTheme="majorHAnsi" w:cstheme="majorHAnsi"/>
                <w:b/>
                <w:bCs/>
                <w:color w:val="262626" w:themeColor="text1" w:themeTint="D9"/>
                <w:szCs w:val="24"/>
              </w:rPr>
              <w:t>Tutorial Time</w:t>
            </w:r>
          </w:p>
        </w:tc>
        <w:tc>
          <w:tcPr>
            <w:tcW w:w="4961" w:type="dxa"/>
          </w:tcPr>
          <w:p w:rsidR="00613414" w:rsidRPr="00666F3D" w:rsidRDefault="00613414" w:rsidP="00666F3D">
            <w:pPr>
              <w:rPr>
                <w:rFonts w:asciiTheme="majorHAnsi" w:hAnsiTheme="majorHAnsi" w:cstheme="majorHAnsi"/>
                <w:color w:val="262626" w:themeColor="text1" w:themeTint="D9"/>
                <w:szCs w:val="24"/>
              </w:rPr>
            </w:pPr>
            <w:r w:rsidRPr="00666F3D">
              <w:rPr>
                <w:rFonts w:asciiTheme="majorHAnsi" w:hAnsiTheme="majorHAnsi" w:cstheme="majorHAnsi"/>
                <w:color w:val="262626" w:themeColor="text1" w:themeTint="D9"/>
                <w:szCs w:val="24"/>
              </w:rPr>
              <w:t>March - April 2026</w:t>
            </w:r>
          </w:p>
        </w:tc>
      </w:tr>
      <w:tr w:rsidR="00613414" w:rsidRPr="000032AD" w:rsidTr="00666F3D">
        <w:trPr>
          <w:jc w:val="center"/>
        </w:trPr>
        <w:tc>
          <w:tcPr>
            <w:tcW w:w="1701" w:type="dxa"/>
          </w:tcPr>
          <w:p w:rsidR="00613414" w:rsidRPr="00666F3D" w:rsidRDefault="00613414" w:rsidP="00666F3D">
            <w:pPr>
              <w:rPr>
                <w:rFonts w:asciiTheme="majorHAnsi" w:hAnsiTheme="majorHAnsi" w:cstheme="majorHAnsi"/>
                <w:b/>
                <w:bCs/>
                <w:color w:val="262626" w:themeColor="text1" w:themeTint="D9"/>
                <w:szCs w:val="24"/>
              </w:rPr>
            </w:pPr>
            <w:r w:rsidRPr="00666F3D">
              <w:rPr>
                <w:rFonts w:asciiTheme="majorHAnsi" w:hAnsiTheme="majorHAnsi" w:cstheme="majorHAnsi"/>
                <w:b/>
                <w:bCs/>
                <w:color w:val="262626" w:themeColor="text1" w:themeTint="D9"/>
                <w:szCs w:val="24"/>
              </w:rPr>
              <w:t>Teaching Team</w:t>
            </w:r>
          </w:p>
        </w:tc>
        <w:tc>
          <w:tcPr>
            <w:tcW w:w="4961" w:type="dxa"/>
          </w:tcPr>
          <w:p w:rsidR="00613414" w:rsidRPr="00666F3D" w:rsidRDefault="00613414" w:rsidP="00666F3D">
            <w:pPr>
              <w:rPr>
                <w:rFonts w:ascii="Helvetica" w:hAnsi="Helvetica" w:cs="Times New Roman"/>
                <w:color w:val="333333"/>
                <w:szCs w:val="36"/>
              </w:rPr>
            </w:pPr>
            <w:r w:rsidRPr="00666F3D">
              <w:rPr>
                <w:rFonts w:asciiTheme="majorHAnsi" w:hAnsiTheme="majorHAnsi" w:cstheme="majorHAnsi"/>
                <w:color w:val="262626" w:themeColor="text1" w:themeTint="D9"/>
                <w:szCs w:val="24"/>
              </w:rPr>
              <w:t xml:space="preserve">Dr. Tracy Wilcox, Dr. Burcin Hatipoglu, </w:t>
            </w:r>
            <w:proofErr w:type="spellStart"/>
            <w:r w:rsidRPr="00666F3D">
              <w:rPr>
                <w:rFonts w:asciiTheme="majorHAnsi" w:hAnsiTheme="majorHAnsi" w:cstheme="majorHAnsi"/>
                <w:color w:val="262626" w:themeColor="text1" w:themeTint="D9"/>
                <w:szCs w:val="24"/>
              </w:rPr>
              <w:t>Nidal</w:t>
            </w:r>
            <w:proofErr w:type="spellEnd"/>
            <w:r w:rsidRPr="00666F3D">
              <w:rPr>
                <w:rFonts w:asciiTheme="majorHAnsi" w:hAnsiTheme="majorHAnsi" w:cstheme="majorHAnsi"/>
                <w:color w:val="262626" w:themeColor="text1" w:themeTint="D9"/>
                <w:szCs w:val="24"/>
              </w:rPr>
              <w:t xml:space="preserve"> Danoun</w:t>
            </w:r>
          </w:p>
        </w:tc>
      </w:tr>
      <w:tr w:rsidR="00613414" w:rsidRPr="000032AD" w:rsidTr="00666F3D">
        <w:trPr>
          <w:jc w:val="center"/>
        </w:trPr>
        <w:tc>
          <w:tcPr>
            <w:tcW w:w="1701" w:type="dxa"/>
          </w:tcPr>
          <w:p w:rsidR="00613414" w:rsidRPr="00666F3D" w:rsidRDefault="00613414" w:rsidP="00666F3D">
            <w:pPr>
              <w:rPr>
                <w:rFonts w:asciiTheme="majorHAnsi" w:hAnsiTheme="majorHAnsi" w:cstheme="majorHAnsi"/>
                <w:b/>
                <w:bCs/>
                <w:color w:val="262626" w:themeColor="text1" w:themeTint="D9"/>
                <w:szCs w:val="24"/>
              </w:rPr>
            </w:pPr>
            <w:r w:rsidRPr="00666F3D">
              <w:rPr>
                <w:rFonts w:asciiTheme="majorHAnsi" w:hAnsiTheme="majorHAnsi" w:cstheme="majorHAnsi"/>
                <w:b/>
                <w:bCs/>
                <w:color w:val="262626" w:themeColor="text1" w:themeTint="D9"/>
                <w:szCs w:val="24"/>
              </w:rPr>
              <w:t>Date</w:t>
            </w:r>
          </w:p>
        </w:tc>
        <w:tc>
          <w:tcPr>
            <w:tcW w:w="4961" w:type="dxa"/>
          </w:tcPr>
          <w:p w:rsidR="00613414" w:rsidRPr="00666F3D" w:rsidRDefault="00613414" w:rsidP="00666F3D">
            <w:pPr>
              <w:rPr>
                <w:rFonts w:asciiTheme="majorHAnsi" w:hAnsiTheme="majorHAnsi" w:cstheme="majorHAnsi"/>
                <w:color w:val="262626" w:themeColor="text1" w:themeTint="D9"/>
                <w:szCs w:val="24"/>
              </w:rPr>
            </w:pPr>
            <w:r w:rsidRPr="00666F3D">
              <w:rPr>
                <w:rFonts w:asciiTheme="majorHAnsi" w:hAnsiTheme="majorHAnsi" w:cstheme="majorHAnsi"/>
                <w:color w:val="262626" w:themeColor="text1" w:themeTint="D9"/>
                <w:szCs w:val="24"/>
              </w:rPr>
              <w:t>27/April/2026</w:t>
            </w:r>
          </w:p>
        </w:tc>
      </w:tr>
    </w:tbl>
    <w:p w:rsidR="00041E64" w:rsidRDefault="00041E64" w:rsidP="00666F3D">
      <w:pPr>
        <w:rPr>
          <w:rFonts w:asciiTheme="majorHAnsi" w:eastAsia="Times New Roman" w:hAnsiTheme="majorHAnsi" w:cstheme="majorHAnsi"/>
          <w:b/>
          <w:bCs/>
          <w:sz w:val="36"/>
          <w:szCs w:val="36"/>
          <w:lang w:eastAsia="en-AU"/>
        </w:rPr>
      </w:pPr>
      <w:r>
        <w:rPr>
          <w:rFonts w:asciiTheme="majorHAnsi" w:hAnsiTheme="majorHAnsi" w:cstheme="majorHAnsi"/>
        </w:rPr>
        <w:br w:type="page"/>
      </w:r>
    </w:p>
    <w:sdt>
      <w:sdtPr>
        <w:rPr>
          <w:rFonts w:asciiTheme="minorHAnsi" w:eastAsiaTheme="minorHAnsi" w:hAnsiTheme="minorHAnsi" w:cstheme="minorBidi"/>
          <w:color w:val="auto"/>
          <w:sz w:val="22"/>
          <w:szCs w:val="22"/>
          <w:lang w:val="en-AU"/>
        </w:rPr>
        <w:id w:val="2141059953"/>
        <w:docPartObj>
          <w:docPartGallery w:val="Table of Contents"/>
          <w:docPartUnique/>
        </w:docPartObj>
      </w:sdtPr>
      <w:sdtEndPr>
        <w:rPr>
          <w:b/>
          <w:bCs/>
          <w:noProof/>
        </w:rPr>
      </w:sdtEndPr>
      <w:sdtContent>
        <w:p w:rsidR="00AF5666" w:rsidRDefault="00AF5666">
          <w:pPr>
            <w:pStyle w:val="TOCHeading"/>
          </w:pPr>
          <w:r>
            <w:t>Contents</w:t>
          </w:r>
        </w:p>
        <w:p w:rsidR="003418FE" w:rsidRPr="003418FE" w:rsidRDefault="00AF5666">
          <w:pPr>
            <w:pStyle w:val="TOC2"/>
            <w:tabs>
              <w:tab w:val="right" w:leader="dot" w:pos="9016"/>
            </w:tabs>
            <w:rPr>
              <w:rFonts w:asciiTheme="majorHAnsi" w:eastAsiaTheme="minorEastAsia" w:hAnsiTheme="majorHAnsi" w:cstheme="majorHAnsi"/>
              <w:noProof/>
              <w:lang w:eastAsia="en-AU"/>
            </w:rPr>
          </w:pPr>
          <w:r w:rsidRPr="003418FE">
            <w:rPr>
              <w:rFonts w:asciiTheme="majorHAnsi" w:hAnsiTheme="majorHAnsi" w:cstheme="majorHAnsi"/>
              <w:bCs/>
              <w:noProof/>
            </w:rPr>
            <w:fldChar w:fldCharType="begin"/>
          </w:r>
          <w:r w:rsidRPr="003418FE">
            <w:rPr>
              <w:rFonts w:asciiTheme="majorHAnsi" w:hAnsiTheme="majorHAnsi" w:cstheme="majorHAnsi"/>
              <w:bCs/>
              <w:noProof/>
            </w:rPr>
            <w:instrText xml:space="preserve"> TOC \o "1-3" \h \z \u </w:instrText>
          </w:r>
          <w:r w:rsidRPr="003418FE">
            <w:rPr>
              <w:rFonts w:asciiTheme="majorHAnsi" w:hAnsiTheme="majorHAnsi" w:cstheme="majorHAnsi"/>
              <w:bCs/>
              <w:noProof/>
            </w:rPr>
            <w:fldChar w:fldCharType="separate"/>
          </w:r>
          <w:hyperlink w:anchor="_Toc228144790" w:history="1">
            <w:r w:rsidR="003418FE" w:rsidRPr="003418FE">
              <w:rPr>
                <w:rStyle w:val="Hyperlink"/>
                <w:rFonts w:asciiTheme="majorHAnsi" w:hAnsiTheme="majorHAnsi" w:cstheme="majorHAnsi"/>
                <w:noProof/>
              </w:rPr>
              <w:t>1. Introduction and Application of Ethical Frameworks</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_Toc228144790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sidR="00532998">
              <w:rPr>
                <w:rFonts w:asciiTheme="majorHAnsi" w:hAnsiTheme="majorHAnsi" w:cstheme="majorHAnsi"/>
                <w:noProof/>
                <w:webHidden/>
              </w:rPr>
              <w:t>3</w:t>
            </w:r>
            <w:r w:rsidR="003418FE" w:rsidRPr="003418FE">
              <w:rPr>
                <w:rFonts w:asciiTheme="majorHAnsi" w:hAnsiTheme="majorHAnsi" w:cstheme="majorHAnsi"/>
                <w:noProof/>
                <w:webHidden/>
              </w:rPr>
              <w:fldChar w:fldCharType="end"/>
            </w:r>
          </w:hyperlink>
        </w:p>
        <w:p w:rsidR="003418FE" w:rsidRPr="003418FE" w:rsidRDefault="00532998">
          <w:pPr>
            <w:pStyle w:val="TOC2"/>
            <w:tabs>
              <w:tab w:val="right" w:leader="dot" w:pos="9016"/>
            </w:tabs>
            <w:rPr>
              <w:rFonts w:asciiTheme="majorHAnsi" w:eastAsiaTheme="minorEastAsia" w:hAnsiTheme="majorHAnsi" w:cstheme="majorHAnsi"/>
              <w:noProof/>
              <w:lang w:eastAsia="en-AU"/>
            </w:rPr>
          </w:pPr>
          <w:hyperlink w:anchor="_Toc228144791" w:history="1">
            <w:r w:rsidR="003418FE" w:rsidRPr="003418FE">
              <w:rPr>
                <w:rStyle w:val="Hyperlink"/>
                <w:rFonts w:asciiTheme="majorHAnsi" w:hAnsiTheme="majorHAnsi" w:cstheme="majorHAnsi"/>
                <w:noProof/>
              </w:rPr>
              <w:t>2. Legal and Regulatory Considerations</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_Toc228144791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4</w:t>
            </w:r>
            <w:r w:rsidR="003418FE" w:rsidRPr="003418FE">
              <w:rPr>
                <w:rFonts w:asciiTheme="majorHAnsi" w:hAnsiTheme="majorHAnsi" w:cstheme="majorHAnsi"/>
                <w:noProof/>
                <w:webHidden/>
              </w:rPr>
              <w:fldChar w:fldCharType="end"/>
            </w:r>
          </w:hyperlink>
        </w:p>
        <w:p w:rsidR="003418FE" w:rsidRPr="003418FE" w:rsidRDefault="00532998">
          <w:pPr>
            <w:pStyle w:val="TOC2"/>
            <w:tabs>
              <w:tab w:val="right" w:leader="dot" w:pos="9016"/>
            </w:tabs>
            <w:rPr>
              <w:rFonts w:asciiTheme="majorHAnsi" w:eastAsiaTheme="minorEastAsia" w:hAnsiTheme="majorHAnsi" w:cstheme="majorHAnsi"/>
              <w:noProof/>
              <w:lang w:eastAsia="en-AU"/>
            </w:rPr>
          </w:pPr>
          <w:hyperlink w:anchor="_Toc228144792" w:history="1">
            <w:r w:rsidR="003418FE" w:rsidRPr="003418FE">
              <w:rPr>
                <w:rStyle w:val="Hyperlink"/>
                <w:rFonts w:asciiTheme="majorHAnsi" w:hAnsiTheme="majorHAnsi" w:cstheme="majorHAnsi"/>
                <w:noProof/>
              </w:rPr>
              <w:t>3. Risk Assessment</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_Toc228144792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5</w:t>
            </w:r>
            <w:r w:rsidR="003418FE" w:rsidRPr="003418FE">
              <w:rPr>
                <w:rFonts w:asciiTheme="majorHAnsi" w:hAnsiTheme="majorHAnsi" w:cstheme="majorHAnsi"/>
                <w:noProof/>
                <w:webHidden/>
              </w:rPr>
              <w:fldChar w:fldCharType="end"/>
            </w:r>
          </w:hyperlink>
        </w:p>
        <w:p w:rsidR="003418FE" w:rsidRPr="003418FE" w:rsidRDefault="00532998">
          <w:pPr>
            <w:pStyle w:val="TOC2"/>
            <w:tabs>
              <w:tab w:val="right" w:leader="dot" w:pos="9016"/>
            </w:tabs>
            <w:rPr>
              <w:rFonts w:asciiTheme="majorHAnsi" w:eastAsiaTheme="minorEastAsia" w:hAnsiTheme="majorHAnsi" w:cstheme="majorHAnsi"/>
              <w:noProof/>
              <w:lang w:eastAsia="en-AU"/>
            </w:rPr>
          </w:pPr>
          <w:hyperlink w:anchor="_Toc228144793" w:history="1">
            <w:r w:rsidR="003418FE" w:rsidRPr="003418FE">
              <w:rPr>
                <w:rStyle w:val="Hyperlink"/>
                <w:rFonts w:asciiTheme="majorHAnsi" w:hAnsiTheme="majorHAnsi" w:cstheme="majorHAnsi"/>
                <w:noProof/>
              </w:rPr>
              <w:t>4. Recommendations</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_Toc228144793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7</w:t>
            </w:r>
            <w:r w:rsidR="003418FE" w:rsidRPr="003418FE">
              <w:rPr>
                <w:rFonts w:asciiTheme="majorHAnsi" w:hAnsiTheme="majorHAnsi" w:cstheme="majorHAnsi"/>
                <w:noProof/>
                <w:webHidden/>
              </w:rPr>
              <w:fldChar w:fldCharType="end"/>
            </w:r>
          </w:hyperlink>
        </w:p>
        <w:p w:rsidR="003418FE" w:rsidRPr="003418FE" w:rsidRDefault="00532998">
          <w:pPr>
            <w:pStyle w:val="TOC3"/>
            <w:tabs>
              <w:tab w:val="left" w:pos="1100"/>
              <w:tab w:val="right" w:leader="dot" w:pos="9016"/>
            </w:tabs>
            <w:rPr>
              <w:rFonts w:asciiTheme="majorHAnsi" w:eastAsiaTheme="minorEastAsia" w:hAnsiTheme="majorHAnsi" w:cstheme="majorHAnsi"/>
              <w:noProof/>
              <w:lang w:eastAsia="en-AU"/>
            </w:rPr>
          </w:pPr>
          <w:hyperlink w:anchor="_Toc228144794" w:history="1">
            <w:r w:rsidR="003418FE" w:rsidRPr="003418FE">
              <w:rPr>
                <w:rStyle w:val="Hyperlink"/>
                <w:rFonts w:asciiTheme="majorHAnsi" w:eastAsia="Times New Roman" w:hAnsiTheme="majorHAnsi" w:cstheme="majorHAnsi"/>
                <w:noProof/>
                <w:lang w:eastAsia="en-AU"/>
              </w:rPr>
              <w:t>4.1.</w:t>
            </w:r>
            <w:r w:rsidR="003418FE" w:rsidRPr="003418FE">
              <w:rPr>
                <w:rFonts w:asciiTheme="majorHAnsi" w:eastAsiaTheme="minorEastAsia" w:hAnsiTheme="majorHAnsi" w:cstheme="majorHAnsi"/>
                <w:noProof/>
                <w:lang w:eastAsia="en-AU"/>
              </w:rPr>
              <w:tab/>
            </w:r>
            <w:r w:rsidR="003418FE" w:rsidRPr="003418FE">
              <w:rPr>
                <w:rStyle w:val="Hyperlink"/>
                <w:rFonts w:asciiTheme="majorHAnsi" w:eastAsia="Times New Roman" w:hAnsiTheme="majorHAnsi" w:cstheme="majorHAnsi"/>
                <w:noProof/>
                <w:lang w:eastAsia="en-AU"/>
              </w:rPr>
              <w:t>Implement fairness and bias auditing throughout the model lifecycle</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_Toc228144794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7</w:t>
            </w:r>
            <w:r w:rsidR="003418FE" w:rsidRPr="003418FE">
              <w:rPr>
                <w:rFonts w:asciiTheme="majorHAnsi" w:hAnsiTheme="majorHAnsi" w:cstheme="majorHAnsi"/>
                <w:noProof/>
                <w:webHidden/>
              </w:rPr>
              <w:fldChar w:fldCharType="end"/>
            </w:r>
          </w:hyperlink>
        </w:p>
        <w:p w:rsidR="003418FE" w:rsidRPr="003418FE" w:rsidRDefault="00532998">
          <w:pPr>
            <w:pStyle w:val="TOC3"/>
            <w:tabs>
              <w:tab w:val="left" w:pos="1100"/>
              <w:tab w:val="right" w:leader="dot" w:pos="9016"/>
            </w:tabs>
            <w:rPr>
              <w:rFonts w:asciiTheme="majorHAnsi" w:eastAsiaTheme="minorEastAsia" w:hAnsiTheme="majorHAnsi" w:cstheme="majorHAnsi"/>
              <w:noProof/>
              <w:lang w:eastAsia="en-AU"/>
            </w:rPr>
          </w:pPr>
          <w:hyperlink w:anchor="_Toc228144795" w:history="1">
            <w:r w:rsidR="003418FE" w:rsidRPr="003418FE">
              <w:rPr>
                <w:rStyle w:val="Hyperlink"/>
                <w:rFonts w:asciiTheme="majorHAnsi" w:eastAsia="Times New Roman" w:hAnsiTheme="majorHAnsi" w:cstheme="majorHAnsi"/>
                <w:noProof/>
                <w:lang w:eastAsia="en-AU"/>
              </w:rPr>
              <w:t>4.2.</w:t>
            </w:r>
            <w:r w:rsidR="003418FE" w:rsidRPr="003418FE">
              <w:rPr>
                <w:rFonts w:asciiTheme="majorHAnsi" w:eastAsiaTheme="minorEastAsia" w:hAnsiTheme="majorHAnsi" w:cstheme="majorHAnsi"/>
                <w:noProof/>
                <w:lang w:eastAsia="en-AU"/>
              </w:rPr>
              <w:tab/>
            </w:r>
            <w:r w:rsidR="003418FE" w:rsidRPr="003418FE">
              <w:rPr>
                <w:rStyle w:val="Hyperlink"/>
                <w:rFonts w:asciiTheme="majorHAnsi" w:eastAsia="Times New Roman" w:hAnsiTheme="majorHAnsi" w:cstheme="majorHAnsi"/>
                <w:noProof/>
                <w:lang w:eastAsia="en-AU"/>
              </w:rPr>
              <w:t>Strengthen data governance and privacy protection mechanisms</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_Toc228144795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7</w:t>
            </w:r>
            <w:r w:rsidR="003418FE" w:rsidRPr="003418FE">
              <w:rPr>
                <w:rFonts w:asciiTheme="majorHAnsi" w:hAnsiTheme="majorHAnsi" w:cstheme="majorHAnsi"/>
                <w:noProof/>
                <w:webHidden/>
              </w:rPr>
              <w:fldChar w:fldCharType="end"/>
            </w:r>
          </w:hyperlink>
        </w:p>
        <w:p w:rsidR="003418FE" w:rsidRPr="003418FE" w:rsidRDefault="00532998">
          <w:pPr>
            <w:pStyle w:val="TOC3"/>
            <w:tabs>
              <w:tab w:val="left" w:pos="1100"/>
              <w:tab w:val="right" w:leader="dot" w:pos="9016"/>
            </w:tabs>
            <w:rPr>
              <w:rFonts w:asciiTheme="majorHAnsi" w:eastAsiaTheme="minorEastAsia" w:hAnsiTheme="majorHAnsi" w:cstheme="majorHAnsi"/>
              <w:noProof/>
              <w:lang w:eastAsia="en-AU"/>
            </w:rPr>
          </w:pPr>
          <w:hyperlink w:anchor="_Toc228144796" w:history="1">
            <w:r w:rsidR="003418FE" w:rsidRPr="003418FE">
              <w:rPr>
                <w:rStyle w:val="Hyperlink"/>
                <w:rFonts w:asciiTheme="majorHAnsi" w:eastAsia="Times New Roman" w:hAnsiTheme="majorHAnsi" w:cstheme="majorHAnsi"/>
                <w:noProof/>
                <w:lang w:eastAsia="en-AU"/>
              </w:rPr>
              <w:t>4.3.</w:t>
            </w:r>
            <w:r w:rsidR="003418FE" w:rsidRPr="003418FE">
              <w:rPr>
                <w:rFonts w:asciiTheme="majorHAnsi" w:eastAsiaTheme="minorEastAsia" w:hAnsiTheme="majorHAnsi" w:cstheme="majorHAnsi"/>
                <w:noProof/>
                <w:lang w:eastAsia="en-AU"/>
              </w:rPr>
              <w:tab/>
            </w:r>
            <w:r w:rsidR="003418FE" w:rsidRPr="003418FE">
              <w:rPr>
                <w:rStyle w:val="Hyperlink"/>
                <w:rFonts w:asciiTheme="majorHAnsi" w:eastAsia="Times New Roman" w:hAnsiTheme="majorHAnsi" w:cstheme="majorHAnsi"/>
                <w:noProof/>
                <w:lang w:eastAsia="en-AU"/>
              </w:rPr>
              <w:t>Establish independent oversight and stakeholder participation</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_Toc228144796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7</w:t>
            </w:r>
            <w:r w:rsidR="003418FE" w:rsidRPr="003418FE">
              <w:rPr>
                <w:rFonts w:asciiTheme="majorHAnsi" w:hAnsiTheme="majorHAnsi" w:cstheme="majorHAnsi"/>
                <w:noProof/>
                <w:webHidden/>
              </w:rPr>
              <w:fldChar w:fldCharType="end"/>
            </w:r>
          </w:hyperlink>
        </w:p>
        <w:p w:rsidR="003418FE" w:rsidRPr="003418FE" w:rsidRDefault="00532998">
          <w:pPr>
            <w:pStyle w:val="TOC3"/>
            <w:tabs>
              <w:tab w:val="left" w:pos="1100"/>
              <w:tab w:val="right" w:leader="dot" w:pos="9016"/>
            </w:tabs>
            <w:rPr>
              <w:rFonts w:asciiTheme="majorHAnsi" w:eastAsiaTheme="minorEastAsia" w:hAnsiTheme="majorHAnsi" w:cstheme="majorHAnsi"/>
              <w:noProof/>
              <w:lang w:eastAsia="en-AU"/>
            </w:rPr>
          </w:pPr>
          <w:hyperlink w:anchor="_Toc228144797" w:history="1">
            <w:r w:rsidR="003418FE" w:rsidRPr="003418FE">
              <w:rPr>
                <w:rStyle w:val="Hyperlink"/>
                <w:rFonts w:asciiTheme="majorHAnsi" w:eastAsia="Times New Roman" w:hAnsiTheme="majorHAnsi" w:cstheme="majorHAnsi"/>
                <w:noProof/>
                <w:lang w:eastAsia="en-AU"/>
              </w:rPr>
              <w:t>4.4.</w:t>
            </w:r>
            <w:r w:rsidR="003418FE" w:rsidRPr="003418FE">
              <w:rPr>
                <w:rFonts w:asciiTheme="majorHAnsi" w:eastAsiaTheme="minorEastAsia" w:hAnsiTheme="majorHAnsi" w:cstheme="majorHAnsi"/>
                <w:noProof/>
                <w:lang w:eastAsia="en-AU"/>
              </w:rPr>
              <w:tab/>
            </w:r>
            <w:r w:rsidR="003418FE" w:rsidRPr="003418FE">
              <w:rPr>
                <w:rStyle w:val="Hyperlink"/>
                <w:rFonts w:asciiTheme="majorHAnsi" w:eastAsia="Times New Roman" w:hAnsiTheme="majorHAnsi" w:cstheme="majorHAnsi"/>
                <w:noProof/>
                <w:lang w:eastAsia="en-AU"/>
              </w:rPr>
              <w:t>Develop operational resilience through continuous monitoring &amp; contingency planning</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_Toc228144797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7</w:t>
            </w:r>
            <w:r w:rsidR="003418FE" w:rsidRPr="003418FE">
              <w:rPr>
                <w:rFonts w:asciiTheme="majorHAnsi" w:hAnsiTheme="majorHAnsi" w:cstheme="majorHAnsi"/>
                <w:noProof/>
                <w:webHidden/>
              </w:rPr>
              <w:fldChar w:fldCharType="end"/>
            </w:r>
          </w:hyperlink>
        </w:p>
        <w:p w:rsidR="003418FE" w:rsidRPr="003418FE" w:rsidRDefault="00532998">
          <w:pPr>
            <w:pStyle w:val="TOC2"/>
            <w:tabs>
              <w:tab w:val="right" w:leader="dot" w:pos="9016"/>
            </w:tabs>
            <w:rPr>
              <w:rFonts w:asciiTheme="majorHAnsi" w:eastAsiaTheme="minorEastAsia" w:hAnsiTheme="majorHAnsi" w:cstheme="majorHAnsi"/>
              <w:noProof/>
              <w:lang w:eastAsia="en-AU"/>
            </w:rPr>
          </w:pPr>
          <w:hyperlink w:anchor="_Toc228144798" w:history="1">
            <w:r w:rsidR="003418FE" w:rsidRPr="003418FE">
              <w:rPr>
                <w:rStyle w:val="Hyperlink"/>
                <w:rFonts w:asciiTheme="majorHAnsi" w:hAnsiTheme="majorHAnsi" w:cstheme="majorHAnsi"/>
                <w:noProof/>
              </w:rPr>
              <w:t>References</w:t>
            </w:r>
            <w:r w:rsidR="00A710CA">
              <w:rPr>
                <w:rStyle w:val="Hyperlink"/>
                <w:rFonts w:asciiTheme="majorHAnsi" w:hAnsiTheme="majorHAnsi" w:cstheme="majorHAnsi"/>
                <w:noProof/>
              </w:rPr>
              <w:t xml:space="preserve"> and AI Use Acknowledgement</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_Toc228144798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8</w:t>
            </w:r>
            <w:r w:rsidR="003418FE" w:rsidRPr="003418FE">
              <w:rPr>
                <w:rFonts w:asciiTheme="majorHAnsi" w:hAnsiTheme="majorHAnsi" w:cstheme="majorHAnsi"/>
                <w:noProof/>
                <w:webHidden/>
              </w:rPr>
              <w:fldChar w:fldCharType="end"/>
            </w:r>
          </w:hyperlink>
        </w:p>
        <w:p w:rsidR="003418FE" w:rsidRPr="003418FE" w:rsidRDefault="00532998">
          <w:pPr>
            <w:pStyle w:val="TOC3"/>
            <w:tabs>
              <w:tab w:val="right" w:leader="dot" w:pos="9016"/>
            </w:tabs>
            <w:rPr>
              <w:rFonts w:asciiTheme="majorHAnsi" w:eastAsiaTheme="minorEastAsia" w:hAnsiTheme="majorHAnsi" w:cstheme="majorHAnsi"/>
              <w:noProof/>
              <w:lang w:eastAsia="en-AU"/>
            </w:rPr>
          </w:pPr>
          <w:hyperlink w:anchor="_Toc228144799" w:history="1">
            <w:r w:rsidR="0050038C">
              <w:rPr>
                <w:rStyle w:val="Hyperlink"/>
                <w:rFonts w:asciiTheme="majorHAnsi" w:eastAsia="Times New Roman" w:hAnsiTheme="majorHAnsi" w:cstheme="majorHAnsi"/>
                <w:noProof/>
                <w:lang w:eastAsia="en-AU"/>
              </w:rPr>
              <w:t>References</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_Toc228144799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8</w:t>
            </w:r>
            <w:r w:rsidR="003418FE" w:rsidRPr="003418FE">
              <w:rPr>
                <w:rFonts w:asciiTheme="majorHAnsi" w:hAnsiTheme="majorHAnsi" w:cstheme="majorHAnsi"/>
                <w:noProof/>
                <w:webHidden/>
              </w:rPr>
              <w:fldChar w:fldCharType="end"/>
            </w:r>
          </w:hyperlink>
        </w:p>
        <w:p w:rsidR="003418FE" w:rsidRPr="003418FE" w:rsidRDefault="00532998">
          <w:pPr>
            <w:pStyle w:val="TOC3"/>
            <w:tabs>
              <w:tab w:val="right" w:leader="dot" w:pos="9016"/>
            </w:tabs>
            <w:rPr>
              <w:rFonts w:asciiTheme="majorHAnsi" w:eastAsiaTheme="minorEastAsia" w:hAnsiTheme="majorHAnsi" w:cstheme="majorHAnsi"/>
              <w:noProof/>
              <w:lang w:eastAsia="en-AU"/>
            </w:rPr>
          </w:pPr>
          <w:hyperlink w:anchor="_Toc228144800" w:history="1">
            <w:r w:rsidR="003418FE" w:rsidRPr="003418FE">
              <w:rPr>
                <w:rStyle w:val="Hyperlink"/>
                <w:rFonts w:asciiTheme="majorHAnsi" w:eastAsia="Times New Roman" w:hAnsiTheme="majorHAnsi" w:cstheme="majorHAnsi"/>
                <w:noProof/>
                <w:lang w:eastAsia="en-AU"/>
              </w:rPr>
              <w:t>Use of Artificial Intelligence (AI) and Its Limitations</w:t>
            </w:r>
            <w:r w:rsidR="003418FE" w:rsidRPr="003418FE">
              <w:rPr>
                <w:rFonts w:asciiTheme="majorHAnsi" w:hAnsiTheme="majorHAnsi" w:cstheme="majorHAnsi"/>
                <w:noProof/>
                <w:webHidden/>
              </w:rPr>
              <w:tab/>
            </w:r>
            <w:r w:rsidR="003418FE" w:rsidRPr="003418FE">
              <w:rPr>
                <w:rFonts w:asciiTheme="majorHAnsi" w:hAnsiTheme="majorHAnsi" w:cstheme="majorHAnsi"/>
                <w:noProof/>
                <w:webHidden/>
              </w:rPr>
              <w:fldChar w:fldCharType="begin"/>
            </w:r>
            <w:r w:rsidR="003418FE" w:rsidRPr="003418FE">
              <w:rPr>
                <w:rFonts w:asciiTheme="majorHAnsi" w:hAnsiTheme="majorHAnsi" w:cstheme="majorHAnsi"/>
                <w:noProof/>
                <w:webHidden/>
              </w:rPr>
              <w:instrText xml:space="preserve"> PAGEREF _Toc228144800 \h </w:instrText>
            </w:r>
            <w:r w:rsidR="003418FE" w:rsidRPr="003418FE">
              <w:rPr>
                <w:rFonts w:asciiTheme="majorHAnsi" w:hAnsiTheme="majorHAnsi" w:cstheme="majorHAnsi"/>
                <w:noProof/>
                <w:webHidden/>
              </w:rPr>
            </w:r>
            <w:r w:rsidR="003418FE" w:rsidRPr="003418FE">
              <w:rPr>
                <w:rFonts w:asciiTheme="majorHAnsi" w:hAnsiTheme="majorHAnsi" w:cstheme="majorHAnsi"/>
                <w:noProof/>
                <w:webHidden/>
              </w:rPr>
              <w:fldChar w:fldCharType="separate"/>
            </w:r>
            <w:r>
              <w:rPr>
                <w:rFonts w:asciiTheme="majorHAnsi" w:hAnsiTheme="majorHAnsi" w:cstheme="majorHAnsi"/>
                <w:noProof/>
                <w:webHidden/>
              </w:rPr>
              <w:t>8</w:t>
            </w:r>
            <w:r w:rsidR="003418FE" w:rsidRPr="003418FE">
              <w:rPr>
                <w:rFonts w:asciiTheme="majorHAnsi" w:hAnsiTheme="majorHAnsi" w:cstheme="majorHAnsi"/>
                <w:noProof/>
                <w:webHidden/>
              </w:rPr>
              <w:fldChar w:fldCharType="end"/>
            </w:r>
          </w:hyperlink>
        </w:p>
        <w:p w:rsidR="00AF5666" w:rsidRDefault="00AF5666">
          <w:r w:rsidRPr="003418FE">
            <w:rPr>
              <w:rFonts w:asciiTheme="majorHAnsi" w:hAnsiTheme="majorHAnsi" w:cstheme="majorHAnsi"/>
              <w:bCs/>
              <w:noProof/>
            </w:rPr>
            <w:fldChar w:fldCharType="end"/>
          </w:r>
        </w:p>
      </w:sdtContent>
    </w:sdt>
    <w:p w:rsidR="00AF5666" w:rsidRDefault="00AF5666">
      <w:pPr>
        <w:rPr>
          <w:rFonts w:asciiTheme="majorHAnsi" w:hAnsiTheme="majorHAnsi" w:cstheme="majorHAnsi"/>
        </w:rPr>
      </w:pPr>
    </w:p>
    <w:p w:rsidR="00AF5666" w:rsidRDefault="00AF5666">
      <w:pPr>
        <w:rPr>
          <w:rFonts w:asciiTheme="majorHAnsi" w:eastAsia="Times New Roman" w:hAnsiTheme="majorHAnsi" w:cstheme="majorHAnsi"/>
          <w:b/>
          <w:bCs/>
          <w:sz w:val="36"/>
          <w:szCs w:val="36"/>
          <w:lang w:eastAsia="en-AU"/>
        </w:rPr>
      </w:pPr>
      <w:r>
        <w:rPr>
          <w:rFonts w:asciiTheme="majorHAnsi" w:hAnsiTheme="majorHAnsi" w:cstheme="majorHAnsi"/>
        </w:rPr>
        <w:br w:type="page"/>
      </w:r>
    </w:p>
    <w:p w:rsidR="00C23716" w:rsidRPr="00DB51CE" w:rsidRDefault="00C23716" w:rsidP="00AA14F6">
      <w:pPr>
        <w:pStyle w:val="Heading2"/>
        <w:spacing w:before="0" w:beforeAutospacing="0" w:after="0" w:afterAutospacing="0"/>
        <w:jc w:val="both"/>
        <w:rPr>
          <w:rFonts w:asciiTheme="majorHAnsi" w:hAnsiTheme="majorHAnsi" w:cstheme="majorHAnsi"/>
        </w:rPr>
      </w:pPr>
      <w:bookmarkStart w:id="0" w:name="_Toc228144790"/>
      <w:r w:rsidRPr="00DB51CE">
        <w:rPr>
          <w:rFonts w:asciiTheme="majorHAnsi" w:hAnsiTheme="majorHAnsi" w:cstheme="majorHAnsi"/>
        </w:rPr>
        <w:lastRenderedPageBreak/>
        <w:t>1. Introduction and Application of Ethical Frameworks</w:t>
      </w:r>
      <w:bookmarkEnd w:id="0"/>
    </w:p>
    <w:p w:rsidR="00AA14F6" w:rsidRPr="008A7B70" w:rsidRDefault="00AA14F6" w:rsidP="00AA14F6">
      <w:pPr>
        <w:pStyle w:val="NormalWeb"/>
        <w:spacing w:before="0" w:beforeAutospacing="0" w:after="0" w:afterAutospacing="0"/>
        <w:jc w:val="both"/>
        <w:rPr>
          <w:rFonts w:asciiTheme="majorHAnsi" w:hAnsiTheme="majorHAnsi" w:cstheme="majorHAnsi"/>
          <w:sz w:val="22"/>
        </w:rPr>
      </w:pPr>
    </w:p>
    <w:p w:rsidR="00C23716" w:rsidRPr="00666F3D" w:rsidRDefault="00C23716" w:rsidP="00AA14F6">
      <w:pPr>
        <w:pStyle w:val="NormalWeb"/>
        <w:spacing w:before="0" w:beforeAutospacing="0" w:after="0" w:afterAutospacing="0"/>
        <w:jc w:val="both"/>
        <w:rPr>
          <w:rFonts w:asciiTheme="majorHAnsi" w:hAnsiTheme="majorHAnsi" w:cstheme="majorHAnsi"/>
          <w:sz w:val="22"/>
        </w:rPr>
      </w:pPr>
      <w:r w:rsidRPr="00666F3D">
        <w:rPr>
          <w:rFonts w:asciiTheme="majorHAnsi" w:hAnsiTheme="majorHAnsi" w:cstheme="majorHAnsi"/>
          <w:sz w:val="22"/>
        </w:rPr>
        <w:t>The AI-based Electricity Demand Forecasting System for New South Wales predicts short-term electricity demand</w:t>
      </w:r>
      <w:r w:rsidR="00F857ED">
        <w:rPr>
          <w:rFonts w:asciiTheme="majorHAnsi" w:hAnsiTheme="majorHAnsi" w:cstheme="majorHAnsi"/>
          <w:sz w:val="22"/>
        </w:rPr>
        <w:t xml:space="preserve"> </w:t>
      </w:r>
      <w:r w:rsidRPr="00666F3D">
        <w:rPr>
          <w:rFonts w:asciiTheme="majorHAnsi" w:hAnsiTheme="majorHAnsi" w:cstheme="majorHAnsi"/>
          <w:sz w:val="22"/>
        </w:rPr>
        <w:t>using operational, environmental, and economic datasets to support grid stability, generation planning, and electricity market pricing</w:t>
      </w:r>
      <w:r w:rsidR="00F857ED" w:rsidRPr="00666F3D">
        <w:rPr>
          <w:rFonts w:asciiTheme="majorHAnsi" w:hAnsiTheme="majorHAnsi" w:cstheme="majorHAnsi"/>
          <w:sz w:val="22"/>
        </w:rPr>
        <w:t xml:space="preserve"> </w:t>
      </w:r>
      <w:sdt>
        <w:sdtPr>
          <w:rPr>
            <w:rFonts w:asciiTheme="majorHAnsi" w:hAnsiTheme="majorHAnsi" w:cstheme="majorHAnsi"/>
            <w:sz w:val="22"/>
          </w:rPr>
          <w:id w:val="949359581"/>
          <w:citation/>
        </w:sdtPr>
        <w:sdtContent>
          <w:r w:rsidR="00F857ED" w:rsidRPr="00666F3D">
            <w:rPr>
              <w:rFonts w:asciiTheme="majorHAnsi" w:hAnsiTheme="majorHAnsi" w:cstheme="majorHAnsi"/>
              <w:sz w:val="22"/>
            </w:rPr>
            <w:fldChar w:fldCharType="begin"/>
          </w:r>
          <w:r w:rsidR="00F857ED" w:rsidRPr="00666F3D">
            <w:rPr>
              <w:rFonts w:asciiTheme="majorHAnsi" w:hAnsiTheme="majorHAnsi" w:cstheme="majorHAnsi"/>
              <w:sz w:val="22"/>
              <w:lang w:val="en-US"/>
            </w:rPr>
            <w:instrText xml:space="preserve"> CITATION Aus23 \l 1033 </w:instrText>
          </w:r>
          <w:r w:rsidR="00F857ED" w:rsidRPr="00666F3D">
            <w:rPr>
              <w:rFonts w:asciiTheme="majorHAnsi" w:hAnsiTheme="majorHAnsi" w:cstheme="majorHAnsi"/>
              <w:sz w:val="22"/>
            </w:rPr>
            <w:fldChar w:fldCharType="separate"/>
          </w:r>
          <w:r w:rsidR="00F857ED" w:rsidRPr="00666F3D">
            <w:rPr>
              <w:rFonts w:asciiTheme="majorHAnsi" w:hAnsiTheme="majorHAnsi" w:cstheme="majorHAnsi"/>
              <w:noProof/>
              <w:sz w:val="22"/>
              <w:lang w:val="en-US"/>
            </w:rPr>
            <w:t>(Australian Energy Market Operator, 2023)</w:t>
          </w:r>
          <w:r w:rsidR="00F857ED" w:rsidRPr="00666F3D">
            <w:rPr>
              <w:rFonts w:asciiTheme="majorHAnsi" w:hAnsiTheme="majorHAnsi" w:cstheme="majorHAnsi"/>
              <w:sz w:val="22"/>
            </w:rPr>
            <w:fldChar w:fldCharType="end"/>
          </w:r>
        </w:sdtContent>
      </w:sdt>
      <w:r w:rsidR="007905C9">
        <w:rPr>
          <w:rFonts w:asciiTheme="majorHAnsi" w:hAnsiTheme="majorHAnsi" w:cstheme="majorHAnsi"/>
          <w:sz w:val="22"/>
        </w:rPr>
        <w:t xml:space="preserve">. As </w:t>
      </w:r>
      <w:r w:rsidRPr="00666F3D">
        <w:rPr>
          <w:rFonts w:asciiTheme="majorHAnsi" w:hAnsiTheme="majorHAnsi" w:cstheme="majorHAnsi"/>
          <w:sz w:val="22"/>
        </w:rPr>
        <w:t>established in Part A, although the system primarily relies on aggregated and non-personal data, it indirectly reflects household and business consumption patterns, making electricity consumers the primary data subjects. Key stakeholders include electricity consumers, vulnerable populations, grid operators, energy providers, regulators, and data scientists, each with differing levels of power, agency, and ex</w:t>
      </w:r>
      <w:r w:rsidR="00AA14F6" w:rsidRPr="00666F3D">
        <w:rPr>
          <w:rFonts w:asciiTheme="majorHAnsi" w:hAnsiTheme="majorHAnsi" w:cstheme="majorHAnsi"/>
          <w:sz w:val="22"/>
        </w:rPr>
        <w:t>posure to the system’s outcomes</w:t>
      </w:r>
      <w:r w:rsidRPr="00666F3D">
        <w:rPr>
          <w:rFonts w:asciiTheme="majorHAnsi" w:hAnsiTheme="majorHAnsi" w:cstheme="majorHAnsi"/>
          <w:sz w:val="22"/>
        </w:rPr>
        <w:t>.</w:t>
      </w:r>
    </w:p>
    <w:p w:rsidR="00AA14F6" w:rsidRDefault="00AA14F6" w:rsidP="00AA14F6">
      <w:pPr>
        <w:pStyle w:val="NormalWeb"/>
        <w:spacing w:before="0" w:beforeAutospacing="0" w:after="0" w:afterAutospacing="0"/>
        <w:jc w:val="both"/>
        <w:rPr>
          <w:rFonts w:asciiTheme="majorHAnsi" w:hAnsiTheme="majorHAnsi" w:cstheme="majorHAnsi"/>
          <w:sz w:val="22"/>
        </w:rPr>
      </w:pPr>
    </w:p>
    <w:p w:rsidR="00146650" w:rsidRDefault="00146650" w:rsidP="00146650">
      <w:pPr>
        <w:pStyle w:val="NormalWeb"/>
        <w:spacing w:before="0" w:beforeAutospacing="0" w:after="0" w:afterAutospacing="0"/>
        <w:jc w:val="both"/>
        <w:rPr>
          <w:rFonts w:asciiTheme="majorHAnsi" w:hAnsiTheme="majorHAnsi" w:cstheme="majorHAnsi"/>
          <w:sz w:val="22"/>
        </w:rPr>
      </w:pPr>
      <w:r w:rsidRPr="00B35EB5">
        <w:rPr>
          <w:rFonts w:asciiTheme="majorHAnsi" w:hAnsiTheme="majorHAnsi" w:cstheme="majorHAnsi"/>
          <w:noProof/>
          <w:sz w:val="22"/>
        </w:rPr>
        <w:drawing>
          <wp:inline distT="0" distB="0" distL="0" distR="0" wp14:anchorId="34648257" wp14:editId="0EE90073">
            <wp:extent cx="5731510" cy="15722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72260"/>
                    </a:xfrm>
                    <a:prstGeom prst="rect">
                      <a:avLst/>
                    </a:prstGeom>
                  </pic:spPr>
                </pic:pic>
              </a:graphicData>
            </a:graphic>
          </wp:inline>
        </w:drawing>
      </w:r>
    </w:p>
    <w:p w:rsidR="00146650" w:rsidRPr="00146650" w:rsidRDefault="00146650" w:rsidP="00146650">
      <w:pPr>
        <w:pStyle w:val="NormalWeb"/>
        <w:spacing w:before="0" w:beforeAutospacing="0" w:after="0" w:afterAutospacing="0"/>
        <w:jc w:val="center"/>
        <w:rPr>
          <w:rFonts w:asciiTheme="majorHAnsi" w:hAnsiTheme="majorHAnsi" w:cstheme="majorHAnsi"/>
          <w:i/>
          <w:sz w:val="20"/>
        </w:rPr>
      </w:pPr>
      <w:r w:rsidRPr="00146650">
        <w:rPr>
          <w:rFonts w:asciiTheme="majorHAnsi" w:hAnsiTheme="majorHAnsi" w:cstheme="majorHAnsi"/>
          <w:b/>
          <w:i/>
          <w:sz w:val="20"/>
        </w:rPr>
        <w:t>Fig 1</w:t>
      </w:r>
      <w:r w:rsidRPr="00146650">
        <w:rPr>
          <w:rFonts w:asciiTheme="majorHAnsi" w:hAnsiTheme="majorHAnsi" w:cstheme="majorHAnsi"/>
          <w:b/>
          <w:i/>
          <w:sz w:val="20"/>
        </w:rPr>
        <w:t>:</w:t>
      </w:r>
      <w:r w:rsidRPr="00146650">
        <w:rPr>
          <w:rFonts w:asciiTheme="majorHAnsi" w:hAnsiTheme="majorHAnsi" w:cstheme="majorHAnsi"/>
          <w:i/>
          <w:sz w:val="20"/>
        </w:rPr>
        <w:t xml:space="preserve"> </w:t>
      </w:r>
      <w:r w:rsidRPr="00146650">
        <w:rPr>
          <w:rFonts w:asciiTheme="majorHAnsi" w:hAnsiTheme="majorHAnsi" w:cstheme="majorHAnsi"/>
          <w:i/>
          <w:sz w:val="20"/>
          <w:szCs w:val="27"/>
        </w:rPr>
        <w:t>Electricity Demand Forecasting Data Pipeline</w:t>
      </w:r>
      <w:r w:rsidRPr="00146650">
        <w:rPr>
          <w:rFonts w:asciiTheme="majorHAnsi" w:hAnsiTheme="majorHAnsi" w:cstheme="majorHAnsi"/>
          <w:bCs/>
          <w:i/>
          <w:sz w:val="20"/>
          <w:szCs w:val="27"/>
        </w:rPr>
        <w:t xml:space="preserve"> Diagram</w:t>
      </w:r>
    </w:p>
    <w:p w:rsidR="00146650" w:rsidRPr="00666F3D" w:rsidRDefault="00146650" w:rsidP="00AA14F6">
      <w:pPr>
        <w:pStyle w:val="NormalWeb"/>
        <w:spacing w:before="0" w:beforeAutospacing="0" w:after="0" w:afterAutospacing="0"/>
        <w:jc w:val="both"/>
        <w:rPr>
          <w:rFonts w:asciiTheme="majorHAnsi" w:hAnsiTheme="majorHAnsi" w:cstheme="majorHAnsi"/>
          <w:sz w:val="22"/>
        </w:rPr>
      </w:pPr>
    </w:p>
    <w:p w:rsidR="00C23716" w:rsidRPr="00666F3D" w:rsidRDefault="00C23716" w:rsidP="00AA14F6">
      <w:pPr>
        <w:pStyle w:val="NormalWeb"/>
        <w:spacing w:before="0" w:beforeAutospacing="0" w:after="0" w:afterAutospacing="0"/>
        <w:jc w:val="both"/>
        <w:rPr>
          <w:rFonts w:asciiTheme="majorHAnsi" w:hAnsiTheme="majorHAnsi" w:cstheme="majorHAnsi"/>
          <w:sz w:val="22"/>
        </w:rPr>
      </w:pPr>
      <w:r w:rsidRPr="00666F3D">
        <w:rPr>
          <w:rFonts w:asciiTheme="majorHAnsi" w:hAnsiTheme="majorHAnsi" w:cstheme="majorHAnsi"/>
          <w:sz w:val="22"/>
        </w:rPr>
        <w:t>To evaluate the ethical dimensions of this forecasting system, this report applies two ethical frameworks drawn from Weeks 2 and 3 of the course</w:t>
      </w:r>
      <w:r w:rsidR="00485355" w:rsidRPr="00666F3D">
        <w:rPr>
          <w:rFonts w:asciiTheme="majorHAnsi" w:hAnsiTheme="majorHAnsi" w:cstheme="majorHAnsi"/>
          <w:sz w:val="22"/>
        </w:rPr>
        <w:t xml:space="preserve"> </w:t>
      </w:r>
      <w:sdt>
        <w:sdtPr>
          <w:rPr>
            <w:rFonts w:asciiTheme="majorHAnsi" w:hAnsiTheme="majorHAnsi" w:cstheme="majorHAnsi"/>
            <w:sz w:val="22"/>
          </w:rPr>
          <w:id w:val="656191026"/>
          <w:citation/>
        </w:sdtPr>
        <w:sdtEndPr/>
        <w:sdtContent>
          <w:r w:rsidR="00485355" w:rsidRPr="00666F3D">
            <w:rPr>
              <w:rFonts w:asciiTheme="majorHAnsi" w:hAnsiTheme="majorHAnsi" w:cstheme="majorHAnsi"/>
              <w:sz w:val="22"/>
            </w:rPr>
            <w:fldChar w:fldCharType="begin"/>
          </w:r>
          <w:r w:rsidR="00485355" w:rsidRPr="00666F3D">
            <w:rPr>
              <w:rFonts w:asciiTheme="majorHAnsi" w:hAnsiTheme="majorHAnsi" w:cstheme="majorHAnsi"/>
              <w:sz w:val="22"/>
              <w:lang w:val="en-US"/>
            </w:rPr>
            <w:instrText xml:space="preserve"> CITATION Uni26 \l 1033 </w:instrText>
          </w:r>
          <w:r w:rsidR="00485355" w:rsidRPr="00666F3D">
            <w:rPr>
              <w:rFonts w:asciiTheme="majorHAnsi" w:hAnsiTheme="majorHAnsi" w:cstheme="majorHAnsi"/>
              <w:sz w:val="22"/>
            </w:rPr>
            <w:fldChar w:fldCharType="separate"/>
          </w:r>
          <w:r w:rsidR="00BE3619" w:rsidRPr="00666F3D">
            <w:rPr>
              <w:rFonts w:asciiTheme="majorHAnsi" w:hAnsiTheme="majorHAnsi" w:cstheme="majorHAnsi"/>
              <w:noProof/>
              <w:sz w:val="22"/>
              <w:lang w:val="en-US"/>
            </w:rPr>
            <w:t>(UNSW, 2026)</w:t>
          </w:r>
          <w:r w:rsidR="00485355" w:rsidRPr="00666F3D">
            <w:rPr>
              <w:rFonts w:asciiTheme="majorHAnsi" w:hAnsiTheme="majorHAnsi" w:cstheme="majorHAnsi"/>
              <w:sz w:val="22"/>
            </w:rPr>
            <w:fldChar w:fldCharType="end"/>
          </w:r>
        </w:sdtContent>
      </w:sdt>
      <w:r w:rsidRPr="00666F3D">
        <w:rPr>
          <w:rFonts w:asciiTheme="majorHAnsi" w:hAnsiTheme="majorHAnsi" w:cstheme="majorHAnsi"/>
          <w:sz w:val="22"/>
        </w:rPr>
        <w:t xml:space="preserve">: </w:t>
      </w:r>
      <w:r w:rsidRPr="00666F3D">
        <w:rPr>
          <w:rStyle w:val="Strong"/>
          <w:rFonts w:asciiTheme="majorHAnsi" w:hAnsiTheme="majorHAnsi" w:cstheme="majorHAnsi"/>
          <w:sz w:val="22"/>
        </w:rPr>
        <w:t>utilitarianism</w:t>
      </w:r>
      <w:r w:rsidRPr="00666F3D">
        <w:rPr>
          <w:rFonts w:asciiTheme="majorHAnsi" w:hAnsiTheme="majorHAnsi" w:cstheme="majorHAnsi"/>
          <w:sz w:val="22"/>
        </w:rPr>
        <w:t xml:space="preserve"> and </w:t>
      </w:r>
      <w:r w:rsidRPr="00666F3D">
        <w:rPr>
          <w:rStyle w:val="Strong"/>
          <w:rFonts w:asciiTheme="majorHAnsi" w:hAnsiTheme="majorHAnsi" w:cstheme="majorHAnsi"/>
          <w:sz w:val="22"/>
        </w:rPr>
        <w:t>care ethics</w:t>
      </w:r>
      <w:r w:rsidRPr="00666F3D">
        <w:rPr>
          <w:rFonts w:asciiTheme="majorHAnsi" w:hAnsiTheme="majorHAnsi" w:cstheme="majorHAnsi"/>
          <w:sz w:val="22"/>
        </w:rPr>
        <w:t>. These frameworks offer contrasting but complementary ways of evaluating data-driven decisions, particularly around efficiency, fairness, and v</w:t>
      </w:r>
      <w:r w:rsidR="00AA14F6" w:rsidRPr="00666F3D">
        <w:rPr>
          <w:rFonts w:asciiTheme="majorHAnsi" w:hAnsiTheme="majorHAnsi" w:cstheme="majorHAnsi"/>
          <w:sz w:val="22"/>
        </w:rPr>
        <w:t>ulnerability</w:t>
      </w:r>
      <w:r w:rsidRPr="00666F3D">
        <w:rPr>
          <w:rFonts w:asciiTheme="majorHAnsi" w:hAnsiTheme="majorHAnsi" w:cstheme="majorHAnsi"/>
          <w:sz w:val="22"/>
        </w:rPr>
        <w:t>.</w:t>
      </w:r>
    </w:p>
    <w:p w:rsidR="00AA14F6" w:rsidRPr="00666F3D" w:rsidRDefault="00AA14F6" w:rsidP="00AA14F6">
      <w:pPr>
        <w:pStyle w:val="NormalWeb"/>
        <w:spacing w:before="0" w:beforeAutospacing="0" w:after="0" w:afterAutospacing="0"/>
        <w:jc w:val="both"/>
        <w:rPr>
          <w:rFonts w:asciiTheme="majorHAnsi" w:hAnsiTheme="majorHAnsi" w:cstheme="majorHAnsi"/>
          <w:sz w:val="22"/>
        </w:rPr>
      </w:pPr>
    </w:p>
    <w:p w:rsidR="00C23716" w:rsidRPr="00666F3D" w:rsidRDefault="00C23716" w:rsidP="00AA14F6">
      <w:pPr>
        <w:pStyle w:val="NormalWeb"/>
        <w:spacing w:before="0" w:beforeAutospacing="0" w:after="0" w:afterAutospacing="0"/>
        <w:jc w:val="both"/>
        <w:rPr>
          <w:rFonts w:asciiTheme="majorHAnsi" w:hAnsiTheme="majorHAnsi" w:cstheme="majorHAnsi"/>
          <w:sz w:val="22"/>
        </w:rPr>
      </w:pPr>
      <w:r w:rsidRPr="00666F3D">
        <w:rPr>
          <w:rFonts w:asciiTheme="majorHAnsi" w:hAnsiTheme="majorHAnsi" w:cstheme="majorHAnsi"/>
          <w:sz w:val="22"/>
        </w:rPr>
        <w:t xml:space="preserve">From a </w:t>
      </w:r>
      <w:r w:rsidRPr="00666F3D">
        <w:rPr>
          <w:rStyle w:val="Strong"/>
          <w:rFonts w:asciiTheme="majorHAnsi" w:hAnsiTheme="majorHAnsi" w:cstheme="majorHAnsi"/>
          <w:sz w:val="22"/>
        </w:rPr>
        <w:t>u</w:t>
      </w:r>
      <w:bookmarkStart w:id="1" w:name="_GoBack"/>
      <w:bookmarkEnd w:id="1"/>
      <w:r w:rsidRPr="00666F3D">
        <w:rPr>
          <w:rStyle w:val="Strong"/>
          <w:rFonts w:asciiTheme="majorHAnsi" w:hAnsiTheme="majorHAnsi" w:cstheme="majorHAnsi"/>
          <w:sz w:val="22"/>
        </w:rPr>
        <w:t>tilitarian</w:t>
      </w:r>
      <w:r w:rsidRPr="00666F3D">
        <w:rPr>
          <w:rFonts w:asciiTheme="majorHAnsi" w:hAnsiTheme="majorHAnsi" w:cstheme="majorHAnsi"/>
          <w:sz w:val="22"/>
        </w:rPr>
        <w:t xml:space="preserve"> perspective</w:t>
      </w:r>
      <w:r w:rsidR="00485355" w:rsidRPr="00666F3D">
        <w:rPr>
          <w:rFonts w:asciiTheme="majorHAnsi" w:hAnsiTheme="majorHAnsi" w:cstheme="majorHAnsi"/>
          <w:sz w:val="22"/>
        </w:rPr>
        <w:t xml:space="preserve"> </w:t>
      </w:r>
      <w:sdt>
        <w:sdtPr>
          <w:rPr>
            <w:rFonts w:asciiTheme="majorHAnsi" w:hAnsiTheme="majorHAnsi" w:cstheme="majorHAnsi"/>
            <w:sz w:val="22"/>
          </w:rPr>
          <w:id w:val="-188300349"/>
          <w:citation/>
        </w:sdtPr>
        <w:sdtEndPr/>
        <w:sdtContent>
          <w:r w:rsidR="00485355" w:rsidRPr="00666F3D">
            <w:rPr>
              <w:rFonts w:asciiTheme="majorHAnsi" w:hAnsiTheme="majorHAnsi" w:cstheme="majorHAnsi"/>
              <w:sz w:val="22"/>
            </w:rPr>
            <w:fldChar w:fldCharType="begin"/>
          </w:r>
          <w:r w:rsidR="00485355" w:rsidRPr="00666F3D">
            <w:rPr>
              <w:rFonts w:asciiTheme="majorHAnsi" w:hAnsiTheme="majorHAnsi" w:cstheme="majorHAnsi"/>
              <w:sz w:val="22"/>
              <w:lang w:val="en-US"/>
            </w:rPr>
            <w:instrText xml:space="preserve"> CITATION Ben89 \l 1033 </w:instrText>
          </w:r>
          <w:r w:rsidR="00485355" w:rsidRPr="00666F3D">
            <w:rPr>
              <w:rFonts w:asciiTheme="majorHAnsi" w:hAnsiTheme="majorHAnsi" w:cstheme="majorHAnsi"/>
              <w:sz w:val="22"/>
            </w:rPr>
            <w:fldChar w:fldCharType="separate"/>
          </w:r>
          <w:r w:rsidR="00BE3619" w:rsidRPr="00666F3D">
            <w:rPr>
              <w:rFonts w:asciiTheme="majorHAnsi" w:hAnsiTheme="majorHAnsi" w:cstheme="majorHAnsi"/>
              <w:noProof/>
              <w:sz w:val="22"/>
              <w:lang w:val="en-US"/>
            </w:rPr>
            <w:t>(Bentham, 1789)</w:t>
          </w:r>
          <w:r w:rsidR="00485355" w:rsidRPr="00666F3D">
            <w:rPr>
              <w:rFonts w:asciiTheme="majorHAnsi" w:hAnsiTheme="majorHAnsi" w:cstheme="majorHAnsi"/>
              <w:sz w:val="22"/>
            </w:rPr>
            <w:fldChar w:fldCharType="end"/>
          </w:r>
        </w:sdtContent>
      </w:sdt>
      <w:r w:rsidRPr="00666F3D">
        <w:rPr>
          <w:rFonts w:asciiTheme="majorHAnsi" w:hAnsiTheme="majorHAnsi" w:cstheme="majorHAnsi"/>
          <w:sz w:val="22"/>
        </w:rPr>
        <w:t>, the ethical value of the system depends on whether it maximises overall social welfare. Accurate electricity forecasting improves load balancing, reduces generation waste, minimises blackouts, and supports stable electricity pricing. These benefits improve system efficiency and reliability, creating broad advantages for consumers, providers, and the wider economy. From this perspective, the system can be justified because it delivers the greatest good for the greatest number</w:t>
      </w:r>
      <w:r w:rsidR="00485355" w:rsidRPr="00666F3D">
        <w:rPr>
          <w:rFonts w:asciiTheme="majorHAnsi" w:hAnsiTheme="majorHAnsi" w:cstheme="majorHAnsi"/>
          <w:sz w:val="22"/>
        </w:rPr>
        <w:t xml:space="preserve"> </w:t>
      </w:r>
      <w:sdt>
        <w:sdtPr>
          <w:rPr>
            <w:rFonts w:asciiTheme="majorHAnsi" w:hAnsiTheme="majorHAnsi" w:cstheme="majorHAnsi"/>
            <w:sz w:val="22"/>
          </w:rPr>
          <w:id w:val="-34427213"/>
          <w:citation/>
        </w:sdtPr>
        <w:sdtEndPr/>
        <w:sdtContent>
          <w:r w:rsidR="00485355" w:rsidRPr="00666F3D">
            <w:rPr>
              <w:rFonts w:asciiTheme="majorHAnsi" w:hAnsiTheme="majorHAnsi" w:cstheme="majorHAnsi"/>
              <w:sz w:val="22"/>
            </w:rPr>
            <w:fldChar w:fldCharType="begin"/>
          </w:r>
          <w:r w:rsidR="00485355" w:rsidRPr="00666F3D">
            <w:rPr>
              <w:rFonts w:asciiTheme="majorHAnsi" w:hAnsiTheme="majorHAnsi" w:cstheme="majorHAnsi"/>
              <w:sz w:val="22"/>
              <w:lang w:val="en-US"/>
            </w:rPr>
            <w:instrText xml:space="preserve"> CITATION Ben89 \l 1033 </w:instrText>
          </w:r>
          <w:r w:rsidR="00485355" w:rsidRPr="00666F3D">
            <w:rPr>
              <w:rFonts w:asciiTheme="majorHAnsi" w:hAnsiTheme="majorHAnsi" w:cstheme="majorHAnsi"/>
              <w:sz w:val="22"/>
            </w:rPr>
            <w:fldChar w:fldCharType="separate"/>
          </w:r>
          <w:r w:rsidR="00BE3619" w:rsidRPr="00666F3D">
            <w:rPr>
              <w:rFonts w:asciiTheme="majorHAnsi" w:hAnsiTheme="majorHAnsi" w:cstheme="majorHAnsi"/>
              <w:noProof/>
              <w:sz w:val="22"/>
              <w:lang w:val="en-US"/>
            </w:rPr>
            <w:t>(Bentham, 1789)</w:t>
          </w:r>
          <w:r w:rsidR="00485355" w:rsidRPr="00666F3D">
            <w:rPr>
              <w:rFonts w:asciiTheme="majorHAnsi" w:hAnsiTheme="majorHAnsi" w:cstheme="majorHAnsi"/>
              <w:sz w:val="22"/>
            </w:rPr>
            <w:fldChar w:fldCharType="end"/>
          </w:r>
        </w:sdtContent>
      </w:sdt>
      <w:r w:rsidRPr="00666F3D">
        <w:rPr>
          <w:rFonts w:asciiTheme="majorHAnsi" w:hAnsiTheme="majorHAnsi" w:cstheme="majorHAnsi"/>
          <w:sz w:val="22"/>
        </w:rPr>
        <w:t>. However, utilitarianism also exposes an ethical weakness. Aggregate benefits can conceal unequal burdens. Vulnerable groups, particularly low-income households and rural communities, may face higher electricity costs through forecast-driven pricing or reduced infrastructure investment where demand is lower. This raises concerns about unequal distribution of benefits and harms.</w:t>
      </w:r>
    </w:p>
    <w:p w:rsidR="00AA14F6" w:rsidRPr="00666F3D" w:rsidRDefault="00AA14F6" w:rsidP="00AA14F6">
      <w:pPr>
        <w:pStyle w:val="NormalWeb"/>
        <w:spacing w:before="0" w:beforeAutospacing="0" w:after="0" w:afterAutospacing="0"/>
        <w:jc w:val="both"/>
        <w:rPr>
          <w:rFonts w:asciiTheme="majorHAnsi" w:hAnsiTheme="majorHAnsi" w:cstheme="majorHAnsi"/>
          <w:sz w:val="22"/>
        </w:rPr>
      </w:pPr>
    </w:p>
    <w:p w:rsidR="00C23716" w:rsidRPr="00666F3D" w:rsidRDefault="00C23716" w:rsidP="00AA14F6">
      <w:pPr>
        <w:pStyle w:val="NormalWeb"/>
        <w:spacing w:before="0" w:beforeAutospacing="0" w:after="0" w:afterAutospacing="0"/>
        <w:jc w:val="both"/>
        <w:rPr>
          <w:rFonts w:asciiTheme="majorHAnsi" w:hAnsiTheme="majorHAnsi" w:cstheme="majorHAnsi"/>
          <w:sz w:val="22"/>
        </w:rPr>
      </w:pPr>
      <w:r w:rsidRPr="00666F3D">
        <w:rPr>
          <w:rFonts w:asciiTheme="majorHAnsi" w:hAnsiTheme="majorHAnsi" w:cstheme="majorHAnsi"/>
          <w:sz w:val="22"/>
        </w:rPr>
        <w:t xml:space="preserve">A </w:t>
      </w:r>
      <w:r w:rsidRPr="00666F3D">
        <w:rPr>
          <w:rStyle w:val="Strong"/>
          <w:rFonts w:asciiTheme="majorHAnsi" w:hAnsiTheme="majorHAnsi" w:cstheme="majorHAnsi"/>
          <w:sz w:val="22"/>
        </w:rPr>
        <w:t>care ethics</w:t>
      </w:r>
      <w:r w:rsidRPr="00666F3D">
        <w:rPr>
          <w:rFonts w:asciiTheme="majorHAnsi" w:hAnsiTheme="majorHAnsi" w:cstheme="majorHAnsi"/>
          <w:sz w:val="22"/>
        </w:rPr>
        <w:t xml:space="preserve"> perspective</w:t>
      </w:r>
      <w:r w:rsidR="00485355" w:rsidRPr="00666F3D">
        <w:rPr>
          <w:rFonts w:asciiTheme="majorHAnsi" w:hAnsiTheme="majorHAnsi" w:cstheme="majorHAnsi"/>
          <w:sz w:val="22"/>
        </w:rPr>
        <w:t xml:space="preserve"> </w:t>
      </w:r>
      <w:sdt>
        <w:sdtPr>
          <w:rPr>
            <w:rFonts w:asciiTheme="majorHAnsi" w:hAnsiTheme="majorHAnsi" w:cstheme="majorHAnsi"/>
            <w:sz w:val="22"/>
          </w:rPr>
          <w:id w:val="-2116824024"/>
          <w:citation/>
        </w:sdtPr>
        <w:sdtEndPr/>
        <w:sdtContent>
          <w:r w:rsidR="00485355" w:rsidRPr="00666F3D">
            <w:rPr>
              <w:rFonts w:asciiTheme="majorHAnsi" w:hAnsiTheme="majorHAnsi" w:cstheme="majorHAnsi"/>
              <w:sz w:val="22"/>
            </w:rPr>
            <w:fldChar w:fldCharType="begin"/>
          </w:r>
          <w:r w:rsidR="00485355" w:rsidRPr="00666F3D">
            <w:rPr>
              <w:rFonts w:asciiTheme="majorHAnsi" w:hAnsiTheme="majorHAnsi" w:cstheme="majorHAnsi"/>
              <w:sz w:val="22"/>
              <w:lang w:val="en-US"/>
            </w:rPr>
            <w:instrText xml:space="preserve"> CITATION Gil82 \l 1033 </w:instrText>
          </w:r>
          <w:r w:rsidR="00485355" w:rsidRPr="00666F3D">
            <w:rPr>
              <w:rFonts w:asciiTheme="majorHAnsi" w:hAnsiTheme="majorHAnsi" w:cstheme="majorHAnsi"/>
              <w:sz w:val="22"/>
            </w:rPr>
            <w:fldChar w:fldCharType="separate"/>
          </w:r>
          <w:r w:rsidR="00BE3619" w:rsidRPr="00666F3D">
            <w:rPr>
              <w:rFonts w:asciiTheme="majorHAnsi" w:hAnsiTheme="majorHAnsi" w:cstheme="majorHAnsi"/>
              <w:noProof/>
              <w:sz w:val="22"/>
              <w:lang w:val="en-US"/>
            </w:rPr>
            <w:t>(Gilligan, 1982)</w:t>
          </w:r>
          <w:r w:rsidR="00485355" w:rsidRPr="00666F3D">
            <w:rPr>
              <w:rFonts w:asciiTheme="majorHAnsi" w:hAnsiTheme="majorHAnsi" w:cstheme="majorHAnsi"/>
              <w:sz w:val="22"/>
            </w:rPr>
            <w:fldChar w:fldCharType="end"/>
          </w:r>
        </w:sdtContent>
      </w:sdt>
      <w:r w:rsidRPr="00666F3D">
        <w:rPr>
          <w:rFonts w:asciiTheme="majorHAnsi" w:hAnsiTheme="majorHAnsi" w:cstheme="majorHAnsi"/>
          <w:sz w:val="22"/>
        </w:rPr>
        <w:t xml:space="preserve"> shifts focus from outcomes to relationships, dependency, and vulnerability. Rather than asking what benefits the majority, care ethics asks whether the system adequately protects those most affected and least empowered. Electricity consumers, especially vulnerable groups</w:t>
      </w:r>
      <w:r w:rsidR="00485355" w:rsidRPr="00666F3D">
        <w:rPr>
          <w:rFonts w:asciiTheme="majorHAnsi" w:hAnsiTheme="majorHAnsi" w:cstheme="majorHAnsi"/>
          <w:sz w:val="22"/>
        </w:rPr>
        <w:t xml:space="preserve"> </w:t>
      </w:r>
      <w:sdt>
        <w:sdtPr>
          <w:rPr>
            <w:rFonts w:asciiTheme="majorHAnsi" w:hAnsiTheme="majorHAnsi" w:cstheme="majorHAnsi"/>
            <w:sz w:val="22"/>
          </w:rPr>
          <w:id w:val="-1920549038"/>
          <w:citation/>
        </w:sdtPr>
        <w:sdtEndPr/>
        <w:sdtContent>
          <w:r w:rsidR="00485355" w:rsidRPr="00666F3D">
            <w:rPr>
              <w:rFonts w:asciiTheme="majorHAnsi" w:hAnsiTheme="majorHAnsi" w:cstheme="majorHAnsi"/>
              <w:sz w:val="22"/>
            </w:rPr>
            <w:fldChar w:fldCharType="begin"/>
          </w:r>
          <w:r w:rsidR="00485355" w:rsidRPr="00666F3D">
            <w:rPr>
              <w:rFonts w:asciiTheme="majorHAnsi" w:hAnsiTheme="majorHAnsi" w:cstheme="majorHAnsi"/>
              <w:sz w:val="22"/>
              <w:lang w:val="en-US"/>
            </w:rPr>
            <w:instrText xml:space="preserve"> CITATION Gil82 \l 1033 </w:instrText>
          </w:r>
          <w:r w:rsidR="00485355" w:rsidRPr="00666F3D">
            <w:rPr>
              <w:rFonts w:asciiTheme="majorHAnsi" w:hAnsiTheme="majorHAnsi" w:cstheme="majorHAnsi"/>
              <w:sz w:val="22"/>
            </w:rPr>
            <w:fldChar w:fldCharType="separate"/>
          </w:r>
          <w:r w:rsidR="00BE3619" w:rsidRPr="00666F3D">
            <w:rPr>
              <w:rFonts w:asciiTheme="majorHAnsi" w:hAnsiTheme="majorHAnsi" w:cstheme="majorHAnsi"/>
              <w:noProof/>
              <w:sz w:val="22"/>
              <w:lang w:val="en-US"/>
            </w:rPr>
            <w:t>(Gilligan, 1982)</w:t>
          </w:r>
          <w:r w:rsidR="00485355" w:rsidRPr="00666F3D">
            <w:rPr>
              <w:rFonts w:asciiTheme="majorHAnsi" w:hAnsiTheme="majorHAnsi" w:cstheme="majorHAnsi"/>
              <w:sz w:val="22"/>
            </w:rPr>
            <w:fldChar w:fldCharType="end"/>
          </w:r>
        </w:sdtContent>
      </w:sdt>
      <w:r w:rsidRPr="00666F3D">
        <w:rPr>
          <w:rFonts w:asciiTheme="majorHAnsi" w:hAnsiTheme="majorHAnsi" w:cstheme="majorHAnsi"/>
          <w:sz w:val="22"/>
        </w:rPr>
        <w:t>, have minimal agency over how their consumption patterns are modelled or how decisions based on forecasts affect pricing and supply reliability. Care ethics highlights the responsibility of data scientists, grid operators, and regulators to act with attentiveness and responsibility toward these groups. This includes transparent communication, fairness-aware model design, and inclusive governance practices.</w:t>
      </w:r>
    </w:p>
    <w:p w:rsidR="00AA14F6" w:rsidRPr="00666F3D" w:rsidRDefault="00AA14F6" w:rsidP="00AA14F6">
      <w:pPr>
        <w:pStyle w:val="NormalWeb"/>
        <w:spacing w:before="0" w:beforeAutospacing="0" w:after="0" w:afterAutospacing="0"/>
        <w:jc w:val="both"/>
        <w:rPr>
          <w:rFonts w:asciiTheme="majorHAnsi" w:hAnsiTheme="majorHAnsi" w:cstheme="majorHAnsi"/>
          <w:sz w:val="22"/>
        </w:rPr>
      </w:pPr>
    </w:p>
    <w:p w:rsidR="008A7B70" w:rsidRDefault="00C23716" w:rsidP="00146650">
      <w:pPr>
        <w:pStyle w:val="NormalWeb"/>
        <w:spacing w:before="0" w:beforeAutospacing="0" w:after="0" w:afterAutospacing="0"/>
        <w:jc w:val="both"/>
        <w:rPr>
          <w:rFonts w:asciiTheme="majorHAnsi" w:hAnsiTheme="majorHAnsi" w:cstheme="majorHAnsi"/>
        </w:rPr>
      </w:pPr>
      <w:r w:rsidRPr="00666F3D">
        <w:rPr>
          <w:rFonts w:asciiTheme="majorHAnsi" w:hAnsiTheme="majorHAnsi" w:cstheme="majorHAnsi"/>
          <w:sz w:val="22"/>
        </w:rPr>
        <w:t>Together, utilitarianism and care ethics reveal a central ethical tension: while the system produces broad societal benefits through efficiency and reliability, it risks reinforcing inequality if vulnerable stakeholders are overlooked. Ethical legitimacy therefore requires balancing collective efficiency with relational responsibility, fairness, and protection of those with the least power.</w:t>
      </w:r>
    </w:p>
    <w:p w:rsidR="00C23716" w:rsidRPr="006172A3" w:rsidRDefault="00C23716" w:rsidP="00AA14F6">
      <w:pPr>
        <w:pStyle w:val="Heading2"/>
        <w:spacing w:before="0" w:beforeAutospacing="0" w:after="0" w:afterAutospacing="0"/>
        <w:jc w:val="both"/>
        <w:rPr>
          <w:rFonts w:asciiTheme="majorHAnsi" w:hAnsiTheme="majorHAnsi" w:cstheme="majorHAnsi"/>
        </w:rPr>
      </w:pPr>
      <w:bookmarkStart w:id="2" w:name="_Toc228144791"/>
      <w:r w:rsidRPr="006172A3">
        <w:rPr>
          <w:rFonts w:asciiTheme="majorHAnsi" w:hAnsiTheme="majorHAnsi" w:cstheme="majorHAnsi"/>
        </w:rPr>
        <w:lastRenderedPageBreak/>
        <w:t>2. Legal and Regulatory Considerations</w:t>
      </w:r>
      <w:bookmarkEnd w:id="2"/>
    </w:p>
    <w:p w:rsidR="00AA14F6" w:rsidRPr="008A7B70" w:rsidRDefault="00AA14F6" w:rsidP="00AA14F6">
      <w:pPr>
        <w:pStyle w:val="NormalWeb"/>
        <w:spacing w:before="0" w:beforeAutospacing="0" w:after="0" w:afterAutospacing="0"/>
        <w:jc w:val="both"/>
        <w:rPr>
          <w:rFonts w:asciiTheme="majorHAnsi" w:hAnsiTheme="majorHAnsi" w:cstheme="majorHAnsi"/>
          <w:sz w:val="22"/>
        </w:rPr>
      </w:pPr>
    </w:p>
    <w:p w:rsidR="00C23716" w:rsidRPr="008A7B70" w:rsidRDefault="00C23716" w:rsidP="00AA14F6">
      <w:pPr>
        <w:pStyle w:val="NormalWeb"/>
        <w:spacing w:before="0" w:beforeAutospacing="0" w:after="0" w:afterAutospacing="0"/>
        <w:jc w:val="both"/>
        <w:rPr>
          <w:rFonts w:asciiTheme="majorHAnsi" w:hAnsiTheme="majorHAnsi" w:cstheme="majorHAnsi"/>
          <w:sz w:val="22"/>
        </w:rPr>
      </w:pPr>
      <w:r w:rsidRPr="008A7B70">
        <w:rPr>
          <w:rFonts w:asciiTheme="majorHAnsi" w:hAnsiTheme="majorHAnsi" w:cstheme="majorHAnsi"/>
          <w:sz w:val="22"/>
        </w:rPr>
        <w:t xml:space="preserve">Although the AI-based Electricity Demand Forecasting System primarily uses aggregated operational and environmental data, several legal and regulatory frameworks remain relevant because the system directly influences public infrastructure, electricity market pricing, and consumer welfare. In Australia, the most relevant framework is the </w:t>
      </w:r>
      <w:r w:rsidRPr="008A7B70">
        <w:rPr>
          <w:rStyle w:val="Strong"/>
          <w:rFonts w:asciiTheme="majorHAnsi" w:hAnsiTheme="majorHAnsi" w:cstheme="majorHAnsi"/>
          <w:sz w:val="22"/>
        </w:rPr>
        <w:t>Privacy Act 1988 (Cth)</w:t>
      </w:r>
      <w:r w:rsidR="00BE3619" w:rsidRPr="008A7B70">
        <w:rPr>
          <w:rFonts w:asciiTheme="majorHAnsi" w:hAnsiTheme="majorHAnsi" w:cstheme="majorHAnsi"/>
          <w:sz w:val="22"/>
        </w:rPr>
        <w:t xml:space="preserve"> </w:t>
      </w:r>
      <w:r w:rsidRPr="008A7B70">
        <w:rPr>
          <w:rFonts w:asciiTheme="majorHAnsi" w:hAnsiTheme="majorHAnsi" w:cstheme="majorHAnsi"/>
          <w:sz w:val="22"/>
        </w:rPr>
        <w:t xml:space="preserve">and its </w:t>
      </w:r>
      <w:r w:rsidRPr="008A7B70">
        <w:rPr>
          <w:rStyle w:val="Strong"/>
          <w:rFonts w:asciiTheme="majorHAnsi" w:hAnsiTheme="majorHAnsi" w:cstheme="majorHAnsi"/>
          <w:sz w:val="22"/>
        </w:rPr>
        <w:t>Australian Privacy Principles (APPs)</w:t>
      </w:r>
      <w:r w:rsidR="00BE3619" w:rsidRPr="008A7B70">
        <w:rPr>
          <w:rStyle w:val="Strong"/>
          <w:rFonts w:asciiTheme="majorHAnsi" w:hAnsiTheme="majorHAnsi" w:cstheme="majorHAnsi"/>
          <w:sz w:val="22"/>
        </w:rPr>
        <w:t xml:space="preserve"> </w:t>
      </w:r>
      <w:sdt>
        <w:sdtPr>
          <w:rPr>
            <w:rFonts w:asciiTheme="majorHAnsi" w:hAnsiTheme="majorHAnsi" w:cstheme="majorHAnsi"/>
            <w:sz w:val="22"/>
          </w:rPr>
          <w:id w:val="-1227839913"/>
          <w:citation/>
        </w:sdtPr>
        <w:sdtContent>
          <w:r w:rsidR="00BE3619" w:rsidRPr="008A7B70">
            <w:rPr>
              <w:rFonts w:asciiTheme="majorHAnsi" w:hAnsiTheme="majorHAnsi" w:cstheme="majorHAnsi"/>
              <w:sz w:val="22"/>
            </w:rPr>
            <w:fldChar w:fldCharType="begin"/>
          </w:r>
          <w:r w:rsidR="00BE3619" w:rsidRPr="008A7B70">
            <w:rPr>
              <w:rFonts w:asciiTheme="majorHAnsi" w:hAnsiTheme="majorHAnsi" w:cstheme="majorHAnsi"/>
              <w:sz w:val="22"/>
              <w:lang w:val="en-US"/>
            </w:rPr>
            <w:instrText xml:space="preserve"> CITATION Aus88 \l 1033 </w:instrText>
          </w:r>
          <w:r w:rsidR="00BE3619" w:rsidRPr="008A7B70">
            <w:rPr>
              <w:rFonts w:asciiTheme="majorHAnsi" w:hAnsiTheme="majorHAnsi" w:cstheme="majorHAnsi"/>
              <w:sz w:val="22"/>
            </w:rPr>
            <w:fldChar w:fldCharType="separate"/>
          </w:r>
          <w:r w:rsidR="00BE3619" w:rsidRPr="008A7B70">
            <w:rPr>
              <w:rFonts w:asciiTheme="majorHAnsi" w:hAnsiTheme="majorHAnsi" w:cstheme="majorHAnsi"/>
              <w:noProof/>
              <w:sz w:val="22"/>
              <w:lang w:val="en-US"/>
            </w:rPr>
            <w:t>(Federal Register of Legislation, 1988)</w:t>
          </w:r>
          <w:r w:rsidR="00BE3619" w:rsidRPr="008A7B70">
            <w:rPr>
              <w:rFonts w:asciiTheme="majorHAnsi" w:hAnsiTheme="majorHAnsi" w:cstheme="majorHAnsi"/>
              <w:sz w:val="22"/>
            </w:rPr>
            <w:fldChar w:fldCharType="end"/>
          </w:r>
        </w:sdtContent>
      </w:sdt>
      <w:r w:rsidRPr="008A7B70">
        <w:rPr>
          <w:rFonts w:asciiTheme="majorHAnsi" w:hAnsiTheme="majorHAnsi" w:cstheme="majorHAnsi"/>
          <w:sz w:val="22"/>
        </w:rPr>
        <w:t>. Under Australian privacy law, “personal information” includes information that can reasonably identify an individual, either directly or indirectly. While the current forecasting model uses aggregated demand data, future integration with smart meter data could introduce identifiable household consumption profiles, bringing the system directly under privacy obligations such as data minimisation, purpose limitation, secure storage, transparency, and responsible disposal, consistent with Week 5 course content on privacy law</w:t>
      </w:r>
      <w:r w:rsidR="00BE3619" w:rsidRPr="008A7B70">
        <w:rPr>
          <w:rFonts w:asciiTheme="majorHAnsi" w:hAnsiTheme="majorHAnsi" w:cstheme="majorHAnsi"/>
          <w:sz w:val="22"/>
        </w:rPr>
        <w:t xml:space="preserve"> </w:t>
      </w:r>
      <w:sdt>
        <w:sdtPr>
          <w:rPr>
            <w:rFonts w:asciiTheme="majorHAnsi" w:hAnsiTheme="majorHAnsi" w:cstheme="majorHAnsi"/>
            <w:sz w:val="22"/>
          </w:rPr>
          <w:id w:val="299042204"/>
          <w:citation/>
        </w:sdtPr>
        <w:sdtContent>
          <w:r w:rsidR="00BE3619" w:rsidRPr="008A7B70">
            <w:rPr>
              <w:rFonts w:asciiTheme="majorHAnsi" w:hAnsiTheme="majorHAnsi" w:cstheme="majorHAnsi"/>
              <w:sz w:val="22"/>
            </w:rPr>
            <w:fldChar w:fldCharType="begin"/>
          </w:r>
          <w:r w:rsidR="00BE3619" w:rsidRPr="008A7B70">
            <w:rPr>
              <w:rFonts w:asciiTheme="majorHAnsi" w:hAnsiTheme="majorHAnsi" w:cstheme="majorHAnsi"/>
              <w:sz w:val="22"/>
              <w:lang w:val="en-US"/>
            </w:rPr>
            <w:instrText xml:space="preserve"> CITATION Uni26 \l 1033 </w:instrText>
          </w:r>
          <w:r w:rsidR="00BE3619" w:rsidRPr="008A7B70">
            <w:rPr>
              <w:rFonts w:asciiTheme="majorHAnsi" w:hAnsiTheme="majorHAnsi" w:cstheme="majorHAnsi"/>
              <w:sz w:val="22"/>
            </w:rPr>
            <w:fldChar w:fldCharType="separate"/>
          </w:r>
          <w:r w:rsidR="00BE3619" w:rsidRPr="008A7B70">
            <w:rPr>
              <w:rFonts w:asciiTheme="majorHAnsi" w:hAnsiTheme="majorHAnsi" w:cstheme="majorHAnsi"/>
              <w:noProof/>
              <w:sz w:val="22"/>
              <w:lang w:val="en-US"/>
            </w:rPr>
            <w:t>(UNSW, 2026)</w:t>
          </w:r>
          <w:r w:rsidR="00BE3619" w:rsidRPr="008A7B70">
            <w:rPr>
              <w:rFonts w:asciiTheme="majorHAnsi" w:hAnsiTheme="majorHAnsi" w:cstheme="majorHAnsi"/>
              <w:sz w:val="22"/>
            </w:rPr>
            <w:fldChar w:fldCharType="end"/>
          </w:r>
        </w:sdtContent>
      </w:sdt>
      <w:r w:rsidRPr="008A7B70">
        <w:rPr>
          <w:rFonts w:asciiTheme="majorHAnsi" w:hAnsiTheme="majorHAnsi" w:cstheme="majorHAnsi"/>
          <w:sz w:val="22"/>
        </w:rPr>
        <w:t>.</w:t>
      </w:r>
    </w:p>
    <w:p w:rsidR="00AA14F6" w:rsidRPr="008A7B70" w:rsidRDefault="00AA14F6" w:rsidP="00AA14F6">
      <w:pPr>
        <w:pStyle w:val="NormalWeb"/>
        <w:spacing w:before="0" w:beforeAutospacing="0" w:after="0" w:afterAutospacing="0"/>
        <w:jc w:val="both"/>
        <w:rPr>
          <w:rFonts w:asciiTheme="majorHAnsi" w:hAnsiTheme="majorHAnsi" w:cstheme="majorHAnsi"/>
          <w:sz w:val="22"/>
        </w:rPr>
      </w:pPr>
    </w:p>
    <w:p w:rsidR="00C23716" w:rsidRPr="008A7B70" w:rsidRDefault="00C23716" w:rsidP="00AA14F6">
      <w:pPr>
        <w:pStyle w:val="NormalWeb"/>
        <w:spacing w:before="0" w:beforeAutospacing="0" w:after="0" w:afterAutospacing="0"/>
        <w:jc w:val="both"/>
        <w:rPr>
          <w:rFonts w:asciiTheme="majorHAnsi" w:hAnsiTheme="majorHAnsi" w:cstheme="majorHAnsi"/>
          <w:sz w:val="22"/>
        </w:rPr>
      </w:pPr>
      <w:r w:rsidRPr="008A7B70">
        <w:rPr>
          <w:rFonts w:asciiTheme="majorHAnsi" w:hAnsiTheme="majorHAnsi" w:cstheme="majorHAnsi"/>
          <w:sz w:val="22"/>
        </w:rPr>
        <w:t xml:space="preserve">Beyond privacy law, </w:t>
      </w:r>
      <w:r w:rsidRPr="008A7B70">
        <w:rPr>
          <w:rStyle w:val="Strong"/>
          <w:rFonts w:asciiTheme="majorHAnsi" w:hAnsiTheme="majorHAnsi" w:cstheme="majorHAnsi"/>
          <w:sz w:val="22"/>
        </w:rPr>
        <w:t>data governance and stewardship principles</w:t>
      </w:r>
      <w:r w:rsidRPr="008A7B70">
        <w:rPr>
          <w:rFonts w:asciiTheme="majorHAnsi" w:hAnsiTheme="majorHAnsi" w:cstheme="majorHAnsi"/>
          <w:sz w:val="22"/>
        </w:rPr>
        <w:t xml:space="preserve"> from Week 4 are highly relevant. Forecasting systems depend on continuous upstream and downstream data flows, requiring accountability over data quality, storage, access permissions, and lifecycle management. Strong governance policies are necessary to ensure that data remains accurate, responsibly managed, and protected against misuse or unauthorised alteration. Privacy Impact Assessments (PIAs), introduced in Week 4</w:t>
      </w:r>
      <w:r w:rsidR="00BE3619" w:rsidRPr="008A7B70">
        <w:rPr>
          <w:rFonts w:asciiTheme="majorHAnsi" w:hAnsiTheme="majorHAnsi" w:cstheme="majorHAnsi"/>
          <w:sz w:val="22"/>
        </w:rPr>
        <w:t xml:space="preserve"> </w:t>
      </w:r>
      <w:sdt>
        <w:sdtPr>
          <w:rPr>
            <w:rFonts w:asciiTheme="majorHAnsi" w:hAnsiTheme="majorHAnsi" w:cstheme="majorHAnsi"/>
            <w:sz w:val="22"/>
          </w:rPr>
          <w:id w:val="-124080790"/>
          <w:citation/>
        </w:sdtPr>
        <w:sdtContent>
          <w:r w:rsidR="00BE3619" w:rsidRPr="008A7B70">
            <w:rPr>
              <w:rFonts w:asciiTheme="majorHAnsi" w:hAnsiTheme="majorHAnsi" w:cstheme="majorHAnsi"/>
              <w:sz w:val="22"/>
            </w:rPr>
            <w:fldChar w:fldCharType="begin"/>
          </w:r>
          <w:r w:rsidR="00BE3619" w:rsidRPr="008A7B70">
            <w:rPr>
              <w:rFonts w:asciiTheme="majorHAnsi" w:hAnsiTheme="majorHAnsi" w:cstheme="majorHAnsi"/>
              <w:sz w:val="22"/>
              <w:lang w:val="en-US"/>
            </w:rPr>
            <w:instrText xml:space="preserve"> CITATION Uni26 \l 1033 </w:instrText>
          </w:r>
          <w:r w:rsidR="00BE3619" w:rsidRPr="008A7B70">
            <w:rPr>
              <w:rFonts w:asciiTheme="majorHAnsi" w:hAnsiTheme="majorHAnsi" w:cstheme="majorHAnsi"/>
              <w:sz w:val="22"/>
            </w:rPr>
            <w:fldChar w:fldCharType="separate"/>
          </w:r>
          <w:r w:rsidR="00BE3619" w:rsidRPr="008A7B70">
            <w:rPr>
              <w:rFonts w:asciiTheme="majorHAnsi" w:hAnsiTheme="majorHAnsi" w:cstheme="majorHAnsi"/>
              <w:noProof/>
              <w:sz w:val="22"/>
              <w:lang w:val="en-US"/>
            </w:rPr>
            <w:t>(UNSW, 2026)</w:t>
          </w:r>
          <w:r w:rsidR="00BE3619" w:rsidRPr="008A7B70">
            <w:rPr>
              <w:rFonts w:asciiTheme="majorHAnsi" w:hAnsiTheme="majorHAnsi" w:cstheme="majorHAnsi"/>
              <w:sz w:val="22"/>
            </w:rPr>
            <w:fldChar w:fldCharType="end"/>
          </w:r>
        </w:sdtContent>
      </w:sdt>
      <w:r w:rsidRPr="008A7B70">
        <w:rPr>
          <w:rFonts w:asciiTheme="majorHAnsi" w:hAnsiTheme="majorHAnsi" w:cstheme="majorHAnsi"/>
          <w:sz w:val="22"/>
        </w:rPr>
        <w:t>, are particularly relevant as a governance mechanism to identify risks before introducing finer-grained consumer data into the system. In addition, governance frameworks establish clear responsibilities for data custodians, helping improve accountability and oversight.</w:t>
      </w:r>
    </w:p>
    <w:p w:rsidR="00AA14F6" w:rsidRPr="008A7B70" w:rsidRDefault="00AA14F6" w:rsidP="00AA14F6">
      <w:pPr>
        <w:pStyle w:val="NormalWeb"/>
        <w:spacing w:before="0" w:beforeAutospacing="0" w:after="0" w:afterAutospacing="0"/>
        <w:jc w:val="both"/>
        <w:rPr>
          <w:rFonts w:asciiTheme="majorHAnsi" w:hAnsiTheme="majorHAnsi" w:cstheme="majorHAnsi"/>
          <w:sz w:val="22"/>
        </w:rPr>
      </w:pPr>
    </w:p>
    <w:p w:rsidR="00C23716" w:rsidRPr="008A7B70" w:rsidRDefault="00C23716" w:rsidP="00AA14F6">
      <w:pPr>
        <w:pStyle w:val="NormalWeb"/>
        <w:spacing w:before="0" w:beforeAutospacing="0" w:after="0" w:afterAutospacing="0"/>
        <w:jc w:val="both"/>
        <w:rPr>
          <w:rFonts w:asciiTheme="majorHAnsi" w:hAnsiTheme="majorHAnsi" w:cstheme="majorHAnsi"/>
          <w:sz w:val="22"/>
        </w:rPr>
      </w:pPr>
      <w:r w:rsidRPr="008A7B70">
        <w:rPr>
          <w:rFonts w:asciiTheme="majorHAnsi" w:hAnsiTheme="majorHAnsi" w:cstheme="majorHAnsi"/>
          <w:sz w:val="22"/>
        </w:rPr>
        <w:t>From a public interest perspective, electricity forecasting affects a critical public utility essential to social and economic stability</w:t>
      </w:r>
      <w:r w:rsidR="00BE3619" w:rsidRPr="008A7B70">
        <w:rPr>
          <w:rFonts w:asciiTheme="majorHAnsi" w:hAnsiTheme="majorHAnsi" w:cstheme="majorHAnsi"/>
          <w:sz w:val="22"/>
        </w:rPr>
        <w:t xml:space="preserve"> </w:t>
      </w:r>
      <w:sdt>
        <w:sdtPr>
          <w:rPr>
            <w:rFonts w:asciiTheme="majorHAnsi" w:hAnsiTheme="majorHAnsi" w:cstheme="majorHAnsi"/>
            <w:sz w:val="22"/>
          </w:rPr>
          <w:id w:val="-1480533952"/>
          <w:citation/>
        </w:sdtPr>
        <w:sdtContent>
          <w:r w:rsidR="00BE3619" w:rsidRPr="008A7B70">
            <w:rPr>
              <w:rFonts w:asciiTheme="majorHAnsi" w:hAnsiTheme="majorHAnsi" w:cstheme="majorHAnsi"/>
              <w:sz w:val="22"/>
            </w:rPr>
            <w:fldChar w:fldCharType="begin"/>
          </w:r>
          <w:r w:rsidR="00BE3619" w:rsidRPr="008A7B70">
            <w:rPr>
              <w:rFonts w:asciiTheme="majorHAnsi" w:hAnsiTheme="majorHAnsi" w:cstheme="majorHAnsi"/>
              <w:sz w:val="22"/>
              <w:lang w:val="en-US"/>
            </w:rPr>
            <w:instrText xml:space="preserve"> CITATION Aus23 \l 1033 </w:instrText>
          </w:r>
          <w:r w:rsidR="00BE3619" w:rsidRPr="008A7B70">
            <w:rPr>
              <w:rFonts w:asciiTheme="majorHAnsi" w:hAnsiTheme="majorHAnsi" w:cstheme="majorHAnsi"/>
              <w:sz w:val="22"/>
            </w:rPr>
            <w:fldChar w:fldCharType="separate"/>
          </w:r>
          <w:r w:rsidR="00BE3619" w:rsidRPr="008A7B70">
            <w:rPr>
              <w:rFonts w:asciiTheme="majorHAnsi" w:hAnsiTheme="majorHAnsi" w:cstheme="majorHAnsi"/>
              <w:noProof/>
              <w:sz w:val="22"/>
              <w:lang w:val="en-US"/>
            </w:rPr>
            <w:t>(Australian Energy Market Operator, 2023)</w:t>
          </w:r>
          <w:r w:rsidR="00BE3619" w:rsidRPr="008A7B70">
            <w:rPr>
              <w:rFonts w:asciiTheme="majorHAnsi" w:hAnsiTheme="majorHAnsi" w:cstheme="majorHAnsi"/>
              <w:sz w:val="22"/>
            </w:rPr>
            <w:fldChar w:fldCharType="end"/>
          </w:r>
        </w:sdtContent>
      </w:sdt>
      <w:r w:rsidRPr="008A7B70">
        <w:rPr>
          <w:rFonts w:asciiTheme="majorHAnsi" w:hAnsiTheme="majorHAnsi" w:cstheme="majorHAnsi"/>
          <w:sz w:val="22"/>
        </w:rPr>
        <w:t>. Errors in forecasting can result in blackouts, inefficient generation allocation, and volatile electricity prices, directly affecting households, businesses, and government planning. Public interest concerns therefore include fairness in electricity pricing, transparency in automated decision-making, and equitable energy access. There is also concern that forecast-driven market decisions may disproportionately disadvantage low-income or regional communities, reinforcing existing structural inequalities and limiting equitable distribution of energy resources.</w:t>
      </w:r>
    </w:p>
    <w:p w:rsidR="00AA14F6" w:rsidRPr="008A7B70" w:rsidRDefault="00AA14F6" w:rsidP="00AA14F6">
      <w:pPr>
        <w:pStyle w:val="NormalWeb"/>
        <w:spacing w:before="0" w:beforeAutospacing="0" w:after="0" w:afterAutospacing="0"/>
        <w:jc w:val="both"/>
        <w:rPr>
          <w:rFonts w:asciiTheme="majorHAnsi" w:hAnsiTheme="majorHAnsi" w:cstheme="majorHAnsi"/>
          <w:sz w:val="22"/>
        </w:rPr>
      </w:pPr>
    </w:p>
    <w:p w:rsidR="00C23716" w:rsidRPr="008A7B70" w:rsidRDefault="00C23716" w:rsidP="00AA14F6">
      <w:pPr>
        <w:pStyle w:val="NormalWeb"/>
        <w:spacing w:before="0" w:beforeAutospacing="0" w:after="0" w:afterAutospacing="0"/>
        <w:jc w:val="both"/>
        <w:rPr>
          <w:rFonts w:asciiTheme="majorHAnsi" w:hAnsiTheme="majorHAnsi" w:cstheme="majorHAnsi"/>
          <w:sz w:val="22"/>
        </w:rPr>
      </w:pPr>
      <w:r w:rsidRPr="008A7B70">
        <w:rPr>
          <w:rFonts w:asciiTheme="majorHAnsi" w:hAnsiTheme="majorHAnsi" w:cstheme="majorHAnsi"/>
          <w:sz w:val="22"/>
        </w:rPr>
        <w:t xml:space="preserve">The major threats and vulnerabilities in this system fall into four key areas. First, </w:t>
      </w:r>
      <w:r w:rsidRPr="008A7B70">
        <w:rPr>
          <w:rStyle w:val="Strong"/>
          <w:rFonts w:asciiTheme="majorHAnsi" w:hAnsiTheme="majorHAnsi" w:cstheme="majorHAnsi"/>
          <w:sz w:val="22"/>
        </w:rPr>
        <w:t>unauthorised access or data breaches</w:t>
      </w:r>
      <w:r w:rsidRPr="008A7B70">
        <w:rPr>
          <w:rFonts w:asciiTheme="majorHAnsi" w:hAnsiTheme="majorHAnsi" w:cstheme="majorHAnsi"/>
          <w:sz w:val="22"/>
        </w:rPr>
        <w:t xml:space="preserve"> could expose sensitive operational or consumer-level data if data granularity increases. Second, </w:t>
      </w:r>
      <w:r w:rsidRPr="008A7B70">
        <w:rPr>
          <w:rStyle w:val="Strong"/>
          <w:rFonts w:asciiTheme="majorHAnsi" w:hAnsiTheme="majorHAnsi" w:cstheme="majorHAnsi"/>
          <w:sz w:val="22"/>
        </w:rPr>
        <w:t>data corruption or loss</w:t>
      </w:r>
      <w:r w:rsidRPr="008A7B70">
        <w:rPr>
          <w:rFonts w:asciiTheme="majorHAnsi" w:hAnsiTheme="majorHAnsi" w:cstheme="majorHAnsi"/>
          <w:sz w:val="22"/>
        </w:rPr>
        <w:t xml:space="preserve"> may compromise model accuracy, creating unreliable forecasts and operational failures. Third, </w:t>
      </w:r>
      <w:r w:rsidRPr="008A7B70">
        <w:rPr>
          <w:rStyle w:val="Strong"/>
          <w:rFonts w:asciiTheme="majorHAnsi" w:hAnsiTheme="majorHAnsi" w:cstheme="majorHAnsi"/>
          <w:sz w:val="22"/>
        </w:rPr>
        <w:t>misuse or misinterpretation of forecasts</w:t>
      </w:r>
      <w:r w:rsidRPr="008A7B70">
        <w:rPr>
          <w:rFonts w:asciiTheme="majorHAnsi" w:hAnsiTheme="majorHAnsi" w:cstheme="majorHAnsi"/>
          <w:sz w:val="22"/>
        </w:rPr>
        <w:t xml:space="preserve"> by energy providers could distort pricing strategies or infrastructure planning. Fourth, </w:t>
      </w:r>
      <w:r w:rsidRPr="008A7B70">
        <w:rPr>
          <w:rStyle w:val="Strong"/>
          <w:rFonts w:asciiTheme="majorHAnsi" w:hAnsiTheme="majorHAnsi" w:cstheme="majorHAnsi"/>
          <w:sz w:val="22"/>
        </w:rPr>
        <w:t>algorithmic bias and opacity</w:t>
      </w:r>
      <w:r w:rsidRPr="008A7B70">
        <w:rPr>
          <w:rFonts w:asciiTheme="majorHAnsi" w:hAnsiTheme="majorHAnsi" w:cstheme="majorHAnsi"/>
          <w:sz w:val="22"/>
        </w:rPr>
        <w:t xml:space="preserve"> remain significant risks, as historical demand data may reinforce regional inequalities while black-box models reduce explainability and accountability. Together, these legal, governance, and ethical concerns show that effective regulation must extend beyond technical compliance toward broader public accountability, fairness, and long-term trust in data-driven systems.</w:t>
      </w:r>
    </w:p>
    <w:p w:rsidR="00AA14F6" w:rsidRPr="008A7B70" w:rsidRDefault="00AA14F6" w:rsidP="00AA14F6">
      <w:pPr>
        <w:pStyle w:val="NormalWeb"/>
        <w:spacing w:before="0" w:beforeAutospacing="0" w:after="0" w:afterAutospacing="0"/>
        <w:jc w:val="both"/>
        <w:rPr>
          <w:rFonts w:asciiTheme="majorHAnsi" w:hAnsiTheme="majorHAnsi" w:cstheme="majorHAnsi"/>
        </w:rPr>
      </w:pPr>
    </w:p>
    <w:p w:rsidR="00A33745" w:rsidRPr="008A7B70" w:rsidRDefault="00A33745" w:rsidP="00AA14F6">
      <w:pPr>
        <w:pStyle w:val="NormalWeb"/>
        <w:spacing w:before="0" w:beforeAutospacing="0" w:after="0" w:afterAutospacing="0"/>
        <w:jc w:val="both"/>
        <w:rPr>
          <w:rFonts w:asciiTheme="majorHAnsi" w:hAnsiTheme="majorHAnsi" w:cstheme="majorHAnsi"/>
        </w:rPr>
      </w:pPr>
    </w:p>
    <w:p w:rsidR="008A7B70" w:rsidRDefault="008A7B70">
      <w:pPr>
        <w:rPr>
          <w:rFonts w:asciiTheme="majorHAnsi" w:eastAsia="Times New Roman" w:hAnsiTheme="majorHAnsi" w:cstheme="majorHAnsi"/>
          <w:sz w:val="24"/>
          <w:szCs w:val="24"/>
          <w:lang w:eastAsia="en-AU"/>
        </w:rPr>
      </w:pPr>
      <w:r>
        <w:rPr>
          <w:rFonts w:asciiTheme="majorHAnsi" w:hAnsiTheme="majorHAnsi" w:cstheme="majorHAnsi"/>
        </w:rPr>
        <w:br w:type="page"/>
      </w:r>
    </w:p>
    <w:p w:rsidR="0049211C" w:rsidRDefault="00AA14F6" w:rsidP="00D13EAF">
      <w:pPr>
        <w:pStyle w:val="Heading2"/>
        <w:spacing w:before="0" w:beforeAutospacing="0" w:after="0" w:afterAutospacing="0"/>
        <w:jc w:val="both"/>
        <w:rPr>
          <w:rFonts w:asciiTheme="majorHAnsi" w:hAnsiTheme="majorHAnsi" w:cstheme="majorHAnsi"/>
        </w:rPr>
      </w:pPr>
      <w:bookmarkStart w:id="3" w:name="_Toc228144792"/>
      <w:r w:rsidRPr="00D13EAF">
        <w:rPr>
          <w:rFonts w:asciiTheme="majorHAnsi" w:hAnsiTheme="majorHAnsi" w:cstheme="majorHAnsi"/>
        </w:rPr>
        <w:lastRenderedPageBreak/>
        <w:t>3. Risk Assessment</w:t>
      </w:r>
      <w:bookmarkEnd w:id="3"/>
    </w:p>
    <w:p w:rsidR="00566A5C" w:rsidRPr="008A7B70" w:rsidRDefault="00566A5C" w:rsidP="00AA14F6">
      <w:pPr>
        <w:spacing w:after="0"/>
        <w:jc w:val="both"/>
        <w:rPr>
          <w:rFonts w:asciiTheme="majorHAnsi" w:hAnsiTheme="majorHAnsi" w:cstheme="majorHAnsi"/>
        </w:rPr>
      </w:pPr>
    </w:p>
    <w:p w:rsidR="00566A5C" w:rsidRPr="008A7B70" w:rsidRDefault="00566A5C" w:rsidP="00AA14F6">
      <w:pPr>
        <w:spacing w:after="0"/>
        <w:jc w:val="both"/>
        <w:rPr>
          <w:rFonts w:asciiTheme="majorHAnsi" w:hAnsiTheme="majorHAnsi" w:cstheme="majorHAnsi"/>
        </w:rPr>
      </w:pPr>
      <w:r w:rsidRPr="008A7B70">
        <w:rPr>
          <w:rFonts w:asciiTheme="majorHAnsi" w:hAnsiTheme="majorHAnsi" w:cstheme="majorHAnsi"/>
        </w:rPr>
        <w:t>Building on the ethical and regulatory analysis above, this risk assessment identifies the most significant inherent risks within the AI-based Electricity Demand Forecasting System. In line with the Ada Lovelace Institute’s approach</w:t>
      </w:r>
      <w:r w:rsidR="00BE3619" w:rsidRPr="008A7B70">
        <w:rPr>
          <w:rFonts w:asciiTheme="majorHAnsi" w:hAnsiTheme="majorHAnsi" w:cstheme="majorHAnsi"/>
        </w:rPr>
        <w:t xml:space="preserve"> </w:t>
      </w:r>
      <w:sdt>
        <w:sdtPr>
          <w:rPr>
            <w:rFonts w:asciiTheme="majorHAnsi" w:hAnsiTheme="majorHAnsi" w:cstheme="majorHAnsi"/>
          </w:rPr>
          <w:id w:val="2110161068"/>
          <w:citation/>
        </w:sdtPr>
        <w:sdtContent>
          <w:r w:rsidR="00BE3619" w:rsidRPr="008A7B70">
            <w:rPr>
              <w:rFonts w:asciiTheme="majorHAnsi" w:hAnsiTheme="majorHAnsi" w:cstheme="majorHAnsi"/>
            </w:rPr>
            <w:fldChar w:fldCharType="begin"/>
          </w:r>
          <w:r w:rsidR="00BE3619" w:rsidRPr="008A7B70">
            <w:rPr>
              <w:rFonts w:asciiTheme="majorHAnsi" w:hAnsiTheme="majorHAnsi" w:cstheme="majorHAnsi"/>
              <w:lang w:val="en-US"/>
            </w:rPr>
            <w:instrText xml:space="preserve"> CITATION Ada23 \l 1033 </w:instrText>
          </w:r>
          <w:r w:rsidR="00BE3619" w:rsidRPr="008A7B70">
            <w:rPr>
              <w:rFonts w:asciiTheme="majorHAnsi" w:hAnsiTheme="majorHAnsi" w:cstheme="majorHAnsi"/>
            </w:rPr>
            <w:fldChar w:fldCharType="separate"/>
          </w:r>
          <w:r w:rsidR="00BE3619" w:rsidRPr="008A7B70">
            <w:rPr>
              <w:rFonts w:asciiTheme="majorHAnsi" w:hAnsiTheme="majorHAnsi" w:cstheme="majorHAnsi"/>
              <w:noProof/>
              <w:lang w:val="en-US"/>
            </w:rPr>
            <w:t>(Ada Lovelace Institute, 2023)</w:t>
          </w:r>
          <w:r w:rsidR="00BE3619" w:rsidRPr="008A7B70">
            <w:rPr>
              <w:rFonts w:asciiTheme="majorHAnsi" w:hAnsiTheme="majorHAnsi" w:cstheme="majorHAnsi"/>
            </w:rPr>
            <w:fldChar w:fldCharType="end"/>
          </w:r>
        </w:sdtContent>
      </w:sdt>
      <w:r w:rsidRPr="008A7B70">
        <w:rPr>
          <w:rFonts w:asciiTheme="majorHAnsi" w:hAnsiTheme="majorHAnsi" w:cstheme="majorHAnsi"/>
        </w:rPr>
        <w:t xml:space="preserve">, risk assessment involves identifying potential harms, prioritising their significance, implementing mitigation strategies, and monitoring risks over time. Similarly, the NIST AI Risk Management Framework </w:t>
      </w:r>
      <w:sdt>
        <w:sdtPr>
          <w:rPr>
            <w:rFonts w:asciiTheme="majorHAnsi" w:hAnsiTheme="majorHAnsi" w:cstheme="majorHAnsi"/>
          </w:rPr>
          <w:id w:val="939026251"/>
          <w:citation/>
        </w:sdtPr>
        <w:sdtContent>
          <w:r w:rsidR="00476616" w:rsidRPr="008A7B70">
            <w:rPr>
              <w:rFonts w:asciiTheme="majorHAnsi" w:hAnsiTheme="majorHAnsi" w:cstheme="majorHAnsi"/>
            </w:rPr>
            <w:fldChar w:fldCharType="begin"/>
          </w:r>
          <w:r w:rsidR="00476616" w:rsidRPr="008A7B70">
            <w:rPr>
              <w:rFonts w:asciiTheme="majorHAnsi" w:hAnsiTheme="majorHAnsi" w:cstheme="majorHAnsi"/>
              <w:lang w:val="en-US"/>
            </w:rPr>
            <w:instrText xml:space="preserve"> CITATION USD23 \l 1033 </w:instrText>
          </w:r>
          <w:r w:rsidR="00476616" w:rsidRPr="008A7B70">
            <w:rPr>
              <w:rFonts w:asciiTheme="majorHAnsi" w:hAnsiTheme="majorHAnsi" w:cstheme="majorHAnsi"/>
            </w:rPr>
            <w:fldChar w:fldCharType="separate"/>
          </w:r>
          <w:r w:rsidR="00476616" w:rsidRPr="008A7B70">
            <w:rPr>
              <w:rFonts w:asciiTheme="majorHAnsi" w:hAnsiTheme="majorHAnsi" w:cstheme="majorHAnsi"/>
              <w:noProof/>
              <w:lang w:val="en-US"/>
            </w:rPr>
            <w:t>(NIST, 2023)</w:t>
          </w:r>
          <w:r w:rsidR="00476616" w:rsidRPr="008A7B70">
            <w:rPr>
              <w:rFonts w:asciiTheme="majorHAnsi" w:hAnsiTheme="majorHAnsi" w:cstheme="majorHAnsi"/>
            </w:rPr>
            <w:fldChar w:fldCharType="end"/>
          </w:r>
        </w:sdtContent>
      </w:sdt>
      <w:r w:rsidR="00476616" w:rsidRPr="008A7B70">
        <w:rPr>
          <w:rFonts w:asciiTheme="majorHAnsi" w:hAnsiTheme="majorHAnsi" w:cstheme="majorHAnsi"/>
        </w:rPr>
        <w:t xml:space="preserve"> </w:t>
      </w:r>
      <w:r w:rsidRPr="008A7B70">
        <w:rPr>
          <w:rFonts w:asciiTheme="majorHAnsi" w:hAnsiTheme="majorHAnsi" w:cstheme="majorHAnsi"/>
        </w:rPr>
        <w:t xml:space="preserve">emphasises that AI risks must be continuously governed, mapped, measured, and managed throughout the system lifecycle. </w:t>
      </w:r>
      <w:r w:rsidR="00E33B74" w:rsidRPr="008A7B70">
        <w:rPr>
          <w:rFonts w:asciiTheme="majorHAnsi" w:hAnsiTheme="majorHAnsi" w:cstheme="majorHAnsi"/>
        </w:rPr>
        <w:t>These frameworks highlight that risks in AI systems are not limited to data collection and storage but also emerge through downstream decision-making and broader societal impacts.</w:t>
      </w:r>
    </w:p>
    <w:p w:rsidR="00566A5C" w:rsidRPr="008A7B70" w:rsidRDefault="00566A5C" w:rsidP="00AA14F6">
      <w:pPr>
        <w:spacing w:after="0"/>
        <w:jc w:val="both"/>
        <w:rPr>
          <w:rFonts w:asciiTheme="majorHAnsi" w:hAnsiTheme="majorHAnsi" w:cstheme="majorHAnsi"/>
        </w:rPr>
      </w:pPr>
    </w:p>
    <w:tbl>
      <w:tblPr>
        <w:tblW w:w="10327" w:type="dxa"/>
        <w:tblInd w:w="-572" w:type="dxa"/>
        <w:tblLook w:val="04A0" w:firstRow="1" w:lastRow="0" w:firstColumn="1" w:lastColumn="0" w:noHBand="0" w:noVBand="1"/>
      </w:tblPr>
      <w:tblGrid>
        <w:gridCol w:w="1911"/>
        <w:gridCol w:w="2354"/>
        <w:gridCol w:w="1714"/>
        <w:gridCol w:w="1646"/>
        <w:gridCol w:w="900"/>
        <w:gridCol w:w="1802"/>
      </w:tblGrid>
      <w:tr w:rsidR="00AA14F6" w:rsidRPr="008A7B70" w:rsidTr="00E33B74">
        <w:trPr>
          <w:trHeight w:val="570"/>
        </w:trPr>
        <w:tc>
          <w:tcPr>
            <w:tcW w:w="1911" w:type="dxa"/>
            <w:tcBorders>
              <w:top w:val="single" w:sz="4" w:space="0" w:color="auto"/>
              <w:left w:val="single" w:sz="4" w:space="0" w:color="auto"/>
              <w:bottom w:val="single" w:sz="4" w:space="0" w:color="auto"/>
              <w:right w:val="single" w:sz="4" w:space="0" w:color="FFFFFF"/>
            </w:tcBorders>
            <w:shd w:val="clear" w:color="000000" w:fill="000000"/>
            <w:vAlign w:val="center"/>
            <w:hideMark/>
          </w:tcPr>
          <w:p w:rsidR="00AA14F6" w:rsidRPr="008A7B70" w:rsidRDefault="00AA14F6" w:rsidP="00AA14F6">
            <w:pPr>
              <w:spacing w:after="0" w:line="240" w:lineRule="auto"/>
              <w:jc w:val="center"/>
              <w:rPr>
                <w:rFonts w:asciiTheme="majorHAnsi" w:eastAsia="Times New Roman" w:hAnsiTheme="majorHAnsi" w:cstheme="majorHAnsi"/>
                <w:b/>
                <w:bCs/>
                <w:color w:val="FFFFFF"/>
                <w:lang w:eastAsia="en-AU"/>
              </w:rPr>
            </w:pPr>
            <w:r w:rsidRPr="008A7B70">
              <w:rPr>
                <w:rFonts w:asciiTheme="majorHAnsi" w:eastAsia="Times New Roman" w:hAnsiTheme="majorHAnsi" w:cstheme="majorHAnsi"/>
                <w:b/>
                <w:bCs/>
                <w:color w:val="FFFFFF"/>
                <w:lang w:eastAsia="en-AU"/>
              </w:rPr>
              <w:t>Inherent Risk</w:t>
            </w:r>
          </w:p>
        </w:tc>
        <w:tc>
          <w:tcPr>
            <w:tcW w:w="2354" w:type="dxa"/>
            <w:tcBorders>
              <w:top w:val="single" w:sz="4" w:space="0" w:color="auto"/>
              <w:left w:val="nil"/>
              <w:bottom w:val="single" w:sz="4" w:space="0" w:color="auto"/>
              <w:right w:val="single" w:sz="4" w:space="0" w:color="FFFFFF"/>
            </w:tcBorders>
            <w:shd w:val="clear" w:color="000000" w:fill="000000"/>
            <w:vAlign w:val="center"/>
            <w:hideMark/>
          </w:tcPr>
          <w:p w:rsidR="00AA14F6" w:rsidRPr="008A7B70" w:rsidRDefault="00AA14F6" w:rsidP="00AA14F6">
            <w:pPr>
              <w:spacing w:after="0" w:line="240" w:lineRule="auto"/>
              <w:jc w:val="center"/>
              <w:rPr>
                <w:rFonts w:asciiTheme="majorHAnsi" w:eastAsia="Times New Roman" w:hAnsiTheme="majorHAnsi" w:cstheme="majorHAnsi"/>
                <w:b/>
                <w:bCs/>
                <w:color w:val="FFFFFF"/>
                <w:lang w:eastAsia="en-AU"/>
              </w:rPr>
            </w:pPr>
            <w:r w:rsidRPr="008A7B70">
              <w:rPr>
                <w:rFonts w:asciiTheme="majorHAnsi" w:eastAsia="Times New Roman" w:hAnsiTheme="majorHAnsi" w:cstheme="majorHAnsi"/>
                <w:b/>
                <w:bCs/>
                <w:color w:val="FFFFFF"/>
                <w:lang w:eastAsia="en-AU"/>
              </w:rPr>
              <w:t>Reason for Selection</w:t>
            </w:r>
          </w:p>
        </w:tc>
        <w:tc>
          <w:tcPr>
            <w:tcW w:w="1714" w:type="dxa"/>
            <w:tcBorders>
              <w:top w:val="single" w:sz="4" w:space="0" w:color="auto"/>
              <w:left w:val="nil"/>
              <w:bottom w:val="single" w:sz="4" w:space="0" w:color="auto"/>
              <w:right w:val="single" w:sz="4" w:space="0" w:color="FFFFFF"/>
            </w:tcBorders>
            <w:shd w:val="clear" w:color="000000" w:fill="000000"/>
            <w:vAlign w:val="center"/>
            <w:hideMark/>
          </w:tcPr>
          <w:p w:rsidR="00AA14F6" w:rsidRPr="008A7B70" w:rsidRDefault="00AA14F6" w:rsidP="00AA14F6">
            <w:pPr>
              <w:spacing w:after="0" w:line="240" w:lineRule="auto"/>
              <w:jc w:val="center"/>
              <w:rPr>
                <w:rFonts w:asciiTheme="majorHAnsi" w:eastAsia="Times New Roman" w:hAnsiTheme="majorHAnsi" w:cstheme="majorHAnsi"/>
                <w:b/>
                <w:bCs/>
                <w:color w:val="FFFFFF"/>
                <w:lang w:eastAsia="en-AU"/>
              </w:rPr>
            </w:pPr>
            <w:r w:rsidRPr="008A7B70">
              <w:rPr>
                <w:rFonts w:asciiTheme="majorHAnsi" w:eastAsia="Times New Roman" w:hAnsiTheme="majorHAnsi" w:cstheme="majorHAnsi"/>
                <w:b/>
                <w:bCs/>
                <w:color w:val="FFFFFF"/>
                <w:lang w:eastAsia="en-AU"/>
              </w:rPr>
              <w:t>Likelihood of Harm</w:t>
            </w:r>
          </w:p>
        </w:tc>
        <w:tc>
          <w:tcPr>
            <w:tcW w:w="1646" w:type="dxa"/>
            <w:tcBorders>
              <w:top w:val="single" w:sz="4" w:space="0" w:color="auto"/>
              <w:left w:val="nil"/>
              <w:bottom w:val="single" w:sz="4" w:space="0" w:color="auto"/>
              <w:right w:val="single" w:sz="4" w:space="0" w:color="FFFFFF"/>
            </w:tcBorders>
            <w:shd w:val="clear" w:color="000000" w:fill="000000"/>
            <w:vAlign w:val="center"/>
            <w:hideMark/>
          </w:tcPr>
          <w:p w:rsidR="00AA14F6" w:rsidRPr="008A7B70" w:rsidRDefault="00AA14F6" w:rsidP="00AA14F6">
            <w:pPr>
              <w:spacing w:after="0" w:line="240" w:lineRule="auto"/>
              <w:jc w:val="center"/>
              <w:rPr>
                <w:rFonts w:asciiTheme="majorHAnsi" w:eastAsia="Times New Roman" w:hAnsiTheme="majorHAnsi" w:cstheme="majorHAnsi"/>
                <w:b/>
                <w:bCs/>
                <w:color w:val="FFFFFF"/>
                <w:lang w:eastAsia="en-AU"/>
              </w:rPr>
            </w:pPr>
            <w:r w:rsidRPr="008A7B70">
              <w:rPr>
                <w:rFonts w:asciiTheme="majorHAnsi" w:eastAsia="Times New Roman" w:hAnsiTheme="majorHAnsi" w:cstheme="majorHAnsi"/>
                <w:b/>
                <w:bCs/>
                <w:color w:val="FFFFFF"/>
                <w:lang w:eastAsia="en-AU"/>
              </w:rPr>
              <w:t>Impact</w:t>
            </w:r>
          </w:p>
        </w:tc>
        <w:tc>
          <w:tcPr>
            <w:tcW w:w="900" w:type="dxa"/>
            <w:tcBorders>
              <w:top w:val="single" w:sz="4" w:space="0" w:color="auto"/>
              <w:left w:val="nil"/>
              <w:bottom w:val="single" w:sz="4" w:space="0" w:color="auto"/>
              <w:right w:val="single" w:sz="4" w:space="0" w:color="FFFFFF"/>
            </w:tcBorders>
            <w:shd w:val="clear" w:color="000000" w:fill="000000"/>
            <w:vAlign w:val="center"/>
            <w:hideMark/>
          </w:tcPr>
          <w:p w:rsidR="00AA14F6" w:rsidRPr="008A7B70" w:rsidRDefault="00AA14F6" w:rsidP="00AA14F6">
            <w:pPr>
              <w:spacing w:after="0" w:line="240" w:lineRule="auto"/>
              <w:jc w:val="center"/>
              <w:rPr>
                <w:rFonts w:asciiTheme="majorHAnsi" w:eastAsia="Times New Roman" w:hAnsiTheme="majorHAnsi" w:cstheme="majorHAnsi"/>
                <w:b/>
                <w:bCs/>
                <w:color w:val="FFFFFF"/>
                <w:lang w:eastAsia="en-AU"/>
              </w:rPr>
            </w:pPr>
            <w:r w:rsidRPr="008A7B70">
              <w:rPr>
                <w:rFonts w:asciiTheme="majorHAnsi" w:eastAsia="Times New Roman" w:hAnsiTheme="majorHAnsi" w:cstheme="majorHAnsi"/>
                <w:b/>
                <w:bCs/>
                <w:color w:val="FFFFFF"/>
                <w:lang w:eastAsia="en-AU"/>
              </w:rPr>
              <w:t>Overall Risk</w:t>
            </w:r>
          </w:p>
        </w:tc>
        <w:tc>
          <w:tcPr>
            <w:tcW w:w="1802" w:type="dxa"/>
            <w:tcBorders>
              <w:top w:val="single" w:sz="4" w:space="0" w:color="auto"/>
              <w:left w:val="nil"/>
              <w:bottom w:val="single" w:sz="4" w:space="0" w:color="auto"/>
              <w:right w:val="single" w:sz="4" w:space="0" w:color="auto"/>
            </w:tcBorders>
            <w:shd w:val="clear" w:color="000000" w:fill="000000"/>
            <w:vAlign w:val="center"/>
            <w:hideMark/>
          </w:tcPr>
          <w:p w:rsidR="00AA14F6" w:rsidRPr="008A7B70" w:rsidRDefault="00AA14F6" w:rsidP="00AA14F6">
            <w:pPr>
              <w:spacing w:after="0" w:line="240" w:lineRule="auto"/>
              <w:jc w:val="center"/>
              <w:rPr>
                <w:rFonts w:asciiTheme="majorHAnsi" w:eastAsia="Times New Roman" w:hAnsiTheme="majorHAnsi" w:cstheme="majorHAnsi"/>
                <w:b/>
                <w:bCs/>
                <w:color w:val="FFFFFF"/>
                <w:lang w:eastAsia="en-AU"/>
              </w:rPr>
            </w:pPr>
            <w:r w:rsidRPr="008A7B70">
              <w:rPr>
                <w:rFonts w:asciiTheme="majorHAnsi" w:eastAsia="Times New Roman" w:hAnsiTheme="majorHAnsi" w:cstheme="majorHAnsi"/>
                <w:b/>
                <w:bCs/>
                <w:color w:val="FFFFFF"/>
                <w:lang w:eastAsia="en-AU"/>
              </w:rPr>
              <w:t>Mitigation Strategy</w:t>
            </w:r>
          </w:p>
        </w:tc>
      </w:tr>
      <w:tr w:rsidR="00AA14F6" w:rsidRPr="008A7B70" w:rsidTr="00E33B74">
        <w:trPr>
          <w:trHeight w:val="1710"/>
        </w:trPr>
        <w:tc>
          <w:tcPr>
            <w:tcW w:w="1911" w:type="dxa"/>
            <w:tcBorders>
              <w:top w:val="nil"/>
              <w:left w:val="single" w:sz="4" w:space="0" w:color="auto"/>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Unauthorised access to data systems</w:t>
            </w:r>
          </w:p>
        </w:tc>
        <w:tc>
          <w:tcPr>
            <w:tcW w:w="235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Centralised storage creates exposure to misuse or intrusion, especially if smart meter data is introduced</w:t>
            </w:r>
          </w:p>
        </w:tc>
        <w:tc>
          <w:tcPr>
            <w:tcW w:w="171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Medium</w:t>
            </w:r>
            <w:r w:rsidRPr="008A7B70">
              <w:rPr>
                <w:rFonts w:asciiTheme="majorHAnsi" w:eastAsia="Times New Roman" w:hAnsiTheme="majorHAnsi" w:cstheme="majorHAnsi"/>
                <w:color w:val="000000"/>
                <w:lang w:eastAsia="en-AU"/>
              </w:rPr>
              <w:t xml:space="preserve"> – vulnerable without strong controls</w:t>
            </w:r>
          </w:p>
        </w:tc>
        <w:tc>
          <w:tcPr>
            <w:tcW w:w="1646"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Significant</w:t>
            </w:r>
            <w:r w:rsidRPr="008A7B70">
              <w:rPr>
                <w:rFonts w:asciiTheme="majorHAnsi" w:eastAsia="Times New Roman" w:hAnsiTheme="majorHAnsi" w:cstheme="majorHAnsi"/>
                <w:color w:val="000000"/>
                <w:lang w:eastAsia="en-AU"/>
              </w:rPr>
              <w:t xml:space="preserve"> – may expose sensitive operational or consumer data</w:t>
            </w:r>
          </w:p>
        </w:tc>
        <w:tc>
          <w:tcPr>
            <w:tcW w:w="900"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High</w:t>
            </w:r>
          </w:p>
        </w:tc>
        <w:tc>
          <w:tcPr>
            <w:tcW w:w="1802"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Role-based access, encryption, multi-factor authentication, access audits</w:t>
            </w:r>
          </w:p>
        </w:tc>
      </w:tr>
      <w:tr w:rsidR="00AA14F6" w:rsidRPr="008A7B70" w:rsidTr="00E33B74">
        <w:trPr>
          <w:trHeight w:val="1425"/>
        </w:trPr>
        <w:tc>
          <w:tcPr>
            <w:tcW w:w="1911" w:type="dxa"/>
            <w:tcBorders>
              <w:top w:val="nil"/>
              <w:left w:val="single" w:sz="4" w:space="0" w:color="auto"/>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Data breach or leakage</w:t>
            </w:r>
          </w:p>
        </w:tc>
        <w:tc>
          <w:tcPr>
            <w:tcW w:w="235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Aggregated data may become re-identifiable when linked with third-party datasets</w:t>
            </w:r>
          </w:p>
        </w:tc>
        <w:tc>
          <w:tcPr>
            <w:tcW w:w="171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Medium</w:t>
            </w:r>
            <w:r w:rsidRPr="008A7B70">
              <w:rPr>
                <w:rFonts w:asciiTheme="majorHAnsi" w:eastAsia="Times New Roman" w:hAnsiTheme="majorHAnsi" w:cstheme="majorHAnsi"/>
                <w:color w:val="000000"/>
                <w:lang w:eastAsia="en-AU"/>
              </w:rPr>
              <w:t xml:space="preserve"> – integration increases exposure risk</w:t>
            </w:r>
          </w:p>
        </w:tc>
        <w:tc>
          <w:tcPr>
            <w:tcW w:w="1646"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Severe</w:t>
            </w:r>
            <w:r w:rsidRPr="008A7B70">
              <w:rPr>
                <w:rFonts w:asciiTheme="majorHAnsi" w:eastAsia="Times New Roman" w:hAnsiTheme="majorHAnsi" w:cstheme="majorHAnsi"/>
                <w:color w:val="000000"/>
                <w:lang w:eastAsia="en-AU"/>
              </w:rPr>
              <w:t xml:space="preserve"> – privacy breaches may create legal and reputational harm</w:t>
            </w:r>
          </w:p>
        </w:tc>
        <w:tc>
          <w:tcPr>
            <w:tcW w:w="900"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High</w:t>
            </w:r>
          </w:p>
        </w:tc>
        <w:tc>
          <w:tcPr>
            <w:tcW w:w="1802"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 xml:space="preserve">Data </w:t>
            </w:r>
            <w:r w:rsidR="007408D8" w:rsidRPr="008A7B70">
              <w:rPr>
                <w:rFonts w:asciiTheme="majorHAnsi" w:eastAsia="Times New Roman" w:hAnsiTheme="majorHAnsi" w:cstheme="majorHAnsi"/>
                <w:color w:val="000000"/>
                <w:lang w:eastAsia="en-AU"/>
              </w:rPr>
              <w:t>anonymization</w:t>
            </w:r>
            <w:r w:rsidRPr="008A7B70">
              <w:rPr>
                <w:rFonts w:asciiTheme="majorHAnsi" w:eastAsia="Times New Roman" w:hAnsiTheme="majorHAnsi" w:cstheme="majorHAnsi"/>
                <w:color w:val="000000"/>
                <w:lang w:eastAsia="en-AU"/>
              </w:rPr>
              <w:t>, minimisation, secure APIs, Privacy Impact Assessments</w:t>
            </w:r>
          </w:p>
        </w:tc>
      </w:tr>
      <w:tr w:rsidR="00AA14F6" w:rsidRPr="008A7B70" w:rsidTr="00E33B74">
        <w:trPr>
          <w:trHeight w:val="1425"/>
        </w:trPr>
        <w:tc>
          <w:tcPr>
            <w:tcW w:w="1911" w:type="dxa"/>
            <w:tcBorders>
              <w:top w:val="nil"/>
              <w:left w:val="single" w:sz="4" w:space="0" w:color="auto"/>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Loss or corruption of forecasting data</w:t>
            </w:r>
          </w:p>
        </w:tc>
        <w:tc>
          <w:tcPr>
            <w:tcW w:w="235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Forecasting depends on accurate historical and live data</w:t>
            </w:r>
          </w:p>
        </w:tc>
        <w:tc>
          <w:tcPr>
            <w:tcW w:w="171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High</w:t>
            </w:r>
            <w:r w:rsidRPr="008A7B70">
              <w:rPr>
                <w:rFonts w:asciiTheme="majorHAnsi" w:eastAsia="Times New Roman" w:hAnsiTheme="majorHAnsi" w:cstheme="majorHAnsi"/>
                <w:color w:val="000000"/>
                <w:lang w:eastAsia="en-AU"/>
              </w:rPr>
              <w:t xml:space="preserve"> – pipelines are vulnerable to failure</w:t>
            </w:r>
          </w:p>
        </w:tc>
        <w:tc>
          <w:tcPr>
            <w:tcW w:w="1646"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Significant</w:t>
            </w:r>
            <w:r w:rsidRPr="008A7B70">
              <w:rPr>
                <w:rFonts w:asciiTheme="majorHAnsi" w:eastAsia="Times New Roman" w:hAnsiTheme="majorHAnsi" w:cstheme="majorHAnsi"/>
                <w:color w:val="000000"/>
                <w:lang w:eastAsia="en-AU"/>
              </w:rPr>
              <w:t xml:space="preserve"> – inaccurate forecasts can disrupt grid stability</w:t>
            </w:r>
          </w:p>
        </w:tc>
        <w:tc>
          <w:tcPr>
            <w:tcW w:w="900"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High</w:t>
            </w:r>
          </w:p>
        </w:tc>
        <w:tc>
          <w:tcPr>
            <w:tcW w:w="1802"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Backups, validation checks, integrity testing, lifecycle management</w:t>
            </w:r>
          </w:p>
        </w:tc>
      </w:tr>
      <w:tr w:rsidR="00AA14F6" w:rsidRPr="008A7B70" w:rsidTr="00E33B74">
        <w:trPr>
          <w:trHeight w:val="1710"/>
        </w:trPr>
        <w:tc>
          <w:tcPr>
            <w:tcW w:w="1911" w:type="dxa"/>
            <w:tcBorders>
              <w:top w:val="nil"/>
              <w:left w:val="single" w:sz="4" w:space="0" w:color="auto"/>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Misuse or misinterpretation of forecasts</w:t>
            </w:r>
          </w:p>
        </w:tc>
        <w:tc>
          <w:tcPr>
            <w:tcW w:w="235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Providers may use forecasts for aggressive pricing or unequal infrastructure prioritisation</w:t>
            </w:r>
          </w:p>
        </w:tc>
        <w:tc>
          <w:tcPr>
            <w:tcW w:w="171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Medium</w:t>
            </w:r>
            <w:r w:rsidRPr="008A7B70">
              <w:rPr>
                <w:rFonts w:asciiTheme="majorHAnsi" w:eastAsia="Times New Roman" w:hAnsiTheme="majorHAnsi" w:cstheme="majorHAnsi"/>
                <w:color w:val="000000"/>
                <w:lang w:eastAsia="en-AU"/>
              </w:rPr>
              <w:t xml:space="preserve"> – commercial incentives increase misuse risk</w:t>
            </w:r>
          </w:p>
        </w:tc>
        <w:tc>
          <w:tcPr>
            <w:tcW w:w="1646"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Significant</w:t>
            </w:r>
            <w:r w:rsidRPr="008A7B70">
              <w:rPr>
                <w:rFonts w:asciiTheme="majorHAnsi" w:eastAsia="Times New Roman" w:hAnsiTheme="majorHAnsi" w:cstheme="majorHAnsi"/>
                <w:color w:val="000000"/>
                <w:lang w:eastAsia="en-AU"/>
              </w:rPr>
              <w:t xml:space="preserve"> – unfair pricing or unequal service delivery may occur</w:t>
            </w:r>
          </w:p>
        </w:tc>
        <w:tc>
          <w:tcPr>
            <w:tcW w:w="900"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High</w:t>
            </w:r>
          </w:p>
        </w:tc>
        <w:tc>
          <w:tcPr>
            <w:tcW w:w="1802"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Governance policies, usage restrictions, oversight, documentation</w:t>
            </w:r>
          </w:p>
        </w:tc>
      </w:tr>
      <w:tr w:rsidR="00AA14F6" w:rsidRPr="008A7B70" w:rsidTr="00E33B74">
        <w:trPr>
          <w:trHeight w:val="1140"/>
        </w:trPr>
        <w:tc>
          <w:tcPr>
            <w:tcW w:w="1911" w:type="dxa"/>
            <w:tcBorders>
              <w:top w:val="nil"/>
              <w:left w:val="single" w:sz="4" w:space="0" w:color="auto"/>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Algorithmic bias and model opacity</w:t>
            </w:r>
          </w:p>
        </w:tc>
        <w:tc>
          <w:tcPr>
            <w:tcW w:w="235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Historical data may embed inequalities and reduce explainability</w:t>
            </w:r>
          </w:p>
        </w:tc>
        <w:tc>
          <w:tcPr>
            <w:tcW w:w="1714"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High</w:t>
            </w:r>
            <w:r w:rsidRPr="008A7B70">
              <w:rPr>
                <w:rFonts w:asciiTheme="majorHAnsi" w:eastAsia="Times New Roman" w:hAnsiTheme="majorHAnsi" w:cstheme="majorHAnsi"/>
                <w:color w:val="000000"/>
                <w:lang w:eastAsia="en-AU"/>
              </w:rPr>
              <w:t xml:space="preserve"> – bias is persistent and difficult to detect</w:t>
            </w:r>
          </w:p>
        </w:tc>
        <w:tc>
          <w:tcPr>
            <w:tcW w:w="1646"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Severe</w:t>
            </w:r>
            <w:r w:rsidRPr="008A7B70">
              <w:rPr>
                <w:rFonts w:asciiTheme="majorHAnsi" w:eastAsia="Times New Roman" w:hAnsiTheme="majorHAnsi" w:cstheme="majorHAnsi"/>
                <w:color w:val="000000"/>
                <w:lang w:eastAsia="en-AU"/>
              </w:rPr>
              <w:t xml:space="preserve"> – may reinforce inequality and reduce public trust</w:t>
            </w:r>
          </w:p>
        </w:tc>
        <w:tc>
          <w:tcPr>
            <w:tcW w:w="900"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b/>
                <w:bCs/>
                <w:color w:val="000000"/>
                <w:lang w:eastAsia="en-AU"/>
              </w:rPr>
            </w:pPr>
            <w:r w:rsidRPr="008A7B70">
              <w:rPr>
                <w:rFonts w:asciiTheme="majorHAnsi" w:eastAsia="Times New Roman" w:hAnsiTheme="majorHAnsi" w:cstheme="majorHAnsi"/>
                <w:b/>
                <w:bCs/>
                <w:color w:val="000000"/>
                <w:lang w:eastAsia="en-AU"/>
              </w:rPr>
              <w:t>Very High</w:t>
            </w:r>
          </w:p>
        </w:tc>
        <w:tc>
          <w:tcPr>
            <w:tcW w:w="1802" w:type="dxa"/>
            <w:tcBorders>
              <w:top w:val="nil"/>
              <w:left w:val="nil"/>
              <w:bottom w:val="single" w:sz="4" w:space="0" w:color="auto"/>
              <w:right w:val="single" w:sz="4" w:space="0" w:color="auto"/>
            </w:tcBorders>
            <w:shd w:val="clear" w:color="auto" w:fill="auto"/>
            <w:vAlign w:val="center"/>
            <w:hideMark/>
          </w:tcPr>
          <w:p w:rsidR="00AA14F6" w:rsidRPr="008A7B70" w:rsidRDefault="00AA14F6" w:rsidP="00AA14F6">
            <w:pPr>
              <w:spacing w:after="0" w:line="240" w:lineRule="auto"/>
              <w:rPr>
                <w:rFonts w:asciiTheme="majorHAnsi" w:eastAsia="Times New Roman" w:hAnsiTheme="majorHAnsi" w:cstheme="majorHAnsi"/>
                <w:color w:val="000000"/>
                <w:lang w:eastAsia="en-AU"/>
              </w:rPr>
            </w:pPr>
            <w:r w:rsidRPr="008A7B70">
              <w:rPr>
                <w:rFonts w:asciiTheme="majorHAnsi" w:eastAsia="Times New Roman" w:hAnsiTheme="majorHAnsi" w:cstheme="majorHAnsi"/>
                <w:color w:val="000000"/>
                <w:lang w:eastAsia="en-AU"/>
              </w:rPr>
              <w:t>Fairness testing, explainability tools, audits, stakeholder review</w:t>
            </w:r>
          </w:p>
        </w:tc>
      </w:tr>
    </w:tbl>
    <w:p w:rsidR="005A7A3E" w:rsidRPr="008A7B70" w:rsidRDefault="005A7A3E" w:rsidP="00DB51CE">
      <w:pPr>
        <w:spacing w:after="0"/>
        <w:jc w:val="both"/>
        <w:rPr>
          <w:rFonts w:asciiTheme="majorHAnsi" w:hAnsiTheme="majorHAnsi" w:cstheme="majorHAnsi"/>
          <w:i/>
        </w:rPr>
      </w:pPr>
    </w:p>
    <w:p w:rsidR="00AA14F6" w:rsidRPr="008A7B70" w:rsidRDefault="005A7A3E" w:rsidP="00DB51CE">
      <w:pPr>
        <w:spacing w:after="0"/>
        <w:jc w:val="both"/>
        <w:rPr>
          <w:rFonts w:asciiTheme="majorHAnsi" w:hAnsiTheme="majorHAnsi" w:cstheme="majorHAnsi"/>
          <w:i/>
        </w:rPr>
      </w:pPr>
      <w:r w:rsidRPr="008A7B70">
        <w:rPr>
          <w:rFonts w:asciiTheme="majorHAnsi" w:hAnsiTheme="majorHAnsi" w:cstheme="majorHAnsi"/>
          <w:b/>
          <w:i/>
        </w:rPr>
        <w:t>Table 1:</w:t>
      </w:r>
      <w:r w:rsidRPr="008A7B70">
        <w:rPr>
          <w:rFonts w:asciiTheme="majorHAnsi" w:hAnsiTheme="majorHAnsi" w:cstheme="majorHAnsi"/>
          <w:i/>
        </w:rPr>
        <w:t xml:space="preserve"> Five most significant inherent risks and corresponding mitigation strategies.</w:t>
      </w:r>
    </w:p>
    <w:p w:rsidR="00E33B74" w:rsidRPr="008A7B70" w:rsidRDefault="00E33B74" w:rsidP="00DB51CE">
      <w:pPr>
        <w:spacing w:after="0"/>
        <w:jc w:val="both"/>
        <w:rPr>
          <w:rFonts w:asciiTheme="majorHAnsi" w:hAnsiTheme="majorHAnsi" w:cstheme="majorHAnsi"/>
        </w:rPr>
      </w:pPr>
    </w:p>
    <w:p w:rsidR="00A33745" w:rsidRPr="008A7B70" w:rsidRDefault="00A33745" w:rsidP="00A33745">
      <w:pPr>
        <w:spacing w:after="0"/>
        <w:jc w:val="both"/>
        <w:rPr>
          <w:rFonts w:asciiTheme="majorHAnsi" w:hAnsiTheme="majorHAnsi" w:cstheme="majorHAnsi"/>
        </w:rPr>
      </w:pPr>
      <w:r w:rsidRPr="008A7B70">
        <w:rPr>
          <w:rFonts w:asciiTheme="majorHAnsi" w:hAnsiTheme="majorHAnsi" w:cstheme="majorHAnsi"/>
        </w:rPr>
        <w:t>Based on the stakeholder vulnerabilities, operational reliance on accurate forecasting, and public interest considerations identified in Part A and Part B, the above table outlines the five most significant inherent risks and corresponding mitigation strategies.</w:t>
      </w:r>
    </w:p>
    <w:p w:rsidR="00A33745" w:rsidRPr="008A7B70" w:rsidRDefault="00A33745" w:rsidP="00DB51CE">
      <w:pPr>
        <w:spacing w:after="0"/>
        <w:jc w:val="both"/>
        <w:rPr>
          <w:rFonts w:asciiTheme="majorHAnsi" w:hAnsiTheme="majorHAnsi" w:cstheme="majorHAnsi"/>
        </w:rPr>
      </w:pPr>
    </w:p>
    <w:p w:rsidR="00DB51CE" w:rsidRPr="008A7B70" w:rsidRDefault="00DB51CE" w:rsidP="00DB51CE">
      <w:pPr>
        <w:pStyle w:val="NormalWeb"/>
        <w:spacing w:before="0" w:beforeAutospacing="0" w:after="0" w:afterAutospacing="0"/>
        <w:jc w:val="both"/>
        <w:rPr>
          <w:rFonts w:asciiTheme="majorHAnsi" w:hAnsiTheme="majorHAnsi" w:cstheme="majorHAnsi"/>
          <w:sz w:val="22"/>
          <w:szCs w:val="22"/>
        </w:rPr>
      </w:pPr>
      <w:r w:rsidRPr="008A7B70">
        <w:rPr>
          <w:rFonts w:asciiTheme="majorHAnsi" w:hAnsiTheme="majorHAnsi" w:cstheme="majorHAnsi"/>
          <w:sz w:val="22"/>
          <w:szCs w:val="22"/>
        </w:rPr>
        <w:lastRenderedPageBreak/>
        <w:t xml:space="preserve">Among these risks, </w:t>
      </w:r>
      <w:r w:rsidRPr="008A7B70">
        <w:rPr>
          <w:rStyle w:val="Strong"/>
          <w:rFonts w:asciiTheme="majorHAnsi" w:hAnsiTheme="majorHAnsi" w:cstheme="majorHAnsi"/>
          <w:sz w:val="22"/>
          <w:szCs w:val="22"/>
        </w:rPr>
        <w:t>algorithmic bias and model opacity</w:t>
      </w:r>
      <w:r w:rsidRPr="008A7B70">
        <w:rPr>
          <w:rFonts w:asciiTheme="majorHAnsi" w:hAnsiTheme="majorHAnsi" w:cstheme="majorHAnsi"/>
          <w:sz w:val="22"/>
          <w:szCs w:val="22"/>
        </w:rPr>
        <w:t xml:space="preserve"> represent the most significant ethical concern because they directly affect vulnerable stakeholders with the least agency. Unlike technical failures, bias can operate invisibly while influencing electricity pricing, infrastructure planning, and resource allocation, potentially reinforcing existing social and regional inequalities. This reflects the just</w:t>
      </w:r>
      <w:r w:rsidR="00FF76CD" w:rsidRPr="008A7B70">
        <w:rPr>
          <w:rFonts w:asciiTheme="majorHAnsi" w:hAnsiTheme="majorHAnsi" w:cstheme="majorHAnsi"/>
          <w:sz w:val="22"/>
          <w:szCs w:val="22"/>
        </w:rPr>
        <w:t>ice concerns identified in Part-</w:t>
      </w:r>
      <w:r w:rsidRPr="008A7B70">
        <w:rPr>
          <w:rFonts w:asciiTheme="majorHAnsi" w:hAnsiTheme="majorHAnsi" w:cstheme="majorHAnsi"/>
          <w:sz w:val="22"/>
          <w:szCs w:val="22"/>
        </w:rPr>
        <w:t>A</w:t>
      </w:r>
      <w:r w:rsidR="00ED1732" w:rsidRPr="008A7B70">
        <w:rPr>
          <w:rFonts w:asciiTheme="majorHAnsi" w:hAnsiTheme="majorHAnsi" w:cstheme="majorHAnsi"/>
          <w:sz w:val="22"/>
          <w:szCs w:val="22"/>
        </w:rPr>
        <w:t xml:space="preserve"> </w:t>
      </w:r>
      <w:sdt>
        <w:sdtPr>
          <w:rPr>
            <w:rFonts w:asciiTheme="majorHAnsi" w:hAnsiTheme="majorHAnsi" w:cstheme="majorHAnsi"/>
            <w:sz w:val="22"/>
            <w:szCs w:val="22"/>
          </w:rPr>
          <w:id w:val="132375149"/>
          <w:citation/>
        </w:sdtPr>
        <w:sdtContent>
          <w:r w:rsidR="00ED1732" w:rsidRPr="008A7B70">
            <w:rPr>
              <w:rFonts w:asciiTheme="majorHAnsi" w:hAnsiTheme="majorHAnsi" w:cstheme="majorHAnsi"/>
              <w:sz w:val="22"/>
              <w:szCs w:val="22"/>
            </w:rPr>
            <w:fldChar w:fldCharType="begin"/>
          </w:r>
          <w:r w:rsidR="00ED1732" w:rsidRPr="008A7B70">
            <w:rPr>
              <w:rFonts w:asciiTheme="majorHAnsi" w:hAnsiTheme="majorHAnsi" w:cstheme="majorHAnsi"/>
              <w:sz w:val="22"/>
              <w:szCs w:val="22"/>
              <w:lang w:val="en-US"/>
            </w:rPr>
            <w:instrText xml:space="preserve"> CITATION Raw71 \l 1033 </w:instrText>
          </w:r>
          <w:r w:rsidR="00ED1732" w:rsidRPr="008A7B70">
            <w:rPr>
              <w:rFonts w:asciiTheme="majorHAnsi" w:hAnsiTheme="majorHAnsi" w:cstheme="majorHAnsi"/>
              <w:sz w:val="22"/>
              <w:szCs w:val="22"/>
            </w:rPr>
            <w:fldChar w:fldCharType="separate"/>
          </w:r>
          <w:r w:rsidR="00ED1732" w:rsidRPr="008A7B70">
            <w:rPr>
              <w:rFonts w:asciiTheme="majorHAnsi" w:hAnsiTheme="majorHAnsi" w:cstheme="majorHAnsi"/>
              <w:noProof/>
              <w:sz w:val="22"/>
              <w:szCs w:val="22"/>
              <w:lang w:val="en-US"/>
            </w:rPr>
            <w:t>(Rawls, 1971)</w:t>
          </w:r>
          <w:r w:rsidR="00ED1732" w:rsidRPr="008A7B70">
            <w:rPr>
              <w:rFonts w:asciiTheme="majorHAnsi" w:hAnsiTheme="majorHAnsi" w:cstheme="majorHAnsi"/>
              <w:sz w:val="22"/>
              <w:szCs w:val="22"/>
            </w:rPr>
            <w:fldChar w:fldCharType="end"/>
          </w:r>
        </w:sdtContent>
      </w:sdt>
      <w:r w:rsidRPr="008A7B70">
        <w:rPr>
          <w:rFonts w:asciiTheme="majorHAnsi" w:hAnsiTheme="majorHAnsi" w:cstheme="majorHAnsi"/>
          <w:sz w:val="22"/>
          <w:szCs w:val="22"/>
        </w:rPr>
        <w:t xml:space="preserve">, where vulnerable communities may bear disproportionate burdens despite overall efficiency gains. Model opacity further reduces accountability </w:t>
      </w:r>
      <w:sdt>
        <w:sdtPr>
          <w:rPr>
            <w:rFonts w:asciiTheme="majorHAnsi" w:hAnsiTheme="majorHAnsi" w:cstheme="majorHAnsi"/>
            <w:sz w:val="22"/>
            <w:szCs w:val="22"/>
          </w:rPr>
          <w:id w:val="337737910"/>
          <w:citation/>
        </w:sdtPr>
        <w:sdtContent>
          <w:r w:rsidR="00ED1732" w:rsidRPr="008A7B70">
            <w:rPr>
              <w:rFonts w:asciiTheme="majorHAnsi" w:hAnsiTheme="majorHAnsi" w:cstheme="majorHAnsi"/>
              <w:sz w:val="22"/>
              <w:szCs w:val="22"/>
            </w:rPr>
            <w:fldChar w:fldCharType="begin"/>
          </w:r>
          <w:r w:rsidR="00ED1732" w:rsidRPr="008A7B70">
            <w:rPr>
              <w:rFonts w:asciiTheme="majorHAnsi" w:hAnsiTheme="majorHAnsi" w:cstheme="majorHAnsi"/>
              <w:sz w:val="22"/>
              <w:szCs w:val="22"/>
              <w:lang w:val="en-US"/>
            </w:rPr>
            <w:instrText xml:space="preserve"> CITATION Dos17 \l 1033 </w:instrText>
          </w:r>
          <w:r w:rsidR="00ED1732" w:rsidRPr="008A7B70">
            <w:rPr>
              <w:rFonts w:asciiTheme="majorHAnsi" w:hAnsiTheme="majorHAnsi" w:cstheme="majorHAnsi"/>
              <w:sz w:val="22"/>
              <w:szCs w:val="22"/>
            </w:rPr>
            <w:fldChar w:fldCharType="separate"/>
          </w:r>
          <w:r w:rsidR="00ED1732" w:rsidRPr="008A7B70">
            <w:rPr>
              <w:rFonts w:asciiTheme="majorHAnsi" w:hAnsiTheme="majorHAnsi" w:cstheme="majorHAnsi"/>
              <w:noProof/>
              <w:sz w:val="22"/>
              <w:szCs w:val="22"/>
              <w:lang w:val="en-US"/>
            </w:rPr>
            <w:t>(Doshi-Velez, 2017)</w:t>
          </w:r>
          <w:r w:rsidR="00ED1732" w:rsidRPr="008A7B70">
            <w:rPr>
              <w:rFonts w:asciiTheme="majorHAnsi" w:hAnsiTheme="majorHAnsi" w:cstheme="majorHAnsi"/>
              <w:sz w:val="22"/>
              <w:szCs w:val="22"/>
            </w:rPr>
            <w:fldChar w:fldCharType="end"/>
          </w:r>
        </w:sdtContent>
      </w:sdt>
      <w:r w:rsidR="00ED1732" w:rsidRPr="008A7B70">
        <w:rPr>
          <w:rFonts w:asciiTheme="majorHAnsi" w:hAnsiTheme="majorHAnsi" w:cstheme="majorHAnsi"/>
          <w:sz w:val="22"/>
          <w:szCs w:val="22"/>
        </w:rPr>
        <w:t xml:space="preserve"> </w:t>
      </w:r>
      <w:r w:rsidRPr="008A7B70">
        <w:rPr>
          <w:rFonts w:asciiTheme="majorHAnsi" w:hAnsiTheme="majorHAnsi" w:cstheme="majorHAnsi"/>
          <w:sz w:val="22"/>
          <w:szCs w:val="22"/>
        </w:rPr>
        <w:t>by making it difficult for stakeholders to understand, question, or challenge decisions derived from complex forecasting models.</w:t>
      </w:r>
    </w:p>
    <w:p w:rsidR="00DB51CE" w:rsidRPr="008A7B70" w:rsidRDefault="00DB51CE" w:rsidP="00DB51CE">
      <w:pPr>
        <w:pStyle w:val="NormalWeb"/>
        <w:spacing w:before="0" w:beforeAutospacing="0" w:after="0" w:afterAutospacing="0"/>
        <w:jc w:val="both"/>
        <w:rPr>
          <w:rStyle w:val="Strong"/>
          <w:rFonts w:asciiTheme="majorHAnsi" w:hAnsiTheme="majorHAnsi" w:cstheme="majorHAnsi"/>
          <w:sz w:val="22"/>
          <w:szCs w:val="22"/>
        </w:rPr>
      </w:pPr>
    </w:p>
    <w:p w:rsidR="00DB51CE" w:rsidRPr="008A7B70" w:rsidRDefault="00DB51CE" w:rsidP="00DB51CE">
      <w:pPr>
        <w:pStyle w:val="NormalWeb"/>
        <w:spacing w:before="0" w:beforeAutospacing="0" w:after="0" w:afterAutospacing="0"/>
        <w:jc w:val="both"/>
        <w:rPr>
          <w:rFonts w:asciiTheme="majorHAnsi" w:hAnsiTheme="majorHAnsi" w:cstheme="majorHAnsi"/>
          <w:sz w:val="22"/>
          <w:szCs w:val="22"/>
        </w:rPr>
      </w:pPr>
      <w:r w:rsidRPr="008A7B70">
        <w:rPr>
          <w:rStyle w:val="Strong"/>
          <w:rFonts w:asciiTheme="majorHAnsi" w:hAnsiTheme="majorHAnsi" w:cstheme="majorHAnsi"/>
          <w:sz w:val="22"/>
          <w:szCs w:val="22"/>
        </w:rPr>
        <w:t>Loss or corruption of forecasting data</w:t>
      </w:r>
      <w:r w:rsidRPr="008A7B70">
        <w:rPr>
          <w:rFonts w:asciiTheme="majorHAnsi" w:hAnsiTheme="majorHAnsi" w:cstheme="majorHAnsi"/>
          <w:sz w:val="22"/>
          <w:szCs w:val="22"/>
        </w:rPr>
        <w:t xml:space="preserve"> presents a major operational risk. Electricity forecasting depends on continuous access to accurate historical and real-time data, and corrupted inputs can distort predictions, leading to inefficient generation scheduling, price volatility, or supply disruptions. In critical infrastructure systems, such failures can affect millions of users and undermine trust in operational decision-making.</w:t>
      </w:r>
    </w:p>
    <w:p w:rsidR="00DB51CE" w:rsidRPr="008A7B70" w:rsidRDefault="00DB51CE" w:rsidP="00DB51CE">
      <w:pPr>
        <w:pStyle w:val="NormalWeb"/>
        <w:spacing w:before="0" w:beforeAutospacing="0" w:after="0" w:afterAutospacing="0"/>
        <w:jc w:val="both"/>
        <w:rPr>
          <w:rFonts w:asciiTheme="majorHAnsi" w:hAnsiTheme="majorHAnsi" w:cstheme="majorHAnsi"/>
          <w:sz w:val="22"/>
          <w:szCs w:val="22"/>
        </w:rPr>
      </w:pPr>
    </w:p>
    <w:p w:rsidR="00DB51CE" w:rsidRPr="008A7B70" w:rsidRDefault="00DB51CE" w:rsidP="00DB51CE">
      <w:pPr>
        <w:pStyle w:val="NormalWeb"/>
        <w:spacing w:before="0" w:beforeAutospacing="0" w:after="0" w:afterAutospacing="0"/>
        <w:jc w:val="both"/>
        <w:rPr>
          <w:rFonts w:asciiTheme="majorHAnsi" w:hAnsiTheme="majorHAnsi" w:cstheme="majorHAnsi"/>
          <w:sz w:val="22"/>
          <w:szCs w:val="22"/>
        </w:rPr>
      </w:pPr>
      <w:r w:rsidRPr="008A7B70">
        <w:rPr>
          <w:rFonts w:asciiTheme="majorHAnsi" w:hAnsiTheme="majorHAnsi" w:cstheme="majorHAnsi"/>
          <w:sz w:val="22"/>
          <w:szCs w:val="22"/>
        </w:rPr>
        <w:t xml:space="preserve">The </w:t>
      </w:r>
      <w:r w:rsidRPr="008A7B70">
        <w:rPr>
          <w:rStyle w:val="Strong"/>
          <w:rFonts w:asciiTheme="majorHAnsi" w:hAnsiTheme="majorHAnsi" w:cstheme="majorHAnsi"/>
          <w:sz w:val="22"/>
          <w:szCs w:val="22"/>
        </w:rPr>
        <w:t>NIST AI Risk Management Framework</w:t>
      </w:r>
      <w:r w:rsidRPr="008A7B70">
        <w:rPr>
          <w:rFonts w:asciiTheme="majorHAnsi" w:hAnsiTheme="majorHAnsi" w:cstheme="majorHAnsi"/>
          <w:sz w:val="22"/>
          <w:szCs w:val="22"/>
        </w:rPr>
        <w:t xml:space="preserve"> highlights </w:t>
      </w:r>
      <w:sdt>
        <w:sdtPr>
          <w:rPr>
            <w:rFonts w:asciiTheme="majorHAnsi" w:hAnsiTheme="majorHAnsi" w:cstheme="majorHAnsi"/>
            <w:sz w:val="22"/>
            <w:szCs w:val="22"/>
          </w:rPr>
          <w:id w:val="-1119523175"/>
          <w:citation/>
        </w:sdtPr>
        <w:sdtContent>
          <w:r w:rsidR="00FE7BD5" w:rsidRPr="008A7B70">
            <w:rPr>
              <w:rFonts w:asciiTheme="majorHAnsi" w:hAnsiTheme="majorHAnsi" w:cstheme="majorHAnsi"/>
              <w:sz w:val="22"/>
              <w:szCs w:val="22"/>
            </w:rPr>
            <w:fldChar w:fldCharType="begin"/>
          </w:r>
          <w:r w:rsidR="00FE7BD5" w:rsidRPr="008A7B70">
            <w:rPr>
              <w:rFonts w:asciiTheme="majorHAnsi" w:hAnsiTheme="majorHAnsi" w:cstheme="majorHAnsi"/>
              <w:sz w:val="22"/>
              <w:szCs w:val="22"/>
              <w:lang w:val="en-US"/>
            </w:rPr>
            <w:instrText xml:space="preserve"> CITATION USD23 \l 1033 </w:instrText>
          </w:r>
          <w:r w:rsidR="00FE7BD5" w:rsidRPr="008A7B70">
            <w:rPr>
              <w:rFonts w:asciiTheme="majorHAnsi" w:hAnsiTheme="majorHAnsi" w:cstheme="majorHAnsi"/>
              <w:sz w:val="22"/>
              <w:szCs w:val="22"/>
            </w:rPr>
            <w:fldChar w:fldCharType="separate"/>
          </w:r>
          <w:r w:rsidR="00FE7BD5" w:rsidRPr="008A7B70">
            <w:rPr>
              <w:rFonts w:asciiTheme="majorHAnsi" w:hAnsiTheme="majorHAnsi" w:cstheme="majorHAnsi"/>
              <w:noProof/>
              <w:sz w:val="22"/>
              <w:szCs w:val="22"/>
              <w:lang w:val="en-US"/>
            </w:rPr>
            <w:t>(NIST, 2023)</w:t>
          </w:r>
          <w:r w:rsidR="00FE7BD5" w:rsidRPr="008A7B70">
            <w:rPr>
              <w:rFonts w:asciiTheme="majorHAnsi" w:hAnsiTheme="majorHAnsi" w:cstheme="majorHAnsi"/>
              <w:sz w:val="22"/>
              <w:szCs w:val="22"/>
            </w:rPr>
            <w:fldChar w:fldCharType="end"/>
          </w:r>
        </w:sdtContent>
      </w:sdt>
      <w:r w:rsidR="00FE7BD5" w:rsidRPr="008A7B70">
        <w:rPr>
          <w:rFonts w:asciiTheme="majorHAnsi" w:hAnsiTheme="majorHAnsi" w:cstheme="majorHAnsi"/>
          <w:sz w:val="22"/>
          <w:szCs w:val="22"/>
        </w:rPr>
        <w:t xml:space="preserve"> </w:t>
      </w:r>
      <w:r w:rsidRPr="008A7B70">
        <w:rPr>
          <w:rFonts w:asciiTheme="majorHAnsi" w:hAnsiTheme="majorHAnsi" w:cstheme="majorHAnsi"/>
          <w:sz w:val="22"/>
          <w:szCs w:val="22"/>
        </w:rPr>
        <w:t xml:space="preserve">that risk management must be continuous and embedded throughout the AI lifecycle, including data collection, model development, deployment, and review. This means mitigation strategies should be integrated into system design rather than introduced after harm occurs. Similarly, the </w:t>
      </w:r>
      <w:r w:rsidRPr="008A7B70">
        <w:rPr>
          <w:rStyle w:val="Strong"/>
          <w:rFonts w:asciiTheme="majorHAnsi" w:hAnsiTheme="majorHAnsi" w:cstheme="majorHAnsi"/>
          <w:sz w:val="22"/>
          <w:szCs w:val="22"/>
        </w:rPr>
        <w:t>Ada Lovelace framework</w:t>
      </w:r>
      <w:r w:rsidRPr="008A7B70">
        <w:rPr>
          <w:rFonts w:asciiTheme="majorHAnsi" w:hAnsiTheme="majorHAnsi" w:cstheme="majorHAnsi"/>
          <w:sz w:val="22"/>
          <w:szCs w:val="22"/>
        </w:rPr>
        <w:t xml:space="preserve"> stresses participatory risk assessment</w:t>
      </w:r>
      <w:r w:rsidR="00232852" w:rsidRPr="008A7B70">
        <w:rPr>
          <w:rFonts w:asciiTheme="majorHAnsi" w:hAnsiTheme="majorHAnsi" w:cstheme="majorHAnsi"/>
          <w:sz w:val="22"/>
          <w:szCs w:val="22"/>
        </w:rPr>
        <w:t xml:space="preserve"> </w:t>
      </w:r>
      <w:sdt>
        <w:sdtPr>
          <w:rPr>
            <w:rFonts w:asciiTheme="majorHAnsi" w:hAnsiTheme="majorHAnsi" w:cstheme="majorHAnsi"/>
            <w:sz w:val="22"/>
            <w:szCs w:val="22"/>
          </w:rPr>
          <w:id w:val="288788081"/>
          <w:citation/>
        </w:sdtPr>
        <w:sdtContent>
          <w:r w:rsidR="00232852" w:rsidRPr="008A7B70">
            <w:rPr>
              <w:rFonts w:asciiTheme="majorHAnsi" w:hAnsiTheme="majorHAnsi" w:cstheme="majorHAnsi"/>
              <w:sz w:val="22"/>
              <w:szCs w:val="22"/>
            </w:rPr>
            <w:fldChar w:fldCharType="begin"/>
          </w:r>
          <w:r w:rsidR="00232852" w:rsidRPr="008A7B70">
            <w:rPr>
              <w:rFonts w:asciiTheme="majorHAnsi" w:hAnsiTheme="majorHAnsi" w:cstheme="majorHAnsi"/>
              <w:sz w:val="22"/>
              <w:szCs w:val="22"/>
              <w:lang w:val="en-US"/>
            </w:rPr>
            <w:instrText xml:space="preserve"> CITATION Ada23 \l 1033 </w:instrText>
          </w:r>
          <w:r w:rsidR="00232852" w:rsidRPr="008A7B70">
            <w:rPr>
              <w:rFonts w:asciiTheme="majorHAnsi" w:hAnsiTheme="majorHAnsi" w:cstheme="majorHAnsi"/>
              <w:sz w:val="22"/>
              <w:szCs w:val="22"/>
            </w:rPr>
            <w:fldChar w:fldCharType="separate"/>
          </w:r>
          <w:r w:rsidR="00232852" w:rsidRPr="008A7B70">
            <w:rPr>
              <w:rFonts w:asciiTheme="majorHAnsi" w:hAnsiTheme="majorHAnsi" w:cstheme="majorHAnsi"/>
              <w:noProof/>
              <w:sz w:val="22"/>
              <w:szCs w:val="22"/>
              <w:lang w:val="en-US"/>
            </w:rPr>
            <w:t>(Ada Lovelace Institute, 2023)</w:t>
          </w:r>
          <w:r w:rsidR="00232852" w:rsidRPr="008A7B70">
            <w:rPr>
              <w:rFonts w:asciiTheme="majorHAnsi" w:hAnsiTheme="majorHAnsi" w:cstheme="majorHAnsi"/>
              <w:sz w:val="22"/>
              <w:szCs w:val="22"/>
            </w:rPr>
            <w:fldChar w:fldCharType="end"/>
          </w:r>
        </w:sdtContent>
      </w:sdt>
      <w:r w:rsidRPr="008A7B70">
        <w:rPr>
          <w:rFonts w:asciiTheme="majorHAnsi" w:hAnsiTheme="majorHAnsi" w:cstheme="majorHAnsi"/>
          <w:sz w:val="22"/>
          <w:szCs w:val="22"/>
        </w:rPr>
        <w:t>, recognising that affected communities can identify social harms that technical teams may overlook.</w:t>
      </w:r>
    </w:p>
    <w:p w:rsidR="00DB51CE" w:rsidRPr="008A7B70" w:rsidRDefault="00DB51CE" w:rsidP="00DB51CE">
      <w:pPr>
        <w:pStyle w:val="NormalWeb"/>
        <w:spacing w:before="0" w:beforeAutospacing="0" w:after="0" w:afterAutospacing="0"/>
        <w:jc w:val="both"/>
        <w:rPr>
          <w:rFonts w:asciiTheme="majorHAnsi" w:hAnsiTheme="majorHAnsi" w:cstheme="majorHAnsi"/>
          <w:sz w:val="22"/>
          <w:szCs w:val="22"/>
        </w:rPr>
      </w:pPr>
    </w:p>
    <w:p w:rsidR="00AA14F6" w:rsidRPr="008A7B70" w:rsidRDefault="007408D8" w:rsidP="00DB51CE">
      <w:pPr>
        <w:pStyle w:val="NormalWeb"/>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Therefore</w:t>
      </w:r>
      <w:r w:rsidR="00DB51CE" w:rsidRPr="008A7B70">
        <w:rPr>
          <w:rFonts w:asciiTheme="majorHAnsi" w:hAnsiTheme="majorHAnsi" w:cstheme="majorHAnsi"/>
          <w:sz w:val="22"/>
          <w:szCs w:val="22"/>
        </w:rPr>
        <w:t>, this assessment demonstrates that the forecasting system’s most serious vulnerabilities exist at the intersection of technical reliability, privacy protection, and ethical fairness. Effective mitigation therefore requires both technical safeguards and governance mechanisms, including auditing, regular model evaluation, and transparent decision-making, to maintain public trust and ensure equitable outcomes across the energy sector.</w:t>
      </w:r>
    </w:p>
    <w:p w:rsidR="00DB51CE" w:rsidRPr="008A7B70" w:rsidRDefault="00DB51CE" w:rsidP="00DB51CE">
      <w:pPr>
        <w:pStyle w:val="NormalWeb"/>
        <w:spacing w:before="0" w:beforeAutospacing="0" w:after="0" w:afterAutospacing="0"/>
        <w:jc w:val="both"/>
        <w:rPr>
          <w:rFonts w:asciiTheme="majorHAnsi" w:hAnsiTheme="majorHAnsi" w:cstheme="majorHAnsi"/>
          <w:sz w:val="22"/>
          <w:szCs w:val="22"/>
        </w:rPr>
      </w:pPr>
    </w:p>
    <w:p w:rsidR="0082756A" w:rsidRPr="008A7B70" w:rsidRDefault="0082756A">
      <w:pPr>
        <w:rPr>
          <w:rFonts w:asciiTheme="majorHAnsi" w:eastAsia="Times New Roman" w:hAnsiTheme="majorHAnsi" w:cstheme="majorHAnsi"/>
          <w:b/>
          <w:bCs/>
          <w:lang w:eastAsia="en-AU"/>
        </w:rPr>
      </w:pPr>
      <w:bookmarkStart w:id="4" w:name="_Toc228144793"/>
      <w:r w:rsidRPr="008A7B70">
        <w:rPr>
          <w:rFonts w:asciiTheme="majorHAnsi" w:hAnsiTheme="majorHAnsi" w:cstheme="majorHAnsi"/>
        </w:rPr>
        <w:br w:type="page"/>
      </w:r>
    </w:p>
    <w:p w:rsidR="00DB51CE" w:rsidRPr="00B5665B" w:rsidRDefault="00DB51CE" w:rsidP="00B5665B">
      <w:pPr>
        <w:pStyle w:val="Heading2"/>
        <w:spacing w:before="0" w:beforeAutospacing="0" w:after="0" w:afterAutospacing="0"/>
        <w:jc w:val="both"/>
        <w:rPr>
          <w:rFonts w:asciiTheme="majorHAnsi" w:hAnsiTheme="majorHAnsi" w:cstheme="majorHAnsi"/>
        </w:rPr>
      </w:pPr>
      <w:r w:rsidRPr="00B5665B">
        <w:rPr>
          <w:rFonts w:asciiTheme="majorHAnsi" w:hAnsiTheme="majorHAnsi" w:cstheme="majorHAnsi"/>
        </w:rPr>
        <w:lastRenderedPageBreak/>
        <w:t>4. Recommendations</w:t>
      </w:r>
      <w:bookmarkEnd w:id="4"/>
    </w:p>
    <w:p w:rsidR="00B5665B" w:rsidRPr="008A7B70" w:rsidRDefault="00B5665B" w:rsidP="00B5665B">
      <w:pPr>
        <w:spacing w:after="0" w:line="240" w:lineRule="auto"/>
        <w:jc w:val="both"/>
        <w:rPr>
          <w:rFonts w:asciiTheme="majorHAnsi" w:eastAsia="Times New Roman" w:hAnsiTheme="majorHAnsi" w:cstheme="majorHAnsi"/>
          <w:szCs w:val="24"/>
          <w:lang w:eastAsia="en-AU"/>
        </w:rPr>
      </w:pPr>
    </w:p>
    <w:p w:rsidR="00DB51CE" w:rsidRPr="008A7B70" w:rsidRDefault="00DB51CE" w:rsidP="00B5665B">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Based on the ethical analysis, legal considerations, and risk assessment, four key recommendations are proposed to address the most significant risks within the AI-based Electricity Demand Forecasting System. These recommendations aim to strengthen fairness, accountability, and operational resilience while maintaining the system’s public value.</w:t>
      </w:r>
    </w:p>
    <w:p w:rsidR="00B5665B" w:rsidRPr="008A7B70" w:rsidRDefault="00B5665B" w:rsidP="00B5665B">
      <w:pPr>
        <w:spacing w:after="0" w:line="240" w:lineRule="auto"/>
        <w:jc w:val="both"/>
        <w:rPr>
          <w:rFonts w:asciiTheme="majorHAnsi" w:eastAsia="Times New Roman" w:hAnsiTheme="majorHAnsi" w:cstheme="majorHAnsi"/>
          <w:b/>
          <w:bCs/>
          <w:szCs w:val="24"/>
          <w:lang w:eastAsia="en-AU"/>
        </w:rPr>
      </w:pPr>
    </w:p>
    <w:p w:rsidR="0041362D" w:rsidRPr="0041362D" w:rsidRDefault="00DB51CE" w:rsidP="0041362D">
      <w:pPr>
        <w:pStyle w:val="Heading3"/>
        <w:numPr>
          <w:ilvl w:val="1"/>
          <w:numId w:val="3"/>
        </w:numPr>
        <w:rPr>
          <w:rFonts w:eastAsia="Times New Roman"/>
          <w:b/>
          <w:color w:val="auto"/>
          <w:sz w:val="28"/>
          <w:lang w:eastAsia="en-AU"/>
        </w:rPr>
      </w:pPr>
      <w:bookmarkStart w:id="5" w:name="_Toc228144794"/>
      <w:r w:rsidRPr="0041362D">
        <w:rPr>
          <w:rFonts w:eastAsia="Times New Roman"/>
          <w:b/>
          <w:color w:val="auto"/>
          <w:sz w:val="28"/>
          <w:lang w:eastAsia="en-AU"/>
        </w:rPr>
        <w:t>Implement fairness and bias auditing throughout the model lifecycle</w:t>
      </w:r>
      <w:bookmarkEnd w:id="5"/>
    </w:p>
    <w:p w:rsidR="00B5665B" w:rsidRPr="008A7B70" w:rsidRDefault="00B5665B" w:rsidP="00B5665B">
      <w:pPr>
        <w:spacing w:after="0" w:line="240" w:lineRule="auto"/>
        <w:jc w:val="both"/>
        <w:rPr>
          <w:rFonts w:asciiTheme="majorHAnsi" w:eastAsia="Times New Roman" w:hAnsiTheme="majorHAnsi" w:cstheme="majorHAnsi"/>
          <w:szCs w:val="24"/>
          <w:lang w:eastAsia="en-AU"/>
        </w:rPr>
      </w:pPr>
    </w:p>
    <w:p w:rsidR="00DB51CE" w:rsidRPr="008A7B70" w:rsidRDefault="00DB51CE" w:rsidP="00B5665B">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 xml:space="preserve">Given the high risk of algorithmic bias, forecasting models should undergo regular fairness testing before and after deployment. Historical demand data may embed regional or socio-economic inequalities, which can be reproduced in pricing and infrastructure decisions. Regular audits should evaluate whether model outcomes disproportionately disadvantage low-income or rural communities. Explainability tools should also be integrated to improve transparency and support accountability. This aligns with Week 6 principles of algorithmic fairness </w:t>
      </w:r>
      <w:sdt>
        <w:sdtPr>
          <w:rPr>
            <w:rFonts w:asciiTheme="majorHAnsi" w:eastAsia="Times New Roman" w:hAnsiTheme="majorHAnsi" w:cstheme="majorHAnsi"/>
            <w:szCs w:val="24"/>
            <w:lang w:eastAsia="en-AU"/>
          </w:rPr>
          <w:id w:val="292497603"/>
          <w:citation/>
        </w:sdtPr>
        <w:sdtEndPr/>
        <w:sdtContent>
          <w:r w:rsidR="00A92181" w:rsidRPr="008A7B70">
            <w:rPr>
              <w:rFonts w:asciiTheme="majorHAnsi" w:eastAsia="Times New Roman" w:hAnsiTheme="majorHAnsi" w:cstheme="majorHAnsi"/>
              <w:szCs w:val="24"/>
              <w:lang w:eastAsia="en-AU"/>
            </w:rPr>
            <w:fldChar w:fldCharType="begin"/>
          </w:r>
          <w:r w:rsidR="00A92181" w:rsidRPr="008A7B70">
            <w:rPr>
              <w:rFonts w:asciiTheme="majorHAnsi" w:eastAsia="Times New Roman" w:hAnsiTheme="majorHAnsi" w:cstheme="majorHAnsi"/>
              <w:szCs w:val="24"/>
              <w:lang w:val="en-US" w:eastAsia="en-AU"/>
            </w:rPr>
            <w:instrText xml:space="preserve"> CITATION Uni26 \l 1033 </w:instrText>
          </w:r>
          <w:r w:rsidR="00A92181" w:rsidRPr="008A7B70">
            <w:rPr>
              <w:rFonts w:asciiTheme="majorHAnsi" w:eastAsia="Times New Roman" w:hAnsiTheme="majorHAnsi" w:cstheme="majorHAnsi"/>
              <w:szCs w:val="24"/>
              <w:lang w:eastAsia="en-AU"/>
            </w:rPr>
            <w:fldChar w:fldCharType="separate"/>
          </w:r>
          <w:r w:rsidR="00BE3619" w:rsidRPr="008A7B70">
            <w:rPr>
              <w:rFonts w:asciiTheme="majorHAnsi" w:eastAsia="Times New Roman" w:hAnsiTheme="majorHAnsi" w:cstheme="majorHAnsi"/>
              <w:noProof/>
              <w:szCs w:val="24"/>
              <w:lang w:val="en-US" w:eastAsia="en-AU"/>
            </w:rPr>
            <w:t>(UNSW, 2026)</w:t>
          </w:r>
          <w:r w:rsidR="00A92181" w:rsidRPr="008A7B70">
            <w:rPr>
              <w:rFonts w:asciiTheme="majorHAnsi" w:eastAsia="Times New Roman" w:hAnsiTheme="majorHAnsi" w:cstheme="majorHAnsi"/>
              <w:szCs w:val="24"/>
              <w:lang w:eastAsia="en-AU"/>
            </w:rPr>
            <w:fldChar w:fldCharType="end"/>
          </w:r>
        </w:sdtContent>
      </w:sdt>
      <w:r w:rsidR="00A92181" w:rsidRPr="008A7B70">
        <w:rPr>
          <w:rFonts w:asciiTheme="majorHAnsi" w:eastAsia="Times New Roman" w:hAnsiTheme="majorHAnsi" w:cstheme="majorHAnsi"/>
          <w:szCs w:val="24"/>
          <w:lang w:eastAsia="en-AU"/>
        </w:rPr>
        <w:t xml:space="preserve"> </w:t>
      </w:r>
      <w:r w:rsidRPr="008A7B70">
        <w:rPr>
          <w:rFonts w:asciiTheme="majorHAnsi" w:eastAsia="Times New Roman" w:hAnsiTheme="majorHAnsi" w:cstheme="majorHAnsi"/>
          <w:szCs w:val="24"/>
          <w:lang w:eastAsia="en-AU"/>
        </w:rPr>
        <w:t>and promotes more equitable outcomes.</w:t>
      </w:r>
    </w:p>
    <w:p w:rsidR="00B5665B" w:rsidRPr="008A7B70" w:rsidRDefault="00B5665B" w:rsidP="00B5665B">
      <w:pPr>
        <w:spacing w:after="0" w:line="240" w:lineRule="auto"/>
        <w:jc w:val="both"/>
        <w:rPr>
          <w:rFonts w:asciiTheme="majorHAnsi" w:eastAsia="Times New Roman" w:hAnsiTheme="majorHAnsi" w:cstheme="majorHAnsi"/>
          <w:b/>
          <w:bCs/>
          <w:szCs w:val="24"/>
          <w:lang w:eastAsia="en-AU"/>
        </w:rPr>
      </w:pPr>
    </w:p>
    <w:p w:rsidR="0041362D" w:rsidRPr="0041362D" w:rsidRDefault="00DB51CE" w:rsidP="0041362D">
      <w:pPr>
        <w:pStyle w:val="Heading3"/>
        <w:numPr>
          <w:ilvl w:val="1"/>
          <w:numId w:val="3"/>
        </w:numPr>
        <w:rPr>
          <w:rFonts w:eastAsia="Times New Roman"/>
          <w:b/>
          <w:color w:val="auto"/>
          <w:sz w:val="28"/>
          <w:lang w:eastAsia="en-AU"/>
        </w:rPr>
      </w:pPr>
      <w:bookmarkStart w:id="6" w:name="_Toc228144795"/>
      <w:r w:rsidRPr="0041362D">
        <w:rPr>
          <w:rFonts w:eastAsia="Times New Roman"/>
          <w:b/>
          <w:color w:val="auto"/>
          <w:sz w:val="28"/>
          <w:lang w:eastAsia="en-AU"/>
        </w:rPr>
        <w:t>Strengthen data governance and privacy protection mechanisms</w:t>
      </w:r>
      <w:bookmarkEnd w:id="6"/>
    </w:p>
    <w:p w:rsidR="00B5665B" w:rsidRPr="008A7B70" w:rsidRDefault="00B5665B" w:rsidP="00B5665B">
      <w:pPr>
        <w:spacing w:after="0" w:line="240" w:lineRule="auto"/>
        <w:jc w:val="both"/>
        <w:rPr>
          <w:rFonts w:asciiTheme="majorHAnsi" w:eastAsia="Times New Roman" w:hAnsiTheme="majorHAnsi" w:cstheme="majorHAnsi"/>
          <w:szCs w:val="24"/>
          <w:lang w:eastAsia="en-AU"/>
        </w:rPr>
      </w:pPr>
    </w:p>
    <w:p w:rsidR="00DB51CE" w:rsidRPr="008A7B70" w:rsidRDefault="00DB51CE" w:rsidP="00B5665B">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 xml:space="preserve">As the system may expand to include smart meter data, stronger privacy protections are essential. Data minimisation, </w:t>
      </w:r>
      <w:r w:rsidR="0041362D" w:rsidRPr="008A7B70">
        <w:rPr>
          <w:rFonts w:asciiTheme="majorHAnsi" w:eastAsia="Times New Roman" w:hAnsiTheme="majorHAnsi" w:cstheme="majorHAnsi"/>
          <w:szCs w:val="24"/>
          <w:lang w:eastAsia="en-AU"/>
        </w:rPr>
        <w:t>anonymization</w:t>
      </w:r>
      <w:r w:rsidRPr="008A7B70">
        <w:rPr>
          <w:rFonts w:asciiTheme="majorHAnsi" w:eastAsia="Times New Roman" w:hAnsiTheme="majorHAnsi" w:cstheme="majorHAnsi"/>
          <w:szCs w:val="24"/>
          <w:lang w:eastAsia="en-AU"/>
        </w:rPr>
        <w:t xml:space="preserve">, encryption, and strict access controls should be embedded into the system’s architecture. Privacy Impact Assessments should be conducted before introducing new consumer-level datasets to identify privacy risks early. Governance policies should clearly define data ownership, retention periods, and disposal protocols. These measures align with Australian privacy law </w:t>
      </w:r>
      <w:sdt>
        <w:sdtPr>
          <w:rPr>
            <w:rFonts w:asciiTheme="majorHAnsi" w:eastAsia="Times New Roman" w:hAnsiTheme="majorHAnsi" w:cstheme="majorHAnsi"/>
            <w:szCs w:val="24"/>
            <w:lang w:eastAsia="en-AU"/>
          </w:rPr>
          <w:id w:val="-1467351820"/>
          <w:citation/>
        </w:sdtPr>
        <w:sdtEndPr/>
        <w:sdtContent>
          <w:r w:rsidR="00E52D32" w:rsidRPr="008A7B70">
            <w:rPr>
              <w:rFonts w:asciiTheme="majorHAnsi" w:eastAsia="Times New Roman" w:hAnsiTheme="majorHAnsi" w:cstheme="majorHAnsi"/>
              <w:szCs w:val="24"/>
              <w:lang w:eastAsia="en-AU"/>
            </w:rPr>
            <w:fldChar w:fldCharType="begin"/>
          </w:r>
          <w:r w:rsidR="00E52D32" w:rsidRPr="008A7B70">
            <w:rPr>
              <w:rFonts w:asciiTheme="majorHAnsi" w:eastAsia="Times New Roman" w:hAnsiTheme="majorHAnsi" w:cstheme="majorHAnsi"/>
              <w:szCs w:val="24"/>
              <w:lang w:val="en-US" w:eastAsia="en-AU"/>
            </w:rPr>
            <w:instrText xml:space="preserve"> CITATION Aus88 \l 1033 </w:instrText>
          </w:r>
          <w:r w:rsidR="00E52D32" w:rsidRPr="008A7B70">
            <w:rPr>
              <w:rFonts w:asciiTheme="majorHAnsi" w:eastAsia="Times New Roman" w:hAnsiTheme="majorHAnsi" w:cstheme="majorHAnsi"/>
              <w:szCs w:val="24"/>
              <w:lang w:eastAsia="en-AU"/>
            </w:rPr>
            <w:fldChar w:fldCharType="separate"/>
          </w:r>
          <w:r w:rsidR="00BE3619" w:rsidRPr="008A7B70">
            <w:rPr>
              <w:rFonts w:asciiTheme="majorHAnsi" w:eastAsia="Times New Roman" w:hAnsiTheme="majorHAnsi" w:cstheme="majorHAnsi"/>
              <w:noProof/>
              <w:szCs w:val="24"/>
              <w:lang w:val="en-US" w:eastAsia="en-AU"/>
            </w:rPr>
            <w:t>(Federal Register of Legislation, 1988)</w:t>
          </w:r>
          <w:r w:rsidR="00E52D32" w:rsidRPr="008A7B70">
            <w:rPr>
              <w:rFonts w:asciiTheme="majorHAnsi" w:eastAsia="Times New Roman" w:hAnsiTheme="majorHAnsi" w:cstheme="majorHAnsi"/>
              <w:szCs w:val="24"/>
              <w:lang w:eastAsia="en-AU"/>
            </w:rPr>
            <w:fldChar w:fldCharType="end"/>
          </w:r>
        </w:sdtContent>
      </w:sdt>
      <w:r w:rsidR="00E52D32" w:rsidRPr="008A7B70">
        <w:rPr>
          <w:rFonts w:asciiTheme="majorHAnsi" w:eastAsia="Times New Roman" w:hAnsiTheme="majorHAnsi" w:cstheme="majorHAnsi"/>
          <w:szCs w:val="24"/>
          <w:lang w:eastAsia="en-AU"/>
        </w:rPr>
        <w:t xml:space="preserve"> </w:t>
      </w:r>
      <w:r w:rsidRPr="008A7B70">
        <w:rPr>
          <w:rFonts w:asciiTheme="majorHAnsi" w:eastAsia="Times New Roman" w:hAnsiTheme="majorHAnsi" w:cstheme="majorHAnsi"/>
          <w:szCs w:val="24"/>
          <w:lang w:eastAsia="en-AU"/>
        </w:rPr>
        <w:t>and Week 4 data stewardship principles</w:t>
      </w:r>
      <w:r w:rsidR="00E52D32" w:rsidRPr="008A7B70">
        <w:rPr>
          <w:rFonts w:asciiTheme="majorHAnsi" w:eastAsia="Times New Roman" w:hAnsiTheme="majorHAnsi" w:cstheme="majorHAnsi"/>
          <w:szCs w:val="24"/>
          <w:lang w:eastAsia="en-AU"/>
        </w:rPr>
        <w:t xml:space="preserve"> </w:t>
      </w:r>
      <w:sdt>
        <w:sdtPr>
          <w:rPr>
            <w:rFonts w:asciiTheme="majorHAnsi" w:eastAsia="Times New Roman" w:hAnsiTheme="majorHAnsi" w:cstheme="majorHAnsi"/>
            <w:szCs w:val="24"/>
            <w:lang w:eastAsia="en-AU"/>
          </w:rPr>
          <w:id w:val="1195664064"/>
          <w:citation/>
        </w:sdtPr>
        <w:sdtEndPr/>
        <w:sdtContent>
          <w:r w:rsidR="00E52D32" w:rsidRPr="008A7B70">
            <w:rPr>
              <w:rFonts w:asciiTheme="majorHAnsi" w:eastAsia="Times New Roman" w:hAnsiTheme="majorHAnsi" w:cstheme="majorHAnsi"/>
              <w:szCs w:val="24"/>
              <w:lang w:eastAsia="en-AU"/>
            </w:rPr>
            <w:fldChar w:fldCharType="begin"/>
          </w:r>
          <w:r w:rsidR="00E52D32" w:rsidRPr="008A7B70">
            <w:rPr>
              <w:rFonts w:asciiTheme="majorHAnsi" w:eastAsia="Times New Roman" w:hAnsiTheme="majorHAnsi" w:cstheme="majorHAnsi"/>
              <w:szCs w:val="24"/>
              <w:lang w:val="en-US" w:eastAsia="en-AU"/>
            </w:rPr>
            <w:instrText xml:space="preserve"> CITATION Uni26 \l 1033 </w:instrText>
          </w:r>
          <w:r w:rsidR="00E52D32" w:rsidRPr="008A7B70">
            <w:rPr>
              <w:rFonts w:asciiTheme="majorHAnsi" w:eastAsia="Times New Roman" w:hAnsiTheme="majorHAnsi" w:cstheme="majorHAnsi"/>
              <w:szCs w:val="24"/>
              <w:lang w:eastAsia="en-AU"/>
            </w:rPr>
            <w:fldChar w:fldCharType="separate"/>
          </w:r>
          <w:r w:rsidR="00BE3619" w:rsidRPr="008A7B70">
            <w:rPr>
              <w:rFonts w:asciiTheme="majorHAnsi" w:eastAsia="Times New Roman" w:hAnsiTheme="majorHAnsi" w:cstheme="majorHAnsi"/>
              <w:noProof/>
              <w:szCs w:val="24"/>
              <w:lang w:val="en-US" w:eastAsia="en-AU"/>
            </w:rPr>
            <w:t>(UNSW, 2026)</w:t>
          </w:r>
          <w:r w:rsidR="00E52D32" w:rsidRPr="008A7B70">
            <w:rPr>
              <w:rFonts w:asciiTheme="majorHAnsi" w:eastAsia="Times New Roman" w:hAnsiTheme="majorHAnsi" w:cstheme="majorHAnsi"/>
              <w:szCs w:val="24"/>
              <w:lang w:eastAsia="en-AU"/>
            </w:rPr>
            <w:fldChar w:fldCharType="end"/>
          </w:r>
        </w:sdtContent>
      </w:sdt>
      <w:r w:rsidRPr="008A7B70">
        <w:rPr>
          <w:rFonts w:asciiTheme="majorHAnsi" w:eastAsia="Times New Roman" w:hAnsiTheme="majorHAnsi" w:cstheme="majorHAnsi"/>
          <w:szCs w:val="24"/>
          <w:lang w:eastAsia="en-AU"/>
        </w:rPr>
        <w:t>.</w:t>
      </w:r>
    </w:p>
    <w:p w:rsidR="00B5665B" w:rsidRPr="008A7B70" w:rsidRDefault="00B5665B" w:rsidP="00B5665B">
      <w:pPr>
        <w:spacing w:after="0" w:line="240" w:lineRule="auto"/>
        <w:jc w:val="both"/>
        <w:rPr>
          <w:rFonts w:asciiTheme="majorHAnsi" w:eastAsia="Times New Roman" w:hAnsiTheme="majorHAnsi" w:cstheme="majorHAnsi"/>
          <w:b/>
          <w:bCs/>
          <w:szCs w:val="24"/>
          <w:lang w:eastAsia="en-AU"/>
        </w:rPr>
      </w:pPr>
    </w:p>
    <w:p w:rsidR="0041362D" w:rsidRPr="0041362D" w:rsidRDefault="00DB51CE" w:rsidP="0041362D">
      <w:pPr>
        <w:pStyle w:val="Heading3"/>
        <w:numPr>
          <w:ilvl w:val="1"/>
          <w:numId w:val="3"/>
        </w:numPr>
        <w:rPr>
          <w:rFonts w:eastAsia="Times New Roman"/>
          <w:b/>
          <w:color w:val="auto"/>
          <w:sz w:val="28"/>
          <w:lang w:eastAsia="en-AU"/>
        </w:rPr>
      </w:pPr>
      <w:bookmarkStart w:id="7" w:name="_Toc228144796"/>
      <w:r w:rsidRPr="0041362D">
        <w:rPr>
          <w:rFonts w:eastAsia="Times New Roman"/>
          <w:b/>
          <w:color w:val="auto"/>
          <w:sz w:val="28"/>
          <w:lang w:eastAsia="en-AU"/>
        </w:rPr>
        <w:t>Establish independent oversight and stakeholder participation</w:t>
      </w:r>
      <w:bookmarkEnd w:id="7"/>
    </w:p>
    <w:p w:rsidR="00B5665B" w:rsidRPr="008A7B70" w:rsidRDefault="00B5665B" w:rsidP="00B5665B">
      <w:pPr>
        <w:spacing w:after="0" w:line="240" w:lineRule="auto"/>
        <w:jc w:val="both"/>
        <w:rPr>
          <w:rFonts w:asciiTheme="majorHAnsi" w:eastAsia="Times New Roman" w:hAnsiTheme="majorHAnsi" w:cstheme="majorHAnsi"/>
          <w:szCs w:val="24"/>
          <w:lang w:eastAsia="en-AU"/>
        </w:rPr>
      </w:pPr>
    </w:p>
    <w:p w:rsidR="00DB51CE" w:rsidRPr="008A7B70" w:rsidRDefault="00DB51CE" w:rsidP="00B5665B">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 xml:space="preserve">To improve accountability and public trust, an independent governance body should oversee forecasting practices, risk reviews, and policy compliance. This body should include regulators, consumer representatives, and technical experts. Involving affected stakeholders, particularly vulnerable communities, ensures that social harms are identified alongside technical risks. Participatory governance improves transparency and reflects care ethics </w:t>
      </w:r>
      <w:sdt>
        <w:sdtPr>
          <w:rPr>
            <w:rFonts w:asciiTheme="majorHAnsi" w:eastAsia="Times New Roman" w:hAnsiTheme="majorHAnsi" w:cstheme="majorHAnsi"/>
            <w:szCs w:val="24"/>
            <w:lang w:eastAsia="en-AU"/>
          </w:rPr>
          <w:id w:val="1310599889"/>
          <w:citation/>
        </w:sdtPr>
        <w:sdtEndPr/>
        <w:sdtContent>
          <w:r w:rsidR="000A525E" w:rsidRPr="008A7B70">
            <w:rPr>
              <w:rFonts w:asciiTheme="majorHAnsi" w:eastAsia="Times New Roman" w:hAnsiTheme="majorHAnsi" w:cstheme="majorHAnsi"/>
              <w:szCs w:val="24"/>
              <w:lang w:eastAsia="en-AU"/>
            </w:rPr>
            <w:fldChar w:fldCharType="begin"/>
          </w:r>
          <w:r w:rsidR="000A525E" w:rsidRPr="008A7B70">
            <w:rPr>
              <w:rFonts w:asciiTheme="majorHAnsi" w:eastAsia="Times New Roman" w:hAnsiTheme="majorHAnsi" w:cstheme="majorHAnsi"/>
              <w:szCs w:val="24"/>
              <w:lang w:val="en-US" w:eastAsia="en-AU"/>
            </w:rPr>
            <w:instrText xml:space="preserve"> CITATION Gil82 \l 1033 </w:instrText>
          </w:r>
          <w:r w:rsidR="000A525E" w:rsidRPr="008A7B70">
            <w:rPr>
              <w:rFonts w:asciiTheme="majorHAnsi" w:eastAsia="Times New Roman" w:hAnsiTheme="majorHAnsi" w:cstheme="majorHAnsi"/>
              <w:szCs w:val="24"/>
              <w:lang w:eastAsia="en-AU"/>
            </w:rPr>
            <w:fldChar w:fldCharType="separate"/>
          </w:r>
          <w:r w:rsidR="00BE3619" w:rsidRPr="008A7B70">
            <w:rPr>
              <w:rFonts w:asciiTheme="majorHAnsi" w:eastAsia="Times New Roman" w:hAnsiTheme="majorHAnsi" w:cstheme="majorHAnsi"/>
              <w:noProof/>
              <w:szCs w:val="24"/>
              <w:lang w:val="en-US" w:eastAsia="en-AU"/>
            </w:rPr>
            <w:t>(Gilligan, 1982)</w:t>
          </w:r>
          <w:r w:rsidR="000A525E" w:rsidRPr="008A7B70">
            <w:rPr>
              <w:rFonts w:asciiTheme="majorHAnsi" w:eastAsia="Times New Roman" w:hAnsiTheme="majorHAnsi" w:cstheme="majorHAnsi"/>
              <w:szCs w:val="24"/>
              <w:lang w:eastAsia="en-AU"/>
            </w:rPr>
            <w:fldChar w:fldCharType="end"/>
          </w:r>
        </w:sdtContent>
      </w:sdt>
      <w:r w:rsidR="000A525E" w:rsidRPr="008A7B70">
        <w:rPr>
          <w:rFonts w:asciiTheme="majorHAnsi" w:eastAsia="Times New Roman" w:hAnsiTheme="majorHAnsi" w:cstheme="majorHAnsi"/>
          <w:szCs w:val="24"/>
          <w:lang w:eastAsia="en-AU"/>
        </w:rPr>
        <w:t xml:space="preserve"> </w:t>
      </w:r>
      <w:r w:rsidRPr="008A7B70">
        <w:rPr>
          <w:rFonts w:asciiTheme="majorHAnsi" w:eastAsia="Times New Roman" w:hAnsiTheme="majorHAnsi" w:cstheme="majorHAnsi"/>
          <w:szCs w:val="24"/>
          <w:lang w:eastAsia="en-AU"/>
        </w:rPr>
        <w:t>by recognising stakeholder vulnerability and agency.</w:t>
      </w:r>
    </w:p>
    <w:p w:rsidR="00B5665B" w:rsidRPr="008A7B70" w:rsidRDefault="00B5665B" w:rsidP="00B5665B">
      <w:pPr>
        <w:spacing w:after="0" w:line="240" w:lineRule="auto"/>
        <w:jc w:val="both"/>
        <w:rPr>
          <w:rFonts w:asciiTheme="majorHAnsi" w:eastAsia="Times New Roman" w:hAnsiTheme="majorHAnsi" w:cstheme="majorHAnsi"/>
          <w:b/>
          <w:bCs/>
          <w:szCs w:val="24"/>
          <w:lang w:eastAsia="en-AU"/>
        </w:rPr>
      </w:pPr>
    </w:p>
    <w:p w:rsidR="0041362D" w:rsidRPr="0041362D" w:rsidRDefault="00DB51CE" w:rsidP="0041362D">
      <w:pPr>
        <w:pStyle w:val="Heading3"/>
        <w:numPr>
          <w:ilvl w:val="1"/>
          <w:numId w:val="3"/>
        </w:numPr>
        <w:jc w:val="both"/>
        <w:rPr>
          <w:rFonts w:eastAsia="Times New Roman"/>
          <w:b/>
          <w:color w:val="auto"/>
          <w:sz w:val="28"/>
          <w:lang w:eastAsia="en-AU"/>
        </w:rPr>
      </w:pPr>
      <w:bookmarkStart w:id="8" w:name="_Toc228144797"/>
      <w:r w:rsidRPr="0041362D">
        <w:rPr>
          <w:rFonts w:eastAsia="Times New Roman"/>
          <w:b/>
          <w:color w:val="auto"/>
          <w:sz w:val="28"/>
          <w:lang w:eastAsia="en-AU"/>
        </w:rPr>
        <w:t xml:space="preserve">Develop operational resilience through continuous monitoring </w:t>
      </w:r>
      <w:r w:rsidR="00AF5666">
        <w:rPr>
          <w:rFonts w:eastAsia="Times New Roman"/>
          <w:b/>
          <w:color w:val="auto"/>
          <w:sz w:val="28"/>
          <w:lang w:eastAsia="en-AU"/>
        </w:rPr>
        <w:t>&amp;</w:t>
      </w:r>
      <w:r w:rsidRPr="0041362D">
        <w:rPr>
          <w:rFonts w:eastAsia="Times New Roman"/>
          <w:b/>
          <w:color w:val="auto"/>
          <w:sz w:val="28"/>
          <w:lang w:eastAsia="en-AU"/>
        </w:rPr>
        <w:t xml:space="preserve"> contingency planning</w:t>
      </w:r>
      <w:bookmarkEnd w:id="8"/>
    </w:p>
    <w:p w:rsidR="00B5665B" w:rsidRPr="008A7B70" w:rsidRDefault="00B5665B" w:rsidP="00B5665B">
      <w:pPr>
        <w:spacing w:after="0" w:line="240" w:lineRule="auto"/>
        <w:jc w:val="both"/>
        <w:rPr>
          <w:rFonts w:asciiTheme="majorHAnsi" w:eastAsia="Times New Roman" w:hAnsiTheme="majorHAnsi" w:cstheme="majorHAnsi"/>
          <w:szCs w:val="24"/>
          <w:lang w:eastAsia="en-AU"/>
        </w:rPr>
      </w:pPr>
    </w:p>
    <w:p w:rsidR="00DB51CE" w:rsidRPr="008A7B70" w:rsidRDefault="00DB51CE" w:rsidP="00B5665B">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Forecasting systems supporting critical infrastructure must maintain high reliability. Continuous data integrity monitoring, automated backup systems, and model performance testing should be mandatory. Contingency planning should also be developed to manage forecasting failures, including fall</w:t>
      </w:r>
      <w:r w:rsidR="00807A63" w:rsidRPr="008A7B70">
        <w:rPr>
          <w:rFonts w:asciiTheme="majorHAnsi" w:eastAsia="Times New Roman" w:hAnsiTheme="majorHAnsi" w:cstheme="majorHAnsi"/>
          <w:szCs w:val="24"/>
          <w:lang w:eastAsia="en-AU"/>
        </w:rPr>
        <w:t xml:space="preserve"> </w:t>
      </w:r>
      <w:r w:rsidRPr="008A7B70">
        <w:rPr>
          <w:rFonts w:asciiTheme="majorHAnsi" w:eastAsia="Times New Roman" w:hAnsiTheme="majorHAnsi" w:cstheme="majorHAnsi"/>
          <w:szCs w:val="24"/>
          <w:lang w:eastAsia="en-AU"/>
        </w:rPr>
        <w:t>back operational procedures during system disruptions. This reduces operational risk and strengthens grid stability.</w:t>
      </w:r>
    </w:p>
    <w:p w:rsidR="0041362D" w:rsidRPr="008A7B70" w:rsidRDefault="0041362D" w:rsidP="00B5665B">
      <w:pPr>
        <w:spacing w:after="0" w:line="240" w:lineRule="auto"/>
        <w:jc w:val="both"/>
        <w:rPr>
          <w:rFonts w:asciiTheme="majorHAnsi" w:eastAsia="Times New Roman" w:hAnsiTheme="majorHAnsi" w:cstheme="majorHAnsi"/>
          <w:sz w:val="20"/>
          <w:szCs w:val="24"/>
          <w:lang w:eastAsia="en-AU"/>
        </w:rPr>
      </w:pPr>
    </w:p>
    <w:p w:rsidR="00DB51CE" w:rsidRPr="008A7B70" w:rsidRDefault="00DB51CE" w:rsidP="00B5665B">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Together, these recommendations address the system’s most significant ethical, legal, and operational risks. By improving fairness, privacy, accountability, and resilience, the forecasting system can deliver public benefit while maintaining trust, protecting vulnerable stakeholders, and supporting responsible data-driven decision-making in the energy sector.</w:t>
      </w:r>
    </w:p>
    <w:p w:rsidR="00972BC5" w:rsidRPr="00B5665B" w:rsidRDefault="00972BC5" w:rsidP="00972BC5">
      <w:pPr>
        <w:pStyle w:val="Heading2"/>
        <w:spacing w:before="0" w:beforeAutospacing="0" w:after="0" w:afterAutospacing="0"/>
        <w:jc w:val="both"/>
        <w:rPr>
          <w:rFonts w:asciiTheme="majorHAnsi" w:hAnsiTheme="majorHAnsi" w:cstheme="majorHAnsi"/>
        </w:rPr>
      </w:pPr>
      <w:bookmarkStart w:id="9" w:name="_Toc228144798"/>
      <w:r w:rsidRPr="00B5665B">
        <w:rPr>
          <w:rFonts w:asciiTheme="majorHAnsi" w:hAnsiTheme="majorHAnsi" w:cstheme="majorHAnsi"/>
        </w:rPr>
        <w:lastRenderedPageBreak/>
        <w:t>Re</w:t>
      </w:r>
      <w:r w:rsidR="00F37C3C">
        <w:rPr>
          <w:rFonts w:asciiTheme="majorHAnsi" w:hAnsiTheme="majorHAnsi" w:cstheme="majorHAnsi"/>
        </w:rPr>
        <w:t>ferences</w:t>
      </w:r>
      <w:bookmarkEnd w:id="9"/>
      <w:r w:rsidR="00A710CA" w:rsidRPr="00A710CA">
        <w:t xml:space="preserve"> </w:t>
      </w:r>
      <w:r w:rsidR="00A710CA" w:rsidRPr="00A710CA">
        <w:rPr>
          <w:rFonts w:asciiTheme="majorHAnsi" w:hAnsiTheme="majorHAnsi" w:cstheme="majorHAnsi"/>
        </w:rPr>
        <w:t>and AI Use Acknowledgement</w:t>
      </w:r>
    </w:p>
    <w:p w:rsidR="00DB51CE" w:rsidRPr="008A7B70" w:rsidRDefault="00DB51CE" w:rsidP="00B5665B">
      <w:pPr>
        <w:spacing w:after="0" w:line="240" w:lineRule="auto"/>
        <w:jc w:val="both"/>
        <w:rPr>
          <w:rFonts w:asciiTheme="majorHAnsi" w:eastAsia="Times New Roman" w:hAnsiTheme="majorHAnsi" w:cstheme="majorHAnsi"/>
          <w:szCs w:val="24"/>
          <w:lang w:eastAsia="en-AU"/>
        </w:rPr>
      </w:pPr>
    </w:p>
    <w:bookmarkStart w:id="10" w:name="_Toc228144799" w:displacedByCustomXml="next"/>
    <w:sdt>
      <w:sdtPr>
        <w:rPr>
          <w:rFonts w:asciiTheme="minorHAnsi" w:eastAsia="Times New Roman" w:hAnsiTheme="minorHAnsi" w:cstheme="minorBidi"/>
          <w:b/>
          <w:color w:val="auto"/>
          <w:szCs w:val="22"/>
          <w:lang w:eastAsia="en-AU"/>
        </w:rPr>
        <w:id w:val="-1750735762"/>
        <w:docPartObj>
          <w:docPartGallery w:val="Bibliographies"/>
          <w:docPartUnique/>
        </w:docPartObj>
      </w:sdtPr>
      <w:sdtEndPr>
        <w:rPr>
          <w:rFonts w:asciiTheme="majorHAnsi" w:eastAsiaTheme="minorHAnsi" w:hAnsiTheme="majorHAnsi" w:cstheme="majorHAnsi"/>
          <w:b w:val="0"/>
          <w:sz w:val="22"/>
          <w:lang w:eastAsia="en-US"/>
        </w:rPr>
      </w:sdtEndPr>
      <w:sdtContent>
        <w:bookmarkEnd w:id="10" w:displacedByCustomXml="prev"/>
        <w:p w:rsidR="00041E64" w:rsidRPr="00041E64" w:rsidRDefault="0050038C" w:rsidP="00041E64">
          <w:pPr>
            <w:pStyle w:val="Heading3"/>
            <w:jc w:val="both"/>
            <w:rPr>
              <w:rFonts w:eastAsia="Times New Roman"/>
              <w:b/>
              <w:color w:val="auto"/>
              <w:sz w:val="28"/>
              <w:lang w:eastAsia="en-AU"/>
            </w:rPr>
          </w:pPr>
          <w:r>
            <w:rPr>
              <w:rFonts w:eastAsia="Times New Roman"/>
              <w:b/>
              <w:color w:val="auto"/>
              <w:sz w:val="28"/>
              <w:lang w:eastAsia="en-AU"/>
            </w:rPr>
            <w:t>References</w:t>
          </w:r>
        </w:p>
        <w:sdt>
          <w:sdtPr>
            <w:id w:val="111145805"/>
            <w:bibliography/>
          </w:sdtPr>
          <w:sdtEndPr>
            <w:rPr>
              <w:rFonts w:asciiTheme="majorHAnsi" w:hAnsiTheme="majorHAnsi" w:cstheme="majorHAnsi"/>
            </w:rPr>
          </w:sdtEndPr>
          <w:sdtContent>
            <w:p w:rsidR="00041E64" w:rsidRPr="008A7B70" w:rsidRDefault="00041E64" w:rsidP="00041E64">
              <w:pPr>
                <w:pStyle w:val="Bibliography"/>
                <w:ind w:left="720" w:hanging="720"/>
                <w:rPr>
                  <w:rFonts w:asciiTheme="majorHAnsi" w:hAnsiTheme="majorHAnsi" w:cstheme="majorHAnsi"/>
                </w:rPr>
              </w:pPr>
            </w:p>
            <w:p w:rsidR="00BE3619" w:rsidRPr="008A7B70" w:rsidRDefault="00041E64" w:rsidP="00666F3D">
              <w:pPr>
                <w:pStyle w:val="Bibliography"/>
                <w:numPr>
                  <w:ilvl w:val="0"/>
                  <w:numId w:val="6"/>
                </w:numPr>
                <w:rPr>
                  <w:rFonts w:asciiTheme="majorHAnsi" w:hAnsiTheme="majorHAnsi" w:cstheme="majorHAnsi"/>
                  <w:noProof/>
                </w:rPr>
              </w:pPr>
              <w:r w:rsidRPr="008A7B70">
                <w:rPr>
                  <w:rFonts w:asciiTheme="majorHAnsi" w:hAnsiTheme="majorHAnsi" w:cstheme="majorHAnsi"/>
                </w:rPr>
                <w:fldChar w:fldCharType="begin"/>
              </w:r>
              <w:r w:rsidRPr="008A7B70">
                <w:rPr>
                  <w:rFonts w:asciiTheme="majorHAnsi" w:hAnsiTheme="majorHAnsi" w:cstheme="majorHAnsi"/>
                </w:rPr>
                <w:instrText xml:space="preserve"> BIBLIOGRAPHY </w:instrText>
              </w:r>
              <w:r w:rsidRPr="008A7B70">
                <w:rPr>
                  <w:rFonts w:asciiTheme="majorHAnsi" w:hAnsiTheme="majorHAnsi" w:cstheme="majorHAnsi"/>
                </w:rPr>
                <w:fldChar w:fldCharType="separate"/>
              </w:r>
              <w:r w:rsidR="00BE3619" w:rsidRPr="008A7B70">
                <w:rPr>
                  <w:rFonts w:asciiTheme="majorHAnsi" w:hAnsiTheme="majorHAnsi" w:cstheme="majorHAnsi"/>
                  <w:i/>
                  <w:iCs/>
                  <w:noProof/>
                </w:rPr>
                <w:t>Ada Lovelace Institute.</w:t>
              </w:r>
              <w:r w:rsidR="00BE3619" w:rsidRPr="008A7B70">
                <w:rPr>
                  <w:rFonts w:asciiTheme="majorHAnsi" w:hAnsiTheme="majorHAnsi" w:cstheme="majorHAnsi"/>
                  <w:noProof/>
                </w:rPr>
                <w:t xml:space="preserve"> (2023). Methods for AI risk assessment: A review of the current landscape of AI risk assessment and related methods. Retrieved from A review of the current landscape of AI risk assessment and related methods.</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i/>
                  <w:iCs/>
                  <w:noProof/>
                </w:rPr>
                <w:t>Australian Energy Market Operator</w:t>
              </w:r>
              <w:r w:rsidRPr="008A7B70">
                <w:rPr>
                  <w:rFonts w:asciiTheme="majorHAnsi" w:hAnsiTheme="majorHAnsi" w:cstheme="majorHAnsi"/>
                  <w:noProof/>
                </w:rPr>
                <w:t>. (2023). Retrieved from Electricity demand and forecasting in the National Electricity Market.: https://www.aemo.com.au</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noProof/>
                </w:rPr>
                <w:t xml:space="preserve">Bentham, J. (1789). An introduction to the principles of morals and legislation. </w:t>
              </w:r>
              <w:r w:rsidRPr="008A7B70">
                <w:rPr>
                  <w:rFonts w:asciiTheme="majorHAnsi" w:hAnsiTheme="majorHAnsi" w:cstheme="majorHAnsi"/>
                  <w:i/>
                  <w:iCs/>
                  <w:noProof/>
                </w:rPr>
                <w:t>Clarendon Press</w:t>
              </w:r>
              <w:r w:rsidRPr="008A7B70">
                <w:rPr>
                  <w:rFonts w:asciiTheme="majorHAnsi" w:hAnsiTheme="majorHAnsi" w:cstheme="majorHAnsi"/>
                  <w:noProof/>
                </w:rPr>
                <w:t>.</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noProof/>
                </w:rPr>
                <w:t xml:space="preserve">Doshi-Velez, F. &amp;. (2017). Towards a rigorous science of interpretable machine learning. </w:t>
              </w:r>
              <w:r w:rsidRPr="008A7B70">
                <w:rPr>
                  <w:rFonts w:asciiTheme="majorHAnsi" w:hAnsiTheme="majorHAnsi" w:cstheme="majorHAnsi"/>
                  <w:i/>
                  <w:iCs/>
                  <w:noProof/>
                </w:rPr>
                <w:t>arXiv</w:t>
              </w:r>
              <w:r w:rsidRPr="008A7B70">
                <w:rPr>
                  <w:rFonts w:asciiTheme="majorHAnsi" w:hAnsiTheme="majorHAnsi" w:cstheme="majorHAnsi"/>
                  <w:noProof/>
                </w:rPr>
                <w:t>, https://arxiv.org/abs/1702.08608.</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i/>
                  <w:iCs/>
                  <w:noProof/>
                </w:rPr>
                <w:t>Federal Register of Legislation</w:t>
              </w:r>
              <w:r w:rsidRPr="008A7B70">
                <w:rPr>
                  <w:rFonts w:asciiTheme="majorHAnsi" w:hAnsiTheme="majorHAnsi" w:cstheme="majorHAnsi"/>
                  <w:noProof/>
                </w:rPr>
                <w:t>. (1988). Retrieved from Privacy Act 1988 (Cth). Government, Australian: https://www.legislation.gov.au</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noProof/>
                </w:rPr>
                <w:t xml:space="preserve">Gilligan, C. (1982). In a different voice: Psychological theory and women’s development. </w:t>
              </w:r>
              <w:r w:rsidRPr="008A7B70">
                <w:rPr>
                  <w:rFonts w:asciiTheme="majorHAnsi" w:hAnsiTheme="majorHAnsi" w:cstheme="majorHAnsi"/>
                  <w:i/>
                  <w:iCs/>
                  <w:noProof/>
                </w:rPr>
                <w:t>Harvard University Press</w:t>
              </w:r>
              <w:r w:rsidRPr="008A7B70">
                <w:rPr>
                  <w:rFonts w:asciiTheme="majorHAnsi" w:hAnsiTheme="majorHAnsi" w:cstheme="majorHAnsi"/>
                  <w:noProof/>
                </w:rPr>
                <w:t>.</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noProof/>
                </w:rPr>
                <w:t xml:space="preserve">NIST, A. R. (2023). </w:t>
              </w:r>
              <w:r w:rsidRPr="008A7B70">
                <w:rPr>
                  <w:rFonts w:asciiTheme="majorHAnsi" w:hAnsiTheme="majorHAnsi" w:cstheme="majorHAnsi"/>
                  <w:i/>
                  <w:iCs/>
                  <w:noProof/>
                </w:rPr>
                <w:t>Artificial intelligence risk management framework (AI RMF 1.0) (NIST AI 100-1)</w:t>
              </w:r>
              <w:r w:rsidRPr="008A7B70">
                <w:rPr>
                  <w:rFonts w:asciiTheme="majorHAnsi" w:hAnsiTheme="majorHAnsi" w:cstheme="majorHAnsi"/>
                  <w:noProof/>
                </w:rPr>
                <w:t>. Retr</w:t>
              </w:r>
              <w:r w:rsidR="00210508">
                <w:rPr>
                  <w:rFonts w:asciiTheme="majorHAnsi" w:hAnsiTheme="majorHAnsi" w:cstheme="majorHAnsi"/>
                  <w:noProof/>
                </w:rPr>
                <w:t>ieved from Commerce, U.S. Dept</w:t>
              </w:r>
              <w:r w:rsidRPr="008A7B70">
                <w:rPr>
                  <w:rFonts w:asciiTheme="majorHAnsi" w:hAnsiTheme="majorHAnsi" w:cstheme="majorHAnsi"/>
                  <w:noProof/>
                </w:rPr>
                <w:t xml:space="preserve"> of: https://doi.org/10.6028/NIST.AI.100-1</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noProof/>
                </w:rPr>
                <w:t xml:space="preserve">OpenAI. (2026). </w:t>
              </w:r>
              <w:r w:rsidRPr="008A7B70">
                <w:rPr>
                  <w:rFonts w:asciiTheme="majorHAnsi" w:hAnsiTheme="majorHAnsi" w:cstheme="majorHAnsi"/>
                  <w:i/>
                  <w:iCs/>
                  <w:noProof/>
                </w:rPr>
                <w:t>[Large language model]</w:t>
              </w:r>
              <w:r w:rsidRPr="008A7B70">
                <w:rPr>
                  <w:rFonts w:asciiTheme="majorHAnsi" w:hAnsiTheme="majorHAnsi" w:cstheme="majorHAnsi"/>
                  <w:noProof/>
                </w:rPr>
                <w:t>. Retrieved from ChatGPT: https://chat.openai.com</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noProof/>
                </w:rPr>
                <w:t xml:space="preserve">Rawls, J. (1971). A theory of justice. </w:t>
              </w:r>
              <w:r w:rsidRPr="008A7B70">
                <w:rPr>
                  <w:rFonts w:asciiTheme="majorHAnsi" w:hAnsiTheme="majorHAnsi" w:cstheme="majorHAnsi"/>
                  <w:i/>
                  <w:iCs/>
                  <w:noProof/>
                </w:rPr>
                <w:t>Harvard University Press</w:t>
              </w:r>
              <w:r w:rsidRPr="008A7B70">
                <w:rPr>
                  <w:rFonts w:asciiTheme="majorHAnsi" w:hAnsiTheme="majorHAnsi" w:cstheme="majorHAnsi"/>
                  <w:noProof/>
                </w:rPr>
                <w:t>.</w:t>
              </w:r>
            </w:p>
            <w:p w:rsidR="00BE3619" w:rsidRPr="008A7B70" w:rsidRDefault="00BE3619" w:rsidP="00666F3D">
              <w:pPr>
                <w:pStyle w:val="Bibliography"/>
                <w:numPr>
                  <w:ilvl w:val="0"/>
                  <w:numId w:val="6"/>
                </w:numPr>
                <w:rPr>
                  <w:rFonts w:asciiTheme="majorHAnsi" w:hAnsiTheme="majorHAnsi" w:cstheme="majorHAnsi"/>
                  <w:noProof/>
                </w:rPr>
              </w:pPr>
              <w:r w:rsidRPr="008A7B70">
                <w:rPr>
                  <w:rFonts w:asciiTheme="majorHAnsi" w:hAnsiTheme="majorHAnsi" w:cstheme="majorHAnsi"/>
                  <w:noProof/>
                </w:rPr>
                <w:t xml:space="preserve">UNSW. (2026). </w:t>
              </w:r>
              <w:r w:rsidRPr="008A7B70">
                <w:rPr>
                  <w:rFonts w:asciiTheme="majorHAnsi" w:hAnsiTheme="majorHAnsi" w:cstheme="majorHAnsi"/>
                  <w:i/>
                  <w:iCs/>
                  <w:noProof/>
                </w:rPr>
                <w:t>ZZBU6505 Data and Ethics course materials</w:t>
              </w:r>
              <w:r w:rsidRPr="008A7B70">
                <w:rPr>
                  <w:rFonts w:asciiTheme="majorHAnsi" w:hAnsiTheme="majorHAnsi" w:cstheme="majorHAnsi"/>
                  <w:noProof/>
                </w:rPr>
                <w:t>. Retrieved from University of New South Wales.</w:t>
              </w:r>
            </w:p>
            <w:p w:rsidR="00041E64" w:rsidRPr="008A7B70" w:rsidRDefault="00041E64" w:rsidP="00BE3619">
              <w:pPr>
                <w:spacing w:before="240" w:after="0"/>
                <w:jc w:val="both"/>
                <w:rPr>
                  <w:rFonts w:asciiTheme="majorHAnsi" w:hAnsiTheme="majorHAnsi" w:cstheme="majorHAnsi"/>
                </w:rPr>
              </w:pPr>
              <w:r w:rsidRPr="008A7B70">
                <w:rPr>
                  <w:rFonts w:asciiTheme="majorHAnsi" w:hAnsiTheme="majorHAnsi" w:cstheme="majorHAnsi"/>
                  <w:b/>
                  <w:bCs/>
                  <w:noProof/>
                </w:rPr>
                <w:fldChar w:fldCharType="end"/>
              </w:r>
            </w:p>
          </w:sdtContent>
        </w:sdt>
      </w:sdtContent>
    </w:sdt>
    <w:p w:rsidR="005222F3" w:rsidRPr="005222F3" w:rsidRDefault="005222F3" w:rsidP="005222F3">
      <w:pPr>
        <w:pStyle w:val="Heading3"/>
        <w:jc w:val="both"/>
        <w:rPr>
          <w:rFonts w:eastAsia="Times New Roman"/>
          <w:b/>
          <w:color w:val="auto"/>
          <w:sz w:val="28"/>
          <w:lang w:eastAsia="en-AU"/>
        </w:rPr>
      </w:pPr>
      <w:bookmarkStart w:id="11" w:name="_Toc226463279"/>
      <w:bookmarkStart w:id="12" w:name="_Toc228144800"/>
      <w:r w:rsidRPr="005222F3">
        <w:rPr>
          <w:rFonts w:eastAsia="Times New Roman"/>
          <w:b/>
          <w:color w:val="auto"/>
          <w:sz w:val="28"/>
          <w:lang w:eastAsia="en-AU"/>
        </w:rPr>
        <w:t>Use of Artificial Intelligence (AI) and Its Limitations</w:t>
      </w:r>
      <w:bookmarkEnd w:id="11"/>
      <w:bookmarkEnd w:id="12"/>
    </w:p>
    <w:p w:rsidR="005222F3" w:rsidRPr="008A7B70" w:rsidRDefault="005222F3" w:rsidP="005222F3">
      <w:pPr>
        <w:spacing w:after="0" w:line="240" w:lineRule="auto"/>
        <w:jc w:val="both"/>
        <w:rPr>
          <w:rFonts w:asciiTheme="majorHAnsi" w:eastAsia="Times New Roman" w:hAnsiTheme="majorHAnsi" w:cstheme="majorHAnsi"/>
          <w:szCs w:val="24"/>
          <w:lang w:eastAsia="en-AU"/>
        </w:rPr>
      </w:pP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 xml:space="preserve">Limited use of generative AI (ChatGPT) was made during the preparation of this report, primarily for </w:t>
      </w:r>
      <w:r w:rsidRPr="008A7B70">
        <w:rPr>
          <w:rFonts w:asciiTheme="majorHAnsi" w:eastAsia="Times New Roman" w:hAnsiTheme="majorHAnsi" w:cstheme="majorHAnsi"/>
          <w:b/>
          <w:bCs/>
          <w:szCs w:val="24"/>
          <w:lang w:eastAsia="en-AU"/>
        </w:rPr>
        <w:t>language refinement and structural clarity</w:t>
      </w:r>
      <w:r w:rsidRPr="008A7B70">
        <w:rPr>
          <w:rFonts w:asciiTheme="majorHAnsi" w:eastAsia="Times New Roman" w:hAnsiTheme="majorHAnsi" w:cstheme="majorHAnsi"/>
          <w:szCs w:val="24"/>
          <w:lang w:eastAsia="en-AU"/>
        </w:rPr>
        <w:t>. Specifically, AI was used to assist in improving sentence flow, enhancing academic tone, and organising content in line with the assessment requirements.</w:t>
      </w: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Example prompts included:</w:t>
      </w: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p>
    <w:p w:rsidR="005222F3" w:rsidRPr="008A7B70" w:rsidRDefault="005222F3" w:rsidP="005222F3">
      <w:pPr>
        <w:numPr>
          <w:ilvl w:val="0"/>
          <w:numId w:val="4"/>
        </w:num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i/>
          <w:iCs/>
          <w:szCs w:val="24"/>
          <w:lang w:eastAsia="en-AU"/>
        </w:rPr>
        <w:t>“Refine this paragraph for clarity and academic tone.”</w:t>
      </w:r>
      <w:r w:rsidRPr="008A7B70">
        <w:rPr>
          <w:rFonts w:asciiTheme="majorHAnsi" w:eastAsia="Times New Roman" w:hAnsiTheme="majorHAnsi" w:cstheme="majorHAnsi"/>
          <w:szCs w:val="24"/>
          <w:lang w:eastAsia="en-AU"/>
        </w:rPr>
        <w:t xml:space="preserve"> </w:t>
      </w:r>
    </w:p>
    <w:p w:rsidR="005222F3" w:rsidRPr="008A7B70" w:rsidRDefault="005222F3" w:rsidP="005222F3">
      <w:pPr>
        <w:numPr>
          <w:ilvl w:val="0"/>
          <w:numId w:val="4"/>
        </w:num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i/>
          <w:iCs/>
          <w:szCs w:val="24"/>
          <w:lang w:eastAsia="en-AU"/>
        </w:rPr>
        <w:t>“Improve the structure of this section while maintaining original meaning.”</w:t>
      </w:r>
      <w:r w:rsidRPr="008A7B70">
        <w:rPr>
          <w:rFonts w:asciiTheme="majorHAnsi" w:eastAsia="Times New Roman" w:hAnsiTheme="majorHAnsi" w:cstheme="majorHAnsi"/>
          <w:szCs w:val="24"/>
          <w:lang w:eastAsia="en-AU"/>
        </w:rPr>
        <w:t xml:space="preserve"> </w:t>
      </w: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 xml:space="preserve">The </w:t>
      </w:r>
      <w:r w:rsidRPr="008A7B70">
        <w:rPr>
          <w:rFonts w:asciiTheme="majorHAnsi" w:eastAsia="Times New Roman" w:hAnsiTheme="majorHAnsi" w:cstheme="majorHAnsi"/>
          <w:b/>
          <w:bCs/>
          <w:szCs w:val="24"/>
          <w:lang w:eastAsia="en-AU"/>
        </w:rPr>
        <w:t>substantive content, analysis, and interpretation</w:t>
      </w:r>
      <w:r w:rsidRPr="008A7B70">
        <w:rPr>
          <w:rFonts w:asciiTheme="majorHAnsi" w:eastAsia="Times New Roman" w:hAnsiTheme="majorHAnsi" w:cstheme="majorHAnsi"/>
          <w:szCs w:val="24"/>
          <w:lang w:eastAsia="en-AU"/>
        </w:rPr>
        <w:t xml:space="preserve"> were developed independently by the author, based on course materials and project work. All AI-assisted outputs were carefully reviewed, edited, and verified to ensure accuracy, relevance, and alignment with the electricity demand forecasting context.</w:t>
      </w: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lastRenderedPageBreak/>
        <w:t xml:space="preserve">AI use in this report has several limitations. First, AI does not have access to the full project context or underlying dataset and may generate </w:t>
      </w:r>
      <w:r w:rsidRPr="008A7B70">
        <w:rPr>
          <w:rFonts w:asciiTheme="majorHAnsi" w:eastAsia="Times New Roman" w:hAnsiTheme="majorHAnsi" w:cstheme="majorHAnsi"/>
          <w:b/>
          <w:bCs/>
          <w:szCs w:val="24"/>
          <w:lang w:eastAsia="en-AU"/>
        </w:rPr>
        <w:t>generic or imprecise suggestions</w:t>
      </w:r>
      <w:r w:rsidRPr="008A7B70">
        <w:rPr>
          <w:rFonts w:asciiTheme="majorHAnsi" w:eastAsia="Times New Roman" w:hAnsiTheme="majorHAnsi" w:cstheme="majorHAnsi"/>
          <w:szCs w:val="24"/>
          <w:lang w:eastAsia="en-AU"/>
        </w:rPr>
        <w:t>, requiring manual correction. Second, AI can sometimes oversimplify complex ethical concepts, necessitating further refinement to ensure appropriate depth and rigor. Third, there is a risk of inaccuracies, and therefore all content was cross-checked against course materials.</w:t>
      </w:r>
    </w:p>
    <w:p w:rsidR="005222F3" w:rsidRPr="008A7B70" w:rsidRDefault="005222F3" w:rsidP="005222F3">
      <w:pPr>
        <w:spacing w:after="0" w:line="240" w:lineRule="auto"/>
        <w:jc w:val="both"/>
        <w:rPr>
          <w:rFonts w:asciiTheme="majorHAnsi" w:eastAsia="Times New Roman" w:hAnsiTheme="majorHAnsi" w:cstheme="majorHAnsi"/>
          <w:szCs w:val="24"/>
          <w:lang w:eastAsia="en-AU"/>
        </w:rPr>
      </w:pPr>
    </w:p>
    <w:p w:rsidR="00DB51CE" w:rsidRPr="008A7B70" w:rsidRDefault="005222F3" w:rsidP="005222F3">
      <w:pPr>
        <w:spacing w:after="0" w:line="240" w:lineRule="auto"/>
        <w:jc w:val="both"/>
        <w:rPr>
          <w:rFonts w:asciiTheme="majorHAnsi" w:eastAsia="Times New Roman" w:hAnsiTheme="majorHAnsi" w:cstheme="majorHAnsi"/>
          <w:szCs w:val="24"/>
          <w:lang w:eastAsia="en-AU"/>
        </w:rPr>
      </w:pPr>
      <w:r w:rsidRPr="008A7B70">
        <w:rPr>
          <w:rFonts w:asciiTheme="majorHAnsi" w:eastAsia="Times New Roman" w:hAnsiTheme="majorHAnsi" w:cstheme="majorHAnsi"/>
          <w:szCs w:val="24"/>
          <w:lang w:eastAsia="en-AU"/>
        </w:rPr>
        <w:t xml:space="preserve">Overall, AI was used </w:t>
      </w:r>
      <w:r w:rsidRPr="008A7B70">
        <w:rPr>
          <w:rFonts w:asciiTheme="majorHAnsi" w:eastAsia="Times New Roman" w:hAnsiTheme="majorHAnsi" w:cstheme="majorHAnsi"/>
          <w:b/>
          <w:bCs/>
          <w:szCs w:val="24"/>
          <w:lang w:eastAsia="en-AU"/>
        </w:rPr>
        <w:t>sparingly as an editing aid</w:t>
      </w:r>
      <w:r w:rsidRPr="008A7B70">
        <w:rPr>
          <w:rFonts w:asciiTheme="majorHAnsi" w:eastAsia="Times New Roman" w:hAnsiTheme="majorHAnsi" w:cstheme="majorHAnsi"/>
          <w:szCs w:val="24"/>
          <w:lang w:eastAsia="en-AU"/>
        </w:rPr>
        <w:t>, and all final judgments, analysis, and conclusions remain the sole responsibility of the author.</w:t>
      </w:r>
    </w:p>
    <w:sectPr w:rsidR="00DB51CE" w:rsidRPr="008A7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E794E"/>
    <w:multiLevelType w:val="hybridMultilevel"/>
    <w:tmpl w:val="0C184E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B04512D"/>
    <w:multiLevelType w:val="hybridMultilevel"/>
    <w:tmpl w:val="D7045A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EA628FC"/>
    <w:multiLevelType w:val="multilevel"/>
    <w:tmpl w:val="ED5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85CCE"/>
    <w:multiLevelType w:val="multilevel"/>
    <w:tmpl w:val="17C41492"/>
    <w:lvl w:ilvl="0">
      <w:start w:val="4"/>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0686410"/>
    <w:multiLevelType w:val="hybridMultilevel"/>
    <w:tmpl w:val="F4F2B1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8E72C0D"/>
    <w:multiLevelType w:val="multilevel"/>
    <w:tmpl w:val="3C7E0596"/>
    <w:lvl w:ilvl="0">
      <w:start w:val="4"/>
      <w:numFmt w:val="decimal"/>
      <w:lvlText w:val="%1."/>
      <w:lvlJc w:val="left"/>
      <w:pPr>
        <w:ind w:left="435" w:hanging="43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AF"/>
    <w:rsid w:val="00041E64"/>
    <w:rsid w:val="000A525E"/>
    <w:rsid w:val="00146650"/>
    <w:rsid w:val="00210508"/>
    <w:rsid w:val="00221457"/>
    <w:rsid w:val="00232852"/>
    <w:rsid w:val="003418FE"/>
    <w:rsid w:val="0041362D"/>
    <w:rsid w:val="00432F9D"/>
    <w:rsid w:val="00476616"/>
    <w:rsid w:val="00485355"/>
    <w:rsid w:val="0049211C"/>
    <w:rsid w:val="0050038C"/>
    <w:rsid w:val="0050240F"/>
    <w:rsid w:val="005222F3"/>
    <w:rsid w:val="00532998"/>
    <w:rsid w:val="00566A5C"/>
    <w:rsid w:val="005A7A3E"/>
    <w:rsid w:val="005F60E9"/>
    <w:rsid w:val="00613414"/>
    <w:rsid w:val="006172A3"/>
    <w:rsid w:val="00666F3D"/>
    <w:rsid w:val="00676837"/>
    <w:rsid w:val="007408D8"/>
    <w:rsid w:val="007905C9"/>
    <w:rsid w:val="00805514"/>
    <w:rsid w:val="00807A63"/>
    <w:rsid w:val="0082756A"/>
    <w:rsid w:val="00890DF7"/>
    <w:rsid w:val="008A7B70"/>
    <w:rsid w:val="00972BC5"/>
    <w:rsid w:val="009A5DEF"/>
    <w:rsid w:val="00A33745"/>
    <w:rsid w:val="00A56029"/>
    <w:rsid w:val="00A63EE0"/>
    <w:rsid w:val="00A710CA"/>
    <w:rsid w:val="00A92181"/>
    <w:rsid w:val="00AA14F6"/>
    <w:rsid w:val="00AF5666"/>
    <w:rsid w:val="00B5665B"/>
    <w:rsid w:val="00BD236C"/>
    <w:rsid w:val="00BE3619"/>
    <w:rsid w:val="00BE55E7"/>
    <w:rsid w:val="00C22335"/>
    <w:rsid w:val="00C23716"/>
    <w:rsid w:val="00D13EAF"/>
    <w:rsid w:val="00DB51CE"/>
    <w:rsid w:val="00DE7913"/>
    <w:rsid w:val="00E33B74"/>
    <w:rsid w:val="00E52D32"/>
    <w:rsid w:val="00ED1732"/>
    <w:rsid w:val="00F37C3C"/>
    <w:rsid w:val="00F75DAF"/>
    <w:rsid w:val="00F857ED"/>
    <w:rsid w:val="00FD4160"/>
    <w:rsid w:val="00FE7BD5"/>
    <w:rsid w:val="00FF76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FA8627-5232-473F-BB8D-43C78DC3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1457"/>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link w:val="Heading2Char"/>
    <w:uiPriority w:val="9"/>
    <w:qFormat/>
    <w:rsid w:val="005F60E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unhideWhenUsed/>
    <w:qFormat/>
    <w:rsid w:val="004136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0E9"/>
    <w:rPr>
      <w:rFonts w:ascii="Times New Roman" w:eastAsia="Times New Roman" w:hAnsi="Times New Roman" w:cs="Times New Roman"/>
      <w:b/>
      <w:bCs/>
      <w:sz w:val="36"/>
      <w:szCs w:val="36"/>
      <w:lang w:eastAsia="en-AU"/>
    </w:rPr>
  </w:style>
  <w:style w:type="paragraph" w:styleId="NormalWeb">
    <w:name w:val="Normal (Web)"/>
    <w:basedOn w:val="Normal"/>
    <w:uiPriority w:val="99"/>
    <w:unhideWhenUsed/>
    <w:rsid w:val="005F60E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5F60E9"/>
    <w:rPr>
      <w:b/>
      <w:bCs/>
    </w:rPr>
  </w:style>
  <w:style w:type="paragraph" w:styleId="z-TopofForm">
    <w:name w:val="HTML Top of Form"/>
    <w:basedOn w:val="Normal"/>
    <w:next w:val="Normal"/>
    <w:link w:val="z-TopofFormChar"/>
    <w:hidden/>
    <w:uiPriority w:val="99"/>
    <w:semiHidden/>
    <w:unhideWhenUsed/>
    <w:rsid w:val="00DB51CE"/>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DB51CE"/>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DB51CE"/>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DB51CE"/>
    <w:rPr>
      <w:rFonts w:ascii="Arial" w:eastAsia="Times New Roman" w:hAnsi="Arial" w:cs="Arial"/>
      <w:vanish/>
      <w:sz w:val="16"/>
      <w:szCs w:val="16"/>
      <w:lang w:eastAsia="en-AU"/>
    </w:rPr>
  </w:style>
  <w:style w:type="paragraph" w:styleId="ListParagraph">
    <w:name w:val="List Paragraph"/>
    <w:basedOn w:val="Normal"/>
    <w:uiPriority w:val="34"/>
    <w:qFormat/>
    <w:rsid w:val="00B5665B"/>
    <w:pPr>
      <w:ind w:left="720"/>
      <w:contextualSpacing/>
    </w:pPr>
  </w:style>
  <w:style w:type="character" w:customStyle="1" w:styleId="Heading3Char">
    <w:name w:val="Heading 3 Char"/>
    <w:basedOn w:val="DefaultParagraphFont"/>
    <w:link w:val="Heading3"/>
    <w:uiPriority w:val="9"/>
    <w:rsid w:val="0041362D"/>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221457"/>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221457"/>
  </w:style>
  <w:style w:type="table" w:styleId="TableGrid">
    <w:name w:val="Table Grid"/>
    <w:basedOn w:val="TableNormal"/>
    <w:uiPriority w:val="59"/>
    <w:rsid w:val="0061341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F5666"/>
    <w:pPr>
      <w:outlineLvl w:val="9"/>
    </w:pPr>
  </w:style>
  <w:style w:type="paragraph" w:styleId="TOC2">
    <w:name w:val="toc 2"/>
    <w:basedOn w:val="Normal"/>
    <w:next w:val="Normal"/>
    <w:autoRedefine/>
    <w:uiPriority w:val="39"/>
    <w:unhideWhenUsed/>
    <w:rsid w:val="00AF5666"/>
    <w:pPr>
      <w:spacing w:after="100"/>
      <w:ind w:left="220"/>
    </w:pPr>
  </w:style>
  <w:style w:type="paragraph" w:styleId="TOC3">
    <w:name w:val="toc 3"/>
    <w:basedOn w:val="Normal"/>
    <w:next w:val="Normal"/>
    <w:autoRedefine/>
    <w:uiPriority w:val="39"/>
    <w:unhideWhenUsed/>
    <w:rsid w:val="00AF5666"/>
    <w:pPr>
      <w:spacing w:after="100"/>
      <w:ind w:left="440"/>
    </w:pPr>
  </w:style>
  <w:style w:type="character" w:styleId="Hyperlink">
    <w:name w:val="Hyperlink"/>
    <w:basedOn w:val="DefaultParagraphFont"/>
    <w:uiPriority w:val="99"/>
    <w:unhideWhenUsed/>
    <w:rsid w:val="00AF56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45833">
      <w:bodyDiv w:val="1"/>
      <w:marLeft w:val="0"/>
      <w:marRight w:val="0"/>
      <w:marTop w:val="0"/>
      <w:marBottom w:val="0"/>
      <w:divBdr>
        <w:top w:val="none" w:sz="0" w:space="0" w:color="auto"/>
        <w:left w:val="none" w:sz="0" w:space="0" w:color="auto"/>
        <w:bottom w:val="none" w:sz="0" w:space="0" w:color="auto"/>
        <w:right w:val="none" w:sz="0" w:space="0" w:color="auto"/>
      </w:divBdr>
    </w:div>
    <w:div w:id="57364858">
      <w:bodyDiv w:val="1"/>
      <w:marLeft w:val="0"/>
      <w:marRight w:val="0"/>
      <w:marTop w:val="0"/>
      <w:marBottom w:val="0"/>
      <w:divBdr>
        <w:top w:val="none" w:sz="0" w:space="0" w:color="auto"/>
        <w:left w:val="none" w:sz="0" w:space="0" w:color="auto"/>
        <w:bottom w:val="none" w:sz="0" w:space="0" w:color="auto"/>
        <w:right w:val="none" w:sz="0" w:space="0" w:color="auto"/>
      </w:divBdr>
    </w:div>
    <w:div w:id="75635127">
      <w:bodyDiv w:val="1"/>
      <w:marLeft w:val="0"/>
      <w:marRight w:val="0"/>
      <w:marTop w:val="0"/>
      <w:marBottom w:val="0"/>
      <w:divBdr>
        <w:top w:val="none" w:sz="0" w:space="0" w:color="auto"/>
        <w:left w:val="none" w:sz="0" w:space="0" w:color="auto"/>
        <w:bottom w:val="none" w:sz="0" w:space="0" w:color="auto"/>
        <w:right w:val="none" w:sz="0" w:space="0" w:color="auto"/>
      </w:divBdr>
    </w:div>
    <w:div w:id="104542545">
      <w:bodyDiv w:val="1"/>
      <w:marLeft w:val="0"/>
      <w:marRight w:val="0"/>
      <w:marTop w:val="0"/>
      <w:marBottom w:val="0"/>
      <w:divBdr>
        <w:top w:val="none" w:sz="0" w:space="0" w:color="auto"/>
        <w:left w:val="none" w:sz="0" w:space="0" w:color="auto"/>
        <w:bottom w:val="none" w:sz="0" w:space="0" w:color="auto"/>
        <w:right w:val="none" w:sz="0" w:space="0" w:color="auto"/>
      </w:divBdr>
    </w:div>
    <w:div w:id="113602293">
      <w:bodyDiv w:val="1"/>
      <w:marLeft w:val="0"/>
      <w:marRight w:val="0"/>
      <w:marTop w:val="0"/>
      <w:marBottom w:val="0"/>
      <w:divBdr>
        <w:top w:val="none" w:sz="0" w:space="0" w:color="auto"/>
        <w:left w:val="none" w:sz="0" w:space="0" w:color="auto"/>
        <w:bottom w:val="none" w:sz="0" w:space="0" w:color="auto"/>
        <w:right w:val="none" w:sz="0" w:space="0" w:color="auto"/>
      </w:divBdr>
    </w:div>
    <w:div w:id="128522510">
      <w:bodyDiv w:val="1"/>
      <w:marLeft w:val="0"/>
      <w:marRight w:val="0"/>
      <w:marTop w:val="0"/>
      <w:marBottom w:val="0"/>
      <w:divBdr>
        <w:top w:val="none" w:sz="0" w:space="0" w:color="auto"/>
        <w:left w:val="none" w:sz="0" w:space="0" w:color="auto"/>
        <w:bottom w:val="none" w:sz="0" w:space="0" w:color="auto"/>
        <w:right w:val="none" w:sz="0" w:space="0" w:color="auto"/>
      </w:divBdr>
    </w:div>
    <w:div w:id="150221966">
      <w:bodyDiv w:val="1"/>
      <w:marLeft w:val="0"/>
      <w:marRight w:val="0"/>
      <w:marTop w:val="0"/>
      <w:marBottom w:val="0"/>
      <w:divBdr>
        <w:top w:val="none" w:sz="0" w:space="0" w:color="auto"/>
        <w:left w:val="none" w:sz="0" w:space="0" w:color="auto"/>
        <w:bottom w:val="none" w:sz="0" w:space="0" w:color="auto"/>
        <w:right w:val="none" w:sz="0" w:space="0" w:color="auto"/>
      </w:divBdr>
    </w:div>
    <w:div w:id="170799823">
      <w:bodyDiv w:val="1"/>
      <w:marLeft w:val="0"/>
      <w:marRight w:val="0"/>
      <w:marTop w:val="0"/>
      <w:marBottom w:val="0"/>
      <w:divBdr>
        <w:top w:val="none" w:sz="0" w:space="0" w:color="auto"/>
        <w:left w:val="none" w:sz="0" w:space="0" w:color="auto"/>
        <w:bottom w:val="none" w:sz="0" w:space="0" w:color="auto"/>
        <w:right w:val="none" w:sz="0" w:space="0" w:color="auto"/>
      </w:divBdr>
      <w:divsChild>
        <w:div w:id="1196045619">
          <w:marLeft w:val="0"/>
          <w:marRight w:val="0"/>
          <w:marTop w:val="0"/>
          <w:marBottom w:val="0"/>
          <w:divBdr>
            <w:top w:val="none" w:sz="0" w:space="0" w:color="auto"/>
            <w:left w:val="none" w:sz="0" w:space="0" w:color="auto"/>
            <w:bottom w:val="none" w:sz="0" w:space="0" w:color="auto"/>
            <w:right w:val="none" w:sz="0" w:space="0" w:color="auto"/>
          </w:divBdr>
          <w:divsChild>
            <w:div w:id="411203728">
              <w:marLeft w:val="0"/>
              <w:marRight w:val="0"/>
              <w:marTop w:val="0"/>
              <w:marBottom w:val="0"/>
              <w:divBdr>
                <w:top w:val="none" w:sz="0" w:space="0" w:color="auto"/>
                <w:left w:val="none" w:sz="0" w:space="0" w:color="auto"/>
                <w:bottom w:val="none" w:sz="0" w:space="0" w:color="auto"/>
                <w:right w:val="none" w:sz="0" w:space="0" w:color="auto"/>
              </w:divBdr>
              <w:divsChild>
                <w:div w:id="1621298404">
                  <w:marLeft w:val="0"/>
                  <w:marRight w:val="0"/>
                  <w:marTop w:val="0"/>
                  <w:marBottom w:val="0"/>
                  <w:divBdr>
                    <w:top w:val="none" w:sz="0" w:space="0" w:color="auto"/>
                    <w:left w:val="none" w:sz="0" w:space="0" w:color="auto"/>
                    <w:bottom w:val="none" w:sz="0" w:space="0" w:color="auto"/>
                    <w:right w:val="none" w:sz="0" w:space="0" w:color="auto"/>
                  </w:divBdr>
                  <w:divsChild>
                    <w:div w:id="1700353353">
                      <w:marLeft w:val="0"/>
                      <w:marRight w:val="0"/>
                      <w:marTop w:val="0"/>
                      <w:marBottom w:val="0"/>
                      <w:divBdr>
                        <w:top w:val="none" w:sz="0" w:space="0" w:color="auto"/>
                        <w:left w:val="none" w:sz="0" w:space="0" w:color="auto"/>
                        <w:bottom w:val="none" w:sz="0" w:space="0" w:color="auto"/>
                        <w:right w:val="none" w:sz="0" w:space="0" w:color="auto"/>
                      </w:divBdr>
                      <w:divsChild>
                        <w:div w:id="192811585">
                          <w:marLeft w:val="0"/>
                          <w:marRight w:val="0"/>
                          <w:marTop w:val="0"/>
                          <w:marBottom w:val="0"/>
                          <w:divBdr>
                            <w:top w:val="none" w:sz="0" w:space="0" w:color="auto"/>
                            <w:left w:val="none" w:sz="0" w:space="0" w:color="auto"/>
                            <w:bottom w:val="none" w:sz="0" w:space="0" w:color="auto"/>
                            <w:right w:val="none" w:sz="0" w:space="0" w:color="auto"/>
                          </w:divBdr>
                          <w:divsChild>
                            <w:div w:id="15585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531056">
      <w:bodyDiv w:val="1"/>
      <w:marLeft w:val="0"/>
      <w:marRight w:val="0"/>
      <w:marTop w:val="0"/>
      <w:marBottom w:val="0"/>
      <w:divBdr>
        <w:top w:val="none" w:sz="0" w:space="0" w:color="auto"/>
        <w:left w:val="none" w:sz="0" w:space="0" w:color="auto"/>
        <w:bottom w:val="none" w:sz="0" w:space="0" w:color="auto"/>
        <w:right w:val="none" w:sz="0" w:space="0" w:color="auto"/>
      </w:divBdr>
    </w:div>
    <w:div w:id="352338557">
      <w:bodyDiv w:val="1"/>
      <w:marLeft w:val="0"/>
      <w:marRight w:val="0"/>
      <w:marTop w:val="0"/>
      <w:marBottom w:val="0"/>
      <w:divBdr>
        <w:top w:val="none" w:sz="0" w:space="0" w:color="auto"/>
        <w:left w:val="none" w:sz="0" w:space="0" w:color="auto"/>
        <w:bottom w:val="none" w:sz="0" w:space="0" w:color="auto"/>
        <w:right w:val="none" w:sz="0" w:space="0" w:color="auto"/>
      </w:divBdr>
    </w:div>
    <w:div w:id="413283700">
      <w:bodyDiv w:val="1"/>
      <w:marLeft w:val="0"/>
      <w:marRight w:val="0"/>
      <w:marTop w:val="0"/>
      <w:marBottom w:val="0"/>
      <w:divBdr>
        <w:top w:val="none" w:sz="0" w:space="0" w:color="auto"/>
        <w:left w:val="none" w:sz="0" w:space="0" w:color="auto"/>
        <w:bottom w:val="none" w:sz="0" w:space="0" w:color="auto"/>
        <w:right w:val="none" w:sz="0" w:space="0" w:color="auto"/>
      </w:divBdr>
    </w:div>
    <w:div w:id="531963978">
      <w:bodyDiv w:val="1"/>
      <w:marLeft w:val="0"/>
      <w:marRight w:val="0"/>
      <w:marTop w:val="0"/>
      <w:marBottom w:val="0"/>
      <w:divBdr>
        <w:top w:val="none" w:sz="0" w:space="0" w:color="auto"/>
        <w:left w:val="none" w:sz="0" w:space="0" w:color="auto"/>
        <w:bottom w:val="none" w:sz="0" w:space="0" w:color="auto"/>
        <w:right w:val="none" w:sz="0" w:space="0" w:color="auto"/>
      </w:divBdr>
    </w:div>
    <w:div w:id="585847753">
      <w:bodyDiv w:val="1"/>
      <w:marLeft w:val="0"/>
      <w:marRight w:val="0"/>
      <w:marTop w:val="0"/>
      <w:marBottom w:val="0"/>
      <w:divBdr>
        <w:top w:val="none" w:sz="0" w:space="0" w:color="auto"/>
        <w:left w:val="none" w:sz="0" w:space="0" w:color="auto"/>
        <w:bottom w:val="none" w:sz="0" w:space="0" w:color="auto"/>
        <w:right w:val="none" w:sz="0" w:space="0" w:color="auto"/>
      </w:divBdr>
    </w:div>
    <w:div w:id="605312768">
      <w:bodyDiv w:val="1"/>
      <w:marLeft w:val="0"/>
      <w:marRight w:val="0"/>
      <w:marTop w:val="0"/>
      <w:marBottom w:val="0"/>
      <w:divBdr>
        <w:top w:val="none" w:sz="0" w:space="0" w:color="auto"/>
        <w:left w:val="none" w:sz="0" w:space="0" w:color="auto"/>
        <w:bottom w:val="none" w:sz="0" w:space="0" w:color="auto"/>
        <w:right w:val="none" w:sz="0" w:space="0" w:color="auto"/>
      </w:divBdr>
    </w:div>
    <w:div w:id="631398122">
      <w:bodyDiv w:val="1"/>
      <w:marLeft w:val="0"/>
      <w:marRight w:val="0"/>
      <w:marTop w:val="0"/>
      <w:marBottom w:val="0"/>
      <w:divBdr>
        <w:top w:val="none" w:sz="0" w:space="0" w:color="auto"/>
        <w:left w:val="none" w:sz="0" w:space="0" w:color="auto"/>
        <w:bottom w:val="none" w:sz="0" w:space="0" w:color="auto"/>
        <w:right w:val="none" w:sz="0" w:space="0" w:color="auto"/>
      </w:divBdr>
    </w:div>
    <w:div w:id="647168418">
      <w:bodyDiv w:val="1"/>
      <w:marLeft w:val="0"/>
      <w:marRight w:val="0"/>
      <w:marTop w:val="0"/>
      <w:marBottom w:val="0"/>
      <w:divBdr>
        <w:top w:val="none" w:sz="0" w:space="0" w:color="auto"/>
        <w:left w:val="none" w:sz="0" w:space="0" w:color="auto"/>
        <w:bottom w:val="none" w:sz="0" w:space="0" w:color="auto"/>
        <w:right w:val="none" w:sz="0" w:space="0" w:color="auto"/>
      </w:divBdr>
    </w:div>
    <w:div w:id="648675951">
      <w:bodyDiv w:val="1"/>
      <w:marLeft w:val="0"/>
      <w:marRight w:val="0"/>
      <w:marTop w:val="0"/>
      <w:marBottom w:val="0"/>
      <w:divBdr>
        <w:top w:val="none" w:sz="0" w:space="0" w:color="auto"/>
        <w:left w:val="none" w:sz="0" w:space="0" w:color="auto"/>
        <w:bottom w:val="none" w:sz="0" w:space="0" w:color="auto"/>
        <w:right w:val="none" w:sz="0" w:space="0" w:color="auto"/>
      </w:divBdr>
    </w:div>
    <w:div w:id="680161302">
      <w:bodyDiv w:val="1"/>
      <w:marLeft w:val="0"/>
      <w:marRight w:val="0"/>
      <w:marTop w:val="0"/>
      <w:marBottom w:val="0"/>
      <w:divBdr>
        <w:top w:val="none" w:sz="0" w:space="0" w:color="auto"/>
        <w:left w:val="none" w:sz="0" w:space="0" w:color="auto"/>
        <w:bottom w:val="none" w:sz="0" w:space="0" w:color="auto"/>
        <w:right w:val="none" w:sz="0" w:space="0" w:color="auto"/>
      </w:divBdr>
    </w:div>
    <w:div w:id="762847577">
      <w:bodyDiv w:val="1"/>
      <w:marLeft w:val="0"/>
      <w:marRight w:val="0"/>
      <w:marTop w:val="0"/>
      <w:marBottom w:val="0"/>
      <w:divBdr>
        <w:top w:val="none" w:sz="0" w:space="0" w:color="auto"/>
        <w:left w:val="none" w:sz="0" w:space="0" w:color="auto"/>
        <w:bottom w:val="none" w:sz="0" w:space="0" w:color="auto"/>
        <w:right w:val="none" w:sz="0" w:space="0" w:color="auto"/>
      </w:divBdr>
    </w:div>
    <w:div w:id="784468364">
      <w:bodyDiv w:val="1"/>
      <w:marLeft w:val="0"/>
      <w:marRight w:val="0"/>
      <w:marTop w:val="0"/>
      <w:marBottom w:val="0"/>
      <w:divBdr>
        <w:top w:val="none" w:sz="0" w:space="0" w:color="auto"/>
        <w:left w:val="none" w:sz="0" w:space="0" w:color="auto"/>
        <w:bottom w:val="none" w:sz="0" w:space="0" w:color="auto"/>
        <w:right w:val="none" w:sz="0" w:space="0" w:color="auto"/>
      </w:divBdr>
    </w:div>
    <w:div w:id="821848298">
      <w:bodyDiv w:val="1"/>
      <w:marLeft w:val="0"/>
      <w:marRight w:val="0"/>
      <w:marTop w:val="0"/>
      <w:marBottom w:val="0"/>
      <w:divBdr>
        <w:top w:val="none" w:sz="0" w:space="0" w:color="auto"/>
        <w:left w:val="none" w:sz="0" w:space="0" w:color="auto"/>
        <w:bottom w:val="none" w:sz="0" w:space="0" w:color="auto"/>
        <w:right w:val="none" w:sz="0" w:space="0" w:color="auto"/>
      </w:divBdr>
    </w:div>
    <w:div w:id="858008889">
      <w:bodyDiv w:val="1"/>
      <w:marLeft w:val="0"/>
      <w:marRight w:val="0"/>
      <w:marTop w:val="0"/>
      <w:marBottom w:val="0"/>
      <w:divBdr>
        <w:top w:val="none" w:sz="0" w:space="0" w:color="auto"/>
        <w:left w:val="none" w:sz="0" w:space="0" w:color="auto"/>
        <w:bottom w:val="none" w:sz="0" w:space="0" w:color="auto"/>
        <w:right w:val="none" w:sz="0" w:space="0" w:color="auto"/>
      </w:divBdr>
      <w:divsChild>
        <w:div w:id="1195383558">
          <w:marLeft w:val="0"/>
          <w:marRight w:val="0"/>
          <w:marTop w:val="0"/>
          <w:marBottom w:val="0"/>
          <w:divBdr>
            <w:top w:val="none" w:sz="0" w:space="0" w:color="auto"/>
            <w:left w:val="none" w:sz="0" w:space="0" w:color="auto"/>
            <w:bottom w:val="none" w:sz="0" w:space="0" w:color="auto"/>
            <w:right w:val="none" w:sz="0" w:space="0" w:color="auto"/>
          </w:divBdr>
          <w:divsChild>
            <w:div w:id="1724448930">
              <w:marLeft w:val="0"/>
              <w:marRight w:val="0"/>
              <w:marTop w:val="0"/>
              <w:marBottom w:val="0"/>
              <w:divBdr>
                <w:top w:val="none" w:sz="0" w:space="0" w:color="auto"/>
                <w:left w:val="none" w:sz="0" w:space="0" w:color="auto"/>
                <w:bottom w:val="none" w:sz="0" w:space="0" w:color="auto"/>
                <w:right w:val="none" w:sz="0" w:space="0" w:color="auto"/>
              </w:divBdr>
              <w:divsChild>
                <w:div w:id="813764401">
                  <w:marLeft w:val="0"/>
                  <w:marRight w:val="0"/>
                  <w:marTop w:val="0"/>
                  <w:marBottom w:val="0"/>
                  <w:divBdr>
                    <w:top w:val="none" w:sz="0" w:space="0" w:color="auto"/>
                    <w:left w:val="none" w:sz="0" w:space="0" w:color="auto"/>
                    <w:bottom w:val="none" w:sz="0" w:space="0" w:color="auto"/>
                    <w:right w:val="none" w:sz="0" w:space="0" w:color="auto"/>
                  </w:divBdr>
                  <w:divsChild>
                    <w:div w:id="1939681745">
                      <w:marLeft w:val="0"/>
                      <w:marRight w:val="0"/>
                      <w:marTop w:val="0"/>
                      <w:marBottom w:val="0"/>
                      <w:divBdr>
                        <w:top w:val="none" w:sz="0" w:space="0" w:color="auto"/>
                        <w:left w:val="none" w:sz="0" w:space="0" w:color="auto"/>
                        <w:bottom w:val="none" w:sz="0" w:space="0" w:color="auto"/>
                        <w:right w:val="none" w:sz="0" w:space="0" w:color="auto"/>
                      </w:divBdr>
                      <w:divsChild>
                        <w:div w:id="227615032">
                          <w:marLeft w:val="0"/>
                          <w:marRight w:val="0"/>
                          <w:marTop w:val="0"/>
                          <w:marBottom w:val="0"/>
                          <w:divBdr>
                            <w:top w:val="none" w:sz="0" w:space="0" w:color="auto"/>
                            <w:left w:val="none" w:sz="0" w:space="0" w:color="auto"/>
                            <w:bottom w:val="none" w:sz="0" w:space="0" w:color="auto"/>
                            <w:right w:val="none" w:sz="0" w:space="0" w:color="auto"/>
                          </w:divBdr>
                          <w:divsChild>
                            <w:div w:id="153538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06208">
      <w:bodyDiv w:val="1"/>
      <w:marLeft w:val="0"/>
      <w:marRight w:val="0"/>
      <w:marTop w:val="0"/>
      <w:marBottom w:val="0"/>
      <w:divBdr>
        <w:top w:val="none" w:sz="0" w:space="0" w:color="auto"/>
        <w:left w:val="none" w:sz="0" w:space="0" w:color="auto"/>
        <w:bottom w:val="none" w:sz="0" w:space="0" w:color="auto"/>
        <w:right w:val="none" w:sz="0" w:space="0" w:color="auto"/>
      </w:divBdr>
    </w:div>
    <w:div w:id="901864623">
      <w:bodyDiv w:val="1"/>
      <w:marLeft w:val="0"/>
      <w:marRight w:val="0"/>
      <w:marTop w:val="0"/>
      <w:marBottom w:val="0"/>
      <w:divBdr>
        <w:top w:val="none" w:sz="0" w:space="0" w:color="auto"/>
        <w:left w:val="none" w:sz="0" w:space="0" w:color="auto"/>
        <w:bottom w:val="none" w:sz="0" w:space="0" w:color="auto"/>
        <w:right w:val="none" w:sz="0" w:space="0" w:color="auto"/>
      </w:divBdr>
    </w:div>
    <w:div w:id="927618417">
      <w:bodyDiv w:val="1"/>
      <w:marLeft w:val="0"/>
      <w:marRight w:val="0"/>
      <w:marTop w:val="0"/>
      <w:marBottom w:val="0"/>
      <w:divBdr>
        <w:top w:val="none" w:sz="0" w:space="0" w:color="auto"/>
        <w:left w:val="none" w:sz="0" w:space="0" w:color="auto"/>
        <w:bottom w:val="none" w:sz="0" w:space="0" w:color="auto"/>
        <w:right w:val="none" w:sz="0" w:space="0" w:color="auto"/>
      </w:divBdr>
    </w:div>
    <w:div w:id="964971050">
      <w:bodyDiv w:val="1"/>
      <w:marLeft w:val="0"/>
      <w:marRight w:val="0"/>
      <w:marTop w:val="0"/>
      <w:marBottom w:val="0"/>
      <w:divBdr>
        <w:top w:val="none" w:sz="0" w:space="0" w:color="auto"/>
        <w:left w:val="none" w:sz="0" w:space="0" w:color="auto"/>
        <w:bottom w:val="none" w:sz="0" w:space="0" w:color="auto"/>
        <w:right w:val="none" w:sz="0" w:space="0" w:color="auto"/>
      </w:divBdr>
    </w:div>
    <w:div w:id="1026294425">
      <w:bodyDiv w:val="1"/>
      <w:marLeft w:val="0"/>
      <w:marRight w:val="0"/>
      <w:marTop w:val="0"/>
      <w:marBottom w:val="0"/>
      <w:divBdr>
        <w:top w:val="none" w:sz="0" w:space="0" w:color="auto"/>
        <w:left w:val="none" w:sz="0" w:space="0" w:color="auto"/>
        <w:bottom w:val="none" w:sz="0" w:space="0" w:color="auto"/>
        <w:right w:val="none" w:sz="0" w:space="0" w:color="auto"/>
      </w:divBdr>
    </w:div>
    <w:div w:id="1028723787">
      <w:bodyDiv w:val="1"/>
      <w:marLeft w:val="0"/>
      <w:marRight w:val="0"/>
      <w:marTop w:val="0"/>
      <w:marBottom w:val="0"/>
      <w:divBdr>
        <w:top w:val="none" w:sz="0" w:space="0" w:color="auto"/>
        <w:left w:val="none" w:sz="0" w:space="0" w:color="auto"/>
        <w:bottom w:val="none" w:sz="0" w:space="0" w:color="auto"/>
        <w:right w:val="none" w:sz="0" w:space="0" w:color="auto"/>
      </w:divBdr>
    </w:div>
    <w:div w:id="1041436597">
      <w:bodyDiv w:val="1"/>
      <w:marLeft w:val="0"/>
      <w:marRight w:val="0"/>
      <w:marTop w:val="0"/>
      <w:marBottom w:val="0"/>
      <w:divBdr>
        <w:top w:val="none" w:sz="0" w:space="0" w:color="auto"/>
        <w:left w:val="none" w:sz="0" w:space="0" w:color="auto"/>
        <w:bottom w:val="none" w:sz="0" w:space="0" w:color="auto"/>
        <w:right w:val="none" w:sz="0" w:space="0" w:color="auto"/>
      </w:divBdr>
    </w:div>
    <w:div w:id="1051541868">
      <w:bodyDiv w:val="1"/>
      <w:marLeft w:val="0"/>
      <w:marRight w:val="0"/>
      <w:marTop w:val="0"/>
      <w:marBottom w:val="0"/>
      <w:divBdr>
        <w:top w:val="none" w:sz="0" w:space="0" w:color="auto"/>
        <w:left w:val="none" w:sz="0" w:space="0" w:color="auto"/>
        <w:bottom w:val="none" w:sz="0" w:space="0" w:color="auto"/>
        <w:right w:val="none" w:sz="0" w:space="0" w:color="auto"/>
      </w:divBdr>
    </w:div>
    <w:div w:id="1052582893">
      <w:bodyDiv w:val="1"/>
      <w:marLeft w:val="0"/>
      <w:marRight w:val="0"/>
      <w:marTop w:val="0"/>
      <w:marBottom w:val="0"/>
      <w:divBdr>
        <w:top w:val="none" w:sz="0" w:space="0" w:color="auto"/>
        <w:left w:val="none" w:sz="0" w:space="0" w:color="auto"/>
        <w:bottom w:val="none" w:sz="0" w:space="0" w:color="auto"/>
        <w:right w:val="none" w:sz="0" w:space="0" w:color="auto"/>
      </w:divBdr>
    </w:div>
    <w:div w:id="1065376744">
      <w:bodyDiv w:val="1"/>
      <w:marLeft w:val="0"/>
      <w:marRight w:val="0"/>
      <w:marTop w:val="0"/>
      <w:marBottom w:val="0"/>
      <w:divBdr>
        <w:top w:val="none" w:sz="0" w:space="0" w:color="auto"/>
        <w:left w:val="none" w:sz="0" w:space="0" w:color="auto"/>
        <w:bottom w:val="none" w:sz="0" w:space="0" w:color="auto"/>
        <w:right w:val="none" w:sz="0" w:space="0" w:color="auto"/>
      </w:divBdr>
    </w:div>
    <w:div w:id="1126122250">
      <w:bodyDiv w:val="1"/>
      <w:marLeft w:val="0"/>
      <w:marRight w:val="0"/>
      <w:marTop w:val="0"/>
      <w:marBottom w:val="0"/>
      <w:divBdr>
        <w:top w:val="none" w:sz="0" w:space="0" w:color="auto"/>
        <w:left w:val="none" w:sz="0" w:space="0" w:color="auto"/>
        <w:bottom w:val="none" w:sz="0" w:space="0" w:color="auto"/>
        <w:right w:val="none" w:sz="0" w:space="0" w:color="auto"/>
      </w:divBdr>
    </w:div>
    <w:div w:id="1154031104">
      <w:bodyDiv w:val="1"/>
      <w:marLeft w:val="0"/>
      <w:marRight w:val="0"/>
      <w:marTop w:val="0"/>
      <w:marBottom w:val="0"/>
      <w:divBdr>
        <w:top w:val="none" w:sz="0" w:space="0" w:color="auto"/>
        <w:left w:val="none" w:sz="0" w:space="0" w:color="auto"/>
        <w:bottom w:val="none" w:sz="0" w:space="0" w:color="auto"/>
        <w:right w:val="none" w:sz="0" w:space="0" w:color="auto"/>
      </w:divBdr>
    </w:div>
    <w:div w:id="1218784669">
      <w:bodyDiv w:val="1"/>
      <w:marLeft w:val="0"/>
      <w:marRight w:val="0"/>
      <w:marTop w:val="0"/>
      <w:marBottom w:val="0"/>
      <w:divBdr>
        <w:top w:val="none" w:sz="0" w:space="0" w:color="auto"/>
        <w:left w:val="none" w:sz="0" w:space="0" w:color="auto"/>
        <w:bottom w:val="none" w:sz="0" w:space="0" w:color="auto"/>
        <w:right w:val="none" w:sz="0" w:space="0" w:color="auto"/>
      </w:divBdr>
    </w:div>
    <w:div w:id="1244412169">
      <w:bodyDiv w:val="1"/>
      <w:marLeft w:val="0"/>
      <w:marRight w:val="0"/>
      <w:marTop w:val="0"/>
      <w:marBottom w:val="0"/>
      <w:divBdr>
        <w:top w:val="none" w:sz="0" w:space="0" w:color="auto"/>
        <w:left w:val="none" w:sz="0" w:space="0" w:color="auto"/>
        <w:bottom w:val="none" w:sz="0" w:space="0" w:color="auto"/>
        <w:right w:val="none" w:sz="0" w:space="0" w:color="auto"/>
      </w:divBdr>
      <w:divsChild>
        <w:div w:id="1086616306">
          <w:marLeft w:val="0"/>
          <w:marRight w:val="0"/>
          <w:marTop w:val="0"/>
          <w:marBottom w:val="0"/>
          <w:divBdr>
            <w:top w:val="none" w:sz="0" w:space="0" w:color="auto"/>
            <w:left w:val="none" w:sz="0" w:space="0" w:color="auto"/>
            <w:bottom w:val="none" w:sz="0" w:space="0" w:color="auto"/>
            <w:right w:val="none" w:sz="0" w:space="0" w:color="auto"/>
          </w:divBdr>
          <w:divsChild>
            <w:div w:id="1169255810">
              <w:marLeft w:val="0"/>
              <w:marRight w:val="0"/>
              <w:marTop w:val="0"/>
              <w:marBottom w:val="0"/>
              <w:divBdr>
                <w:top w:val="none" w:sz="0" w:space="0" w:color="auto"/>
                <w:left w:val="none" w:sz="0" w:space="0" w:color="auto"/>
                <w:bottom w:val="none" w:sz="0" w:space="0" w:color="auto"/>
                <w:right w:val="none" w:sz="0" w:space="0" w:color="auto"/>
              </w:divBdr>
              <w:divsChild>
                <w:div w:id="2093696937">
                  <w:marLeft w:val="0"/>
                  <w:marRight w:val="0"/>
                  <w:marTop w:val="0"/>
                  <w:marBottom w:val="0"/>
                  <w:divBdr>
                    <w:top w:val="none" w:sz="0" w:space="0" w:color="auto"/>
                    <w:left w:val="none" w:sz="0" w:space="0" w:color="auto"/>
                    <w:bottom w:val="none" w:sz="0" w:space="0" w:color="auto"/>
                    <w:right w:val="none" w:sz="0" w:space="0" w:color="auto"/>
                  </w:divBdr>
                  <w:divsChild>
                    <w:div w:id="105465077">
                      <w:marLeft w:val="0"/>
                      <w:marRight w:val="0"/>
                      <w:marTop w:val="0"/>
                      <w:marBottom w:val="0"/>
                      <w:divBdr>
                        <w:top w:val="none" w:sz="0" w:space="0" w:color="auto"/>
                        <w:left w:val="none" w:sz="0" w:space="0" w:color="auto"/>
                        <w:bottom w:val="none" w:sz="0" w:space="0" w:color="auto"/>
                        <w:right w:val="none" w:sz="0" w:space="0" w:color="auto"/>
                      </w:divBdr>
                      <w:divsChild>
                        <w:div w:id="952248726">
                          <w:marLeft w:val="0"/>
                          <w:marRight w:val="0"/>
                          <w:marTop w:val="0"/>
                          <w:marBottom w:val="0"/>
                          <w:divBdr>
                            <w:top w:val="none" w:sz="0" w:space="0" w:color="auto"/>
                            <w:left w:val="none" w:sz="0" w:space="0" w:color="auto"/>
                            <w:bottom w:val="none" w:sz="0" w:space="0" w:color="auto"/>
                            <w:right w:val="none" w:sz="0" w:space="0" w:color="auto"/>
                          </w:divBdr>
                          <w:divsChild>
                            <w:div w:id="11837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560268">
      <w:bodyDiv w:val="1"/>
      <w:marLeft w:val="0"/>
      <w:marRight w:val="0"/>
      <w:marTop w:val="0"/>
      <w:marBottom w:val="0"/>
      <w:divBdr>
        <w:top w:val="none" w:sz="0" w:space="0" w:color="auto"/>
        <w:left w:val="none" w:sz="0" w:space="0" w:color="auto"/>
        <w:bottom w:val="none" w:sz="0" w:space="0" w:color="auto"/>
        <w:right w:val="none" w:sz="0" w:space="0" w:color="auto"/>
      </w:divBdr>
    </w:div>
    <w:div w:id="1279682459">
      <w:bodyDiv w:val="1"/>
      <w:marLeft w:val="0"/>
      <w:marRight w:val="0"/>
      <w:marTop w:val="0"/>
      <w:marBottom w:val="0"/>
      <w:divBdr>
        <w:top w:val="none" w:sz="0" w:space="0" w:color="auto"/>
        <w:left w:val="none" w:sz="0" w:space="0" w:color="auto"/>
        <w:bottom w:val="none" w:sz="0" w:space="0" w:color="auto"/>
        <w:right w:val="none" w:sz="0" w:space="0" w:color="auto"/>
      </w:divBdr>
    </w:div>
    <w:div w:id="1283852092">
      <w:bodyDiv w:val="1"/>
      <w:marLeft w:val="0"/>
      <w:marRight w:val="0"/>
      <w:marTop w:val="0"/>
      <w:marBottom w:val="0"/>
      <w:divBdr>
        <w:top w:val="none" w:sz="0" w:space="0" w:color="auto"/>
        <w:left w:val="none" w:sz="0" w:space="0" w:color="auto"/>
        <w:bottom w:val="none" w:sz="0" w:space="0" w:color="auto"/>
        <w:right w:val="none" w:sz="0" w:space="0" w:color="auto"/>
      </w:divBdr>
    </w:div>
    <w:div w:id="1284116990">
      <w:bodyDiv w:val="1"/>
      <w:marLeft w:val="0"/>
      <w:marRight w:val="0"/>
      <w:marTop w:val="0"/>
      <w:marBottom w:val="0"/>
      <w:divBdr>
        <w:top w:val="none" w:sz="0" w:space="0" w:color="auto"/>
        <w:left w:val="none" w:sz="0" w:space="0" w:color="auto"/>
        <w:bottom w:val="none" w:sz="0" w:space="0" w:color="auto"/>
        <w:right w:val="none" w:sz="0" w:space="0" w:color="auto"/>
      </w:divBdr>
      <w:divsChild>
        <w:div w:id="1574464161">
          <w:marLeft w:val="0"/>
          <w:marRight w:val="0"/>
          <w:marTop w:val="0"/>
          <w:marBottom w:val="0"/>
          <w:divBdr>
            <w:top w:val="none" w:sz="0" w:space="0" w:color="auto"/>
            <w:left w:val="none" w:sz="0" w:space="0" w:color="auto"/>
            <w:bottom w:val="none" w:sz="0" w:space="0" w:color="auto"/>
            <w:right w:val="none" w:sz="0" w:space="0" w:color="auto"/>
          </w:divBdr>
          <w:divsChild>
            <w:div w:id="1691026708">
              <w:marLeft w:val="0"/>
              <w:marRight w:val="0"/>
              <w:marTop w:val="0"/>
              <w:marBottom w:val="0"/>
              <w:divBdr>
                <w:top w:val="none" w:sz="0" w:space="0" w:color="auto"/>
                <w:left w:val="none" w:sz="0" w:space="0" w:color="auto"/>
                <w:bottom w:val="none" w:sz="0" w:space="0" w:color="auto"/>
                <w:right w:val="none" w:sz="0" w:space="0" w:color="auto"/>
              </w:divBdr>
              <w:divsChild>
                <w:div w:id="174807676">
                  <w:marLeft w:val="0"/>
                  <w:marRight w:val="0"/>
                  <w:marTop w:val="0"/>
                  <w:marBottom w:val="0"/>
                  <w:divBdr>
                    <w:top w:val="none" w:sz="0" w:space="0" w:color="auto"/>
                    <w:left w:val="none" w:sz="0" w:space="0" w:color="auto"/>
                    <w:bottom w:val="none" w:sz="0" w:space="0" w:color="auto"/>
                    <w:right w:val="none" w:sz="0" w:space="0" w:color="auto"/>
                  </w:divBdr>
                  <w:divsChild>
                    <w:div w:id="909383058">
                      <w:marLeft w:val="0"/>
                      <w:marRight w:val="0"/>
                      <w:marTop w:val="0"/>
                      <w:marBottom w:val="0"/>
                      <w:divBdr>
                        <w:top w:val="none" w:sz="0" w:space="0" w:color="auto"/>
                        <w:left w:val="none" w:sz="0" w:space="0" w:color="auto"/>
                        <w:bottom w:val="none" w:sz="0" w:space="0" w:color="auto"/>
                        <w:right w:val="none" w:sz="0" w:space="0" w:color="auto"/>
                      </w:divBdr>
                      <w:divsChild>
                        <w:div w:id="818308988">
                          <w:marLeft w:val="0"/>
                          <w:marRight w:val="0"/>
                          <w:marTop w:val="0"/>
                          <w:marBottom w:val="0"/>
                          <w:divBdr>
                            <w:top w:val="none" w:sz="0" w:space="0" w:color="auto"/>
                            <w:left w:val="none" w:sz="0" w:space="0" w:color="auto"/>
                            <w:bottom w:val="none" w:sz="0" w:space="0" w:color="auto"/>
                            <w:right w:val="none" w:sz="0" w:space="0" w:color="auto"/>
                          </w:divBdr>
                          <w:divsChild>
                            <w:div w:id="7732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761433">
      <w:bodyDiv w:val="1"/>
      <w:marLeft w:val="0"/>
      <w:marRight w:val="0"/>
      <w:marTop w:val="0"/>
      <w:marBottom w:val="0"/>
      <w:divBdr>
        <w:top w:val="none" w:sz="0" w:space="0" w:color="auto"/>
        <w:left w:val="none" w:sz="0" w:space="0" w:color="auto"/>
        <w:bottom w:val="none" w:sz="0" w:space="0" w:color="auto"/>
        <w:right w:val="none" w:sz="0" w:space="0" w:color="auto"/>
      </w:divBdr>
      <w:divsChild>
        <w:div w:id="682317445">
          <w:marLeft w:val="0"/>
          <w:marRight w:val="0"/>
          <w:marTop w:val="0"/>
          <w:marBottom w:val="0"/>
          <w:divBdr>
            <w:top w:val="none" w:sz="0" w:space="0" w:color="auto"/>
            <w:left w:val="none" w:sz="0" w:space="0" w:color="auto"/>
            <w:bottom w:val="none" w:sz="0" w:space="0" w:color="auto"/>
            <w:right w:val="none" w:sz="0" w:space="0" w:color="auto"/>
          </w:divBdr>
          <w:divsChild>
            <w:div w:id="892695421">
              <w:marLeft w:val="0"/>
              <w:marRight w:val="0"/>
              <w:marTop w:val="0"/>
              <w:marBottom w:val="0"/>
              <w:divBdr>
                <w:top w:val="none" w:sz="0" w:space="0" w:color="auto"/>
                <w:left w:val="none" w:sz="0" w:space="0" w:color="auto"/>
                <w:bottom w:val="none" w:sz="0" w:space="0" w:color="auto"/>
                <w:right w:val="none" w:sz="0" w:space="0" w:color="auto"/>
              </w:divBdr>
              <w:divsChild>
                <w:div w:id="228730801">
                  <w:marLeft w:val="0"/>
                  <w:marRight w:val="0"/>
                  <w:marTop w:val="0"/>
                  <w:marBottom w:val="0"/>
                  <w:divBdr>
                    <w:top w:val="none" w:sz="0" w:space="0" w:color="auto"/>
                    <w:left w:val="none" w:sz="0" w:space="0" w:color="auto"/>
                    <w:bottom w:val="none" w:sz="0" w:space="0" w:color="auto"/>
                    <w:right w:val="none" w:sz="0" w:space="0" w:color="auto"/>
                  </w:divBdr>
                  <w:divsChild>
                    <w:div w:id="438064031">
                      <w:marLeft w:val="0"/>
                      <w:marRight w:val="0"/>
                      <w:marTop w:val="0"/>
                      <w:marBottom w:val="0"/>
                      <w:divBdr>
                        <w:top w:val="none" w:sz="0" w:space="0" w:color="auto"/>
                        <w:left w:val="none" w:sz="0" w:space="0" w:color="auto"/>
                        <w:bottom w:val="none" w:sz="0" w:space="0" w:color="auto"/>
                        <w:right w:val="none" w:sz="0" w:space="0" w:color="auto"/>
                      </w:divBdr>
                      <w:divsChild>
                        <w:div w:id="693189817">
                          <w:marLeft w:val="0"/>
                          <w:marRight w:val="0"/>
                          <w:marTop w:val="0"/>
                          <w:marBottom w:val="0"/>
                          <w:divBdr>
                            <w:top w:val="none" w:sz="0" w:space="0" w:color="auto"/>
                            <w:left w:val="none" w:sz="0" w:space="0" w:color="auto"/>
                            <w:bottom w:val="none" w:sz="0" w:space="0" w:color="auto"/>
                            <w:right w:val="none" w:sz="0" w:space="0" w:color="auto"/>
                          </w:divBdr>
                          <w:divsChild>
                            <w:div w:id="1406535041">
                              <w:marLeft w:val="0"/>
                              <w:marRight w:val="0"/>
                              <w:marTop w:val="0"/>
                              <w:marBottom w:val="0"/>
                              <w:divBdr>
                                <w:top w:val="none" w:sz="0" w:space="0" w:color="auto"/>
                                <w:left w:val="none" w:sz="0" w:space="0" w:color="auto"/>
                                <w:bottom w:val="none" w:sz="0" w:space="0" w:color="auto"/>
                                <w:right w:val="none" w:sz="0" w:space="0" w:color="auto"/>
                              </w:divBdr>
                              <w:divsChild>
                                <w:div w:id="293760410">
                                  <w:marLeft w:val="0"/>
                                  <w:marRight w:val="0"/>
                                  <w:marTop w:val="0"/>
                                  <w:marBottom w:val="0"/>
                                  <w:divBdr>
                                    <w:top w:val="none" w:sz="0" w:space="0" w:color="auto"/>
                                    <w:left w:val="none" w:sz="0" w:space="0" w:color="auto"/>
                                    <w:bottom w:val="none" w:sz="0" w:space="0" w:color="auto"/>
                                    <w:right w:val="none" w:sz="0" w:space="0" w:color="auto"/>
                                  </w:divBdr>
                                  <w:divsChild>
                                    <w:div w:id="4801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517129">
          <w:marLeft w:val="0"/>
          <w:marRight w:val="0"/>
          <w:marTop w:val="0"/>
          <w:marBottom w:val="0"/>
          <w:divBdr>
            <w:top w:val="none" w:sz="0" w:space="0" w:color="auto"/>
            <w:left w:val="none" w:sz="0" w:space="0" w:color="auto"/>
            <w:bottom w:val="none" w:sz="0" w:space="0" w:color="auto"/>
            <w:right w:val="none" w:sz="0" w:space="0" w:color="auto"/>
          </w:divBdr>
          <w:divsChild>
            <w:div w:id="1560048070">
              <w:marLeft w:val="0"/>
              <w:marRight w:val="0"/>
              <w:marTop w:val="0"/>
              <w:marBottom w:val="0"/>
              <w:divBdr>
                <w:top w:val="none" w:sz="0" w:space="0" w:color="auto"/>
                <w:left w:val="none" w:sz="0" w:space="0" w:color="auto"/>
                <w:bottom w:val="none" w:sz="0" w:space="0" w:color="auto"/>
                <w:right w:val="none" w:sz="0" w:space="0" w:color="auto"/>
              </w:divBdr>
              <w:divsChild>
                <w:div w:id="1248811997">
                  <w:marLeft w:val="0"/>
                  <w:marRight w:val="0"/>
                  <w:marTop w:val="0"/>
                  <w:marBottom w:val="0"/>
                  <w:divBdr>
                    <w:top w:val="none" w:sz="0" w:space="0" w:color="auto"/>
                    <w:left w:val="none" w:sz="0" w:space="0" w:color="auto"/>
                    <w:bottom w:val="none" w:sz="0" w:space="0" w:color="auto"/>
                    <w:right w:val="none" w:sz="0" w:space="0" w:color="auto"/>
                  </w:divBdr>
                  <w:divsChild>
                    <w:div w:id="1772239491">
                      <w:marLeft w:val="0"/>
                      <w:marRight w:val="0"/>
                      <w:marTop w:val="0"/>
                      <w:marBottom w:val="0"/>
                      <w:divBdr>
                        <w:top w:val="none" w:sz="0" w:space="0" w:color="auto"/>
                        <w:left w:val="none" w:sz="0" w:space="0" w:color="auto"/>
                        <w:bottom w:val="none" w:sz="0" w:space="0" w:color="auto"/>
                        <w:right w:val="none" w:sz="0" w:space="0" w:color="auto"/>
                      </w:divBdr>
                      <w:divsChild>
                        <w:div w:id="2128544701">
                          <w:marLeft w:val="0"/>
                          <w:marRight w:val="0"/>
                          <w:marTop w:val="0"/>
                          <w:marBottom w:val="0"/>
                          <w:divBdr>
                            <w:top w:val="none" w:sz="0" w:space="0" w:color="auto"/>
                            <w:left w:val="none" w:sz="0" w:space="0" w:color="auto"/>
                            <w:bottom w:val="none" w:sz="0" w:space="0" w:color="auto"/>
                            <w:right w:val="none" w:sz="0" w:space="0" w:color="auto"/>
                          </w:divBdr>
                          <w:divsChild>
                            <w:div w:id="458840754">
                              <w:marLeft w:val="0"/>
                              <w:marRight w:val="0"/>
                              <w:marTop w:val="0"/>
                              <w:marBottom w:val="0"/>
                              <w:divBdr>
                                <w:top w:val="none" w:sz="0" w:space="0" w:color="auto"/>
                                <w:left w:val="none" w:sz="0" w:space="0" w:color="auto"/>
                                <w:bottom w:val="none" w:sz="0" w:space="0" w:color="auto"/>
                                <w:right w:val="none" w:sz="0" w:space="0" w:color="auto"/>
                              </w:divBdr>
                              <w:divsChild>
                                <w:div w:id="125976845">
                                  <w:marLeft w:val="0"/>
                                  <w:marRight w:val="0"/>
                                  <w:marTop w:val="0"/>
                                  <w:marBottom w:val="0"/>
                                  <w:divBdr>
                                    <w:top w:val="none" w:sz="0" w:space="0" w:color="auto"/>
                                    <w:left w:val="none" w:sz="0" w:space="0" w:color="auto"/>
                                    <w:bottom w:val="none" w:sz="0" w:space="0" w:color="auto"/>
                                    <w:right w:val="none" w:sz="0" w:space="0" w:color="auto"/>
                                  </w:divBdr>
                                  <w:divsChild>
                                    <w:div w:id="373623342">
                                      <w:marLeft w:val="0"/>
                                      <w:marRight w:val="0"/>
                                      <w:marTop w:val="0"/>
                                      <w:marBottom w:val="0"/>
                                      <w:divBdr>
                                        <w:top w:val="none" w:sz="0" w:space="0" w:color="auto"/>
                                        <w:left w:val="none" w:sz="0" w:space="0" w:color="auto"/>
                                        <w:bottom w:val="none" w:sz="0" w:space="0" w:color="auto"/>
                                        <w:right w:val="none" w:sz="0" w:space="0" w:color="auto"/>
                                      </w:divBdr>
                                      <w:divsChild>
                                        <w:div w:id="1749691018">
                                          <w:marLeft w:val="0"/>
                                          <w:marRight w:val="0"/>
                                          <w:marTop w:val="0"/>
                                          <w:marBottom w:val="0"/>
                                          <w:divBdr>
                                            <w:top w:val="none" w:sz="0" w:space="0" w:color="auto"/>
                                            <w:left w:val="none" w:sz="0" w:space="0" w:color="auto"/>
                                            <w:bottom w:val="none" w:sz="0" w:space="0" w:color="auto"/>
                                            <w:right w:val="none" w:sz="0" w:space="0" w:color="auto"/>
                                          </w:divBdr>
                                          <w:divsChild>
                                            <w:div w:id="1981953394">
                                              <w:marLeft w:val="0"/>
                                              <w:marRight w:val="0"/>
                                              <w:marTop w:val="0"/>
                                              <w:marBottom w:val="0"/>
                                              <w:divBdr>
                                                <w:top w:val="none" w:sz="0" w:space="0" w:color="auto"/>
                                                <w:left w:val="none" w:sz="0" w:space="0" w:color="auto"/>
                                                <w:bottom w:val="none" w:sz="0" w:space="0" w:color="auto"/>
                                                <w:right w:val="none" w:sz="0" w:space="0" w:color="auto"/>
                                              </w:divBdr>
                                              <w:divsChild>
                                                <w:div w:id="15109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946441">
      <w:bodyDiv w:val="1"/>
      <w:marLeft w:val="0"/>
      <w:marRight w:val="0"/>
      <w:marTop w:val="0"/>
      <w:marBottom w:val="0"/>
      <w:divBdr>
        <w:top w:val="none" w:sz="0" w:space="0" w:color="auto"/>
        <w:left w:val="none" w:sz="0" w:space="0" w:color="auto"/>
        <w:bottom w:val="none" w:sz="0" w:space="0" w:color="auto"/>
        <w:right w:val="none" w:sz="0" w:space="0" w:color="auto"/>
      </w:divBdr>
    </w:div>
    <w:div w:id="1413237328">
      <w:bodyDiv w:val="1"/>
      <w:marLeft w:val="0"/>
      <w:marRight w:val="0"/>
      <w:marTop w:val="0"/>
      <w:marBottom w:val="0"/>
      <w:divBdr>
        <w:top w:val="none" w:sz="0" w:space="0" w:color="auto"/>
        <w:left w:val="none" w:sz="0" w:space="0" w:color="auto"/>
        <w:bottom w:val="none" w:sz="0" w:space="0" w:color="auto"/>
        <w:right w:val="none" w:sz="0" w:space="0" w:color="auto"/>
      </w:divBdr>
      <w:divsChild>
        <w:div w:id="554390129">
          <w:marLeft w:val="0"/>
          <w:marRight w:val="0"/>
          <w:marTop w:val="0"/>
          <w:marBottom w:val="0"/>
          <w:divBdr>
            <w:top w:val="none" w:sz="0" w:space="0" w:color="auto"/>
            <w:left w:val="none" w:sz="0" w:space="0" w:color="auto"/>
            <w:bottom w:val="none" w:sz="0" w:space="0" w:color="auto"/>
            <w:right w:val="none" w:sz="0" w:space="0" w:color="auto"/>
          </w:divBdr>
          <w:divsChild>
            <w:div w:id="1403330570">
              <w:marLeft w:val="0"/>
              <w:marRight w:val="0"/>
              <w:marTop w:val="0"/>
              <w:marBottom w:val="0"/>
              <w:divBdr>
                <w:top w:val="none" w:sz="0" w:space="0" w:color="auto"/>
                <w:left w:val="none" w:sz="0" w:space="0" w:color="auto"/>
                <w:bottom w:val="none" w:sz="0" w:space="0" w:color="auto"/>
                <w:right w:val="none" w:sz="0" w:space="0" w:color="auto"/>
              </w:divBdr>
              <w:divsChild>
                <w:div w:id="390738356">
                  <w:marLeft w:val="0"/>
                  <w:marRight w:val="0"/>
                  <w:marTop w:val="0"/>
                  <w:marBottom w:val="0"/>
                  <w:divBdr>
                    <w:top w:val="none" w:sz="0" w:space="0" w:color="auto"/>
                    <w:left w:val="none" w:sz="0" w:space="0" w:color="auto"/>
                    <w:bottom w:val="none" w:sz="0" w:space="0" w:color="auto"/>
                    <w:right w:val="none" w:sz="0" w:space="0" w:color="auto"/>
                  </w:divBdr>
                  <w:divsChild>
                    <w:div w:id="1272084983">
                      <w:marLeft w:val="0"/>
                      <w:marRight w:val="0"/>
                      <w:marTop w:val="0"/>
                      <w:marBottom w:val="0"/>
                      <w:divBdr>
                        <w:top w:val="none" w:sz="0" w:space="0" w:color="auto"/>
                        <w:left w:val="none" w:sz="0" w:space="0" w:color="auto"/>
                        <w:bottom w:val="none" w:sz="0" w:space="0" w:color="auto"/>
                        <w:right w:val="none" w:sz="0" w:space="0" w:color="auto"/>
                      </w:divBdr>
                      <w:divsChild>
                        <w:div w:id="1863967">
                          <w:marLeft w:val="0"/>
                          <w:marRight w:val="0"/>
                          <w:marTop w:val="0"/>
                          <w:marBottom w:val="0"/>
                          <w:divBdr>
                            <w:top w:val="none" w:sz="0" w:space="0" w:color="auto"/>
                            <w:left w:val="none" w:sz="0" w:space="0" w:color="auto"/>
                            <w:bottom w:val="none" w:sz="0" w:space="0" w:color="auto"/>
                            <w:right w:val="none" w:sz="0" w:space="0" w:color="auto"/>
                          </w:divBdr>
                          <w:divsChild>
                            <w:div w:id="15381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016659">
      <w:bodyDiv w:val="1"/>
      <w:marLeft w:val="0"/>
      <w:marRight w:val="0"/>
      <w:marTop w:val="0"/>
      <w:marBottom w:val="0"/>
      <w:divBdr>
        <w:top w:val="none" w:sz="0" w:space="0" w:color="auto"/>
        <w:left w:val="none" w:sz="0" w:space="0" w:color="auto"/>
        <w:bottom w:val="none" w:sz="0" w:space="0" w:color="auto"/>
        <w:right w:val="none" w:sz="0" w:space="0" w:color="auto"/>
      </w:divBdr>
    </w:div>
    <w:div w:id="1514493676">
      <w:bodyDiv w:val="1"/>
      <w:marLeft w:val="0"/>
      <w:marRight w:val="0"/>
      <w:marTop w:val="0"/>
      <w:marBottom w:val="0"/>
      <w:divBdr>
        <w:top w:val="none" w:sz="0" w:space="0" w:color="auto"/>
        <w:left w:val="none" w:sz="0" w:space="0" w:color="auto"/>
        <w:bottom w:val="none" w:sz="0" w:space="0" w:color="auto"/>
        <w:right w:val="none" w:sz="0" w:space="0" w:color="auto"/>
      </w:divBdr>
    </w:div>
    <w:div w:id="1543403534">
      <w:bodyDiv w:val="1"/>
      <w:marLeft w:val="0"/>
      <w:marRight w:val="0"/>
      <w:marTop w:val="0"/>
      <w:marBottom w:val="0"/>
      <w:divBdr>
        <w:top w:val="none" w:sz="0" w:space="0" w:color="auto"/>
        <w:left w:val="none" w:sz="0" w:space="0" w:color="auto"/>
        <w:bottom w:val="none" w:sz="0" w:space="0" w:color="auto"/>
        <w:right w:val="none" w:sz="0" w:space="0" w:color="auto"/>
      </w:divBdr>
    </w:div>
    <w:div w:id="1633635320">
      <w:bodyDiv w:val="1"/>
      <w:marLeft w:val="0"/>
      <w:marRight w:val="0"/>
      <w:marTop w:val="0"/>
      <w:marBottom w:val="0"/>
      <w:divBdr>
        <w:top w:val="none" w:sz="0" w:space="0" w:color="auto"/>
        <w:left w:val="none" w:sz="0" w:space="0" w:color="auto"/>
        <w:bottom w:val="none" w:sz="0" w:space="0" w:color="auto"/>
        <w:right w:val="none" w:sz="0" w:space="0" w:color="auto"/>
      </w:divBdr>
    </w:div>
    <w:div w:id="1635987797">
      <w:bodyDiv w:val="1"/>
      <w:marLeft w:val="0"/>
      <w:marRight w:val="0"/>
      <w:marTop w:val="0"/>
      <w:marBottom w:val="0"/>
      <w:divBdr>
        <w:top w:val="none" w:sz="0" w:space="0" w:color="auto"/>
        <w:left w:val="none" w:sz="0" w:space="0" w:color="auto"/>
        <w:bottom w:val="none" w:sz="0" w:space="0" w:color="auto"/>
        <w:right w:val="none" w:sz="0" w:space="0" w:color="auto"/>
      </w:divBdr>
    </w:div>
    <w:div w:id="1674840843">
      <w:bodyDiv w:val="1"/>
      <w:marLeft w:val="0"/>
      <w:marRight w:val="0"/>
      <w:marTop w:val="0"/>
      <w:marBottom w:val="0"/>
      <w:divBdr>
        <w:top w:val="none" w:sz="0" w:space="0" w:color="auto"/>
        <w:left w:val="none" w:sz="0" w:space="0" w:color="auto"/>
        <w:bottom w:val="none" w:sz="0" w:space="0" w:color="auto"/>
        <w:right w:val="none" w:sz="0" w:space="0" w:color="auto"/>
      </w:divBdr>
    </w:div>
    <w:div w:id="1689138562">
      <w:bodyDiv w:val="1"/>
      <w:marLeft w:val="0"/>
      <w:marRight w:val="0"/>
      <w:marTop w:val="0"/>
      <w:marBottom w:val="0"/>
      <w:divBdr>
        <w:top w:val="none" w:sz="0" w:space="0" w:color="auto"/>
        <w:left w:val="none" w:sz="0" w:space="0" w:color="auto"/>
        <w:bottom w:val="none" w:sz="0" w:space="0" w:color="auto"/>
        <w:right w:val="none" w:sz="0" w:space="0" w:color="auto"/>
      </w:divBdr>
      <w:divsChild>
        <w:div w:id="1382170898">
          <w:marLeft w:val="0"/>
          <w:marRight w:val="0"/>
          <w:marTop w:val="0"/>
          <w:marBottom w:val="0"/>
          <w:divBdr>
            <w:top w:val="none" w:sz="0" w:space="0" w:color="auto"/>
            <w:left w:val="none" w:sz="0" w:space="0" w:color="auto"/>
            <w:bottom w:val="none" w:sz="0" w:space="0" w:color="auto"/>
            <w:right w:val="none" w:sz="0" w:space="0" w:color="auto"/>
          </w:divBdr>
          <w:divsChild>
            <w:div w:id="1918009275">
              <w:marLeft w:val="0"/>
              <w:marRight w:val="0"/>
              <w:marTop w:val="0"/>
              <w:marBottom w:val="0"/>
              <w:divBdr>
                <w:top w:val="none" w:sz="0" w:space="0" w:color="auto"/>
                <w:left w:val="none" w:sz="0" w:space="0" w:color="auto"/>
                <w:bottom w:val="none" w:sz="0" w:space="0" w:color="auto"/>
                <w:right w:val="none" w:sz="0" w:space="0" w:color="auto"/>
              </w:divBdr>
              <w:divsChild>
                <w:div w:id="276178496">
                  <w:marLeft w:val="0"/>
                  <w:marRight w:val="0"/>
                  <w:marTop w:val="0"/>
                  <w:marBottom w:val="0"/>
                  <w:divBdr>
                    <w:top w:val="none" w:sz="0" w:space="0" w:color="auto"/>
                    <w:left w:val="none" w:sz="0" w:space="0" w:color="auto"/>
                    <w:bottom w:val="none" w:sz="0" w:space="0" w:color="auto"/>
                    <w:right w:val="none" w:sz="0" w:space="0" w:color="auto"/>
                  </w:divBdr>
                  <w:divsChild>
                    <w:div w:id="319624557">
                      <w:marLeft w:val="0"/>
                      <w:marRight w:val="0"/>
                      <w:marTop w:val="0"/>
                      <w:marBottom w:val="0"/>
                      <w:divBdr>
                        <w:top w:val="none" w:sz="0" w:space="0" w:color="auto"/>
                        <w:left w:val="none" w:sz="0" w:space="0" w:color="auto"/>
                        <w:bottom w:val="none" w:sz="0" w:space="0" w:color="auto"/>
                        <w:right w:val="none" w:sz="0" w:space="0" w:color="auto"/>
                      </w:divBdr>
                      <w:divsChild>
                        <w:div w:id="598029773">
                          <w:marLeft w:val="0"/>
                          <w:marRight w:val="0"/>
                          <w:marTop w:val="0"/>
                          <w:marBottom w:val="0"/>
                          <w:divBdr>
                            <w:top w:val="none" w:sz="0" w:space="0" w:color="auto"/>
                            <w:left w:val="none" w:sz="0" w:space="0" w:color="auto"/>
                            <w:bottom w:val="none" w:sz="0" w:space="0" w:color="auto"/>
                            <w:right w:val="none" w:sz="0" w:space="0" w:color="auto"/>
                          </w:divBdr>
                          <w:divsChild>
                            <w:div w:id="1225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877874">
      <w:bodyDiv w:val="1"/>
      <w:marLeft w:val="0"/>
      <w:marRight w:val="0"/>
      <w:marTop w:val="0"/>
      <w:marBottom w:val="0"/>
      <w:divBdr>
        <w:top w:val="none" w:sz="0" w:space="0" w:color="auto"/>
        <w:left w:val="none" w:sz="0" w:space="0" w:color="auto"/>
        <w:bottom w:val="none" w:sz="0" w:space="0" w:color="auto"/>
        <w:right w:val="none" w:sz="0" w:space="0" w:color="auto"/>
      </w:divBdr>
    </w:div>
    <w:div w:id="1868373067">
      <w:bodyDiv w:val="1"/>
      <w:marLeft w:val="0"/>
      <w:marRight w:val="0"/>
      <w:marTop w:val="0"/>
      <w:marBottom w:val="0"/>
      <w:divBdr>
        <w:top w:val="none" w:sz="0" w:space="0" w:color="auto"/>
        <w:left w:val="none" w:sz="0" w:space="0" w:color="auto"/>
        <w:bottom w:val="none" w:sz="0" w:space="0" w:color="auto"/>
        <w:right w:val="none" w:sz="0" w:space="0" w:color="auto"/>
      </w:divBdr>
    </w:div>
    <w:div w:id="1906604688">
      <w:bodyDiv w:val="1"/>
      <w:marLeft w:val="0"/>
      <w:marRight w:val="0"/>
      <w:marTop w:val="0"/>
      <w:marBottom w:val="0"/>
      <w:divBdr>
        <w:top w:val="none" w:sz="0" w:space="0" w:color="auto"/>
        <w:left w:val="none" w:sz="0" w:space="0" w:color="auto"/>
        <w:bottom w:val="none" w:sz="0" w:space="0" w:color="auto"/>
        <w:right w:val="none" w:sz="0" w:space="0" w:color="auto"/>
      </w:divBdr>
    </w:div>
    <w:div w:id="2037849280">
      <w:bodyDiv w:val="1"/>
      <w:marLeft w:val="0"/>
      <w:marRight w:val="0"/>
      <w:marTop w:val="0"/>
      <w:marBottom w:val="0"/>
      <w:divBdr>
        <w:top w:val="none" w:sz="0" w:space="0" w:color="auto"/>
        <w:left w:val="none" w:sz="0" w:space="0" w:color="auto"/>
        <w:bottom w:val="none" w:sz="0" w:space="0" w:color="auto"/>
        <w:right w:val="none" w:sz="0" w:space="0" w:color="auto"/>
      </w:divBdr>
    </w:div>
    <w:div w:id="2046517053">
      <w:bodyDiv w:val="1"/>
      <w:marLeft w:val="0"/>
      <w:marRight w:val="0"/>
      <w:marTop w:val="0"/>
      <w:marBottom w:val="0"/>
      <w:divBdr>
        <w:top w:val="none" w:sz="0" w:space="0" w:color="auto"/>
        <w:left w:val="none" w:sz="0" w:space="0" w:color="auto"/>
        <w:bottom w:val="none" w:sz="0" w:space="0" w:color="auto"/>
        <w:right w:val="none" w:sz="0" w:space="0" w:color="auto"/>
      </w:divBdr>
    </w:div>
    <w:div w:id="2077897209">
      <w:bodyDiv w:val="1"/>
      <w:marLeft w:val="0"/>
      <w:marRight w:val="0"/>
      <w:marTop w:val="0"/>
      <w:marBottom w:val="0"/>
      <w:divBdr>
        <w:top w:val="none" w:sz="0" w:space="0" w:color="auto"/>
        <w:left w:val="none" w:sz="0" w:space="0" w:color="auto"/>
        <w:bottom w:val="none" w:sz="0" w:space="0" w:color="auto"/>
        <w:right w:val="none" w:sz="0" w:space="0" w:color="auto"/>
      </w:divBdr>
    </w:div>
    <w:div w:id="211388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Ada23</b:Tag>
    <b:SourceType>Book</b:SourceType>
    <b:Guid>{9359A074-08C3-4A17-B87E-4DF954A19A51}</b:Guid>
    <b:Title>Ada Lovelace Institute</b:Title>
    <b:InternetSiteTitle>A review of the current landscape of AI risk assessment and related methods.</b:InternetSiteTitle>
    <b:Year>2023</b:Year>
    <b:Publisher>Methods for AI risk assessment: A review of the current landscape of AI risk assessment and related methods.</b:Publisher>
    <b:RefOrder>6</b:RefOrder>
  </b:Source>
  <b:Source>
    <b:Tag>Aus23</b:Tag>
    <b:SourceType>InternetSite</b:SourceType>
    <b:Guid>{6F5FA7E5-5D2F-4899-8BD9-224E9507B3F2}</b:Guid>
    <b:Title>Australian Energy Market Operator</b:Title>
    <b:Year>2023</b:Year>
    <b:InternetSiteTitle>Electricity demand and forecasting in the National Electricity Market.</b:InternetSiteTitle>
    <b:URL>https://www.aemo.com.au</b:URL>
    <b:RefOrder>1</b:RefOrder>
  </b:Source>
  <b:Source>
    <b:Tag>Aus88</b:Tag>
    <b:SourceType>InternetSite</b:SourceType>
    <b:Guid>{73A67EE2-4CA8-4CB2-93A6-6330D2847D44}</b:Guid>
    <b:Title>Federal Register of Legislation</b:Title>
    <b:InternetSiteTitle>Privacy Act 1988 (Cth). Government, Australian</b:InternetSiteTitle>
    <b:Year>1988</b:Year>
    <b:URL>https://www.legislation.gov.au</b:URL>
    <b:RefOrder>5</b:RefOrder>
  </b:Source>
  <b:Source>
    <b:Tag>Ben89</b:Tag>
    <b:SourceType>JournalArticle</b:SourceType>
    <b:Guid>{08F3DAFE-ACB7-478B-98C4-12EF4302B77B}</b:Guid>
    <b:Title>An introduction to the principles of morals and legislation</b:Title>
    <b:Year>1789</b:Year>
    <b:Author>
      <b:Author>
        <b:NameList>
          <b:Person>
            <b:Last>Bentham</b:Last>
            <b:First>Jeremy</b:First>
          </b:Person>
        </b:NameList>
      </b:Author>
    </b:Author>
    <b:JournalName>Clarendon Press</b:JournalName>
    <b:RefOrder>3</b:RefOrder>
  </b:Source>
  <b:Source>
    <b:Tag>Dos17</b:Tag>
    <b:SourceType>JournalArticle</b:SourceType>
    <b:Guid>{D47863EB-3E15-4E02-8278-B57EADE6329A}</b:Guid>
    <b:Author>
      <b:Author>
        <b:NameList>
          <b:Person>
            <b:Last>Doshi-Velez</b:Last>
            <b:First>Finale,</b:First>
            <b:Middle>&amp; Kim, Been</b:Middle>
          </b:Person>
        </b:NameList>
      </b:Author>
    </b:Author>
    <b:Title>Towards a rigorous science of interpretable machine learning</b:Title>
    <b:JournalName>arXiv</b:JournalName>
    <b:Year>2017</b:Year>
    <b:Pages>https://arxiv.org/abs/1702.08608</b:Pages>
    <b:RefOrder>9</b:RefOrder>
  </b:Source>
  <b:Source>
    <b:Tag>Gil82</b:Tag>
    <b:SourceType>JournalArticle</b:SourceType>
    <b:Guid>{03DD1D3D-A30E-475C-A35F-B44E6F0ABD9F}</b:Guid>
    <b:Author>
      <b:Author>
        <b:NameList>
          <b:Person>
            <b:Last>Gilligan</b:Last>
            <b:First>Carol</b:First>
          </b:Person>
        </b:NameList>
      </b:Author>
    </b:Author>
    <b:Title>In a different voice: Psychological theory and women’s development</b:Title>
    <b:JournalName>Harvard University Press</b:JournalName>
    <b:Year>1982</b:Year>
    <b:RefOrder>4</b:RefOrder>
  </b:Source>
  <b:Source>
    <b:Tag>Raw71</b:Tag>
    <b:SourceType>JournalArticle</b:SourceType>
    <b:Guid>{C8C478DA-AE0E-4262-9913-B23DF5599842}</b:Guid>
    <b:Author>
      <b:Author>
        <b:NameList>
          <b:Person>
            <b:Last>Rawls</b:Last>
            <b:First>John</b:First>
          </b:Person>
        </b:NameList>
      </b:Author>
    </b:Author>
    <b:Title>A theory of justice</b:Title>
    <b:JournalName>Harvard University Press</b:JournalName>
    <b:Year>1971</b:Year>
    <b:RefOrder>8</b:RefOrder>
  </b:Source>
  <b:Source>
    <b:Tag>Ope26</b:Tag>
    <b:SourceType>InternetSite</b:SourceType>
    <b:Guid>{810B5000-2B3F-4554-9ADC-2E793BD12156}</b:Guid>
    <b:Author>
      <b:Author>
        <b:NameList>
          <b:Person>
            <b:Last>OpenAI</b:Last>
          </b:Person>
        </b:NameList>
      </b:Author>
    </b:Author>
    <b:Title>[Large language model]</b:Title>
    <b:InternetSiteTitle>ChatGPT</b:InternetSiteTitle>
    <b:Year>2026</b:Year>
    <b:URL>https://chat.openai.com</b:URL>
    <b:RefOrder>10</b:RefOrder>
  </b:Source>
  <b:Source>
    <b:Tag>Uni26</b:Tag>
    <b:SourceType>InternetSite</b:SourceType>
    <b:Guid>{3B059E55-6CE8-4C5A-BF95-DBB4B4788C06}</b:Guid>
    <b:Author>
      <b:Author>
        <b:NameList>
          <b:Person>
            <b:Last>UNSW</b:Last>
          </b:Person>
        </b:NameList>
      </b:Author>
    </b:Author>
    <b:Title>ZZBU6505 Data and Ethics course materials</b:Title>
    <b:InternetSiteTitle>University of New South Wales</b:InternetSiteTitle>
    <b:Year>2026</b:Year>
    <b:RefOrder>2</b:RefOrder>
  </b:Source>
  <b:Source>
    <b:Tag>USD23</b:Tag>
    <b:SourceType>InternetSite</b:SourceType>
    <b:Guid>{FE7A04FA-5F2C-4C08-9CEB-4E12B296F0A7}</b:Guid>
    <b:Title>Artificial intelligence risk management framework (AI RMF 1.0) (NIST AI 100-1)</b:Title>
    <b:Year>2023</b:Year>
    <b:Author>
      <b:Author>
        <b:NameList>
          <b:Person>
            <b:Last>NIST</b:Last>
            <b:First>AI</b:First>
            <b:Middle>Risk Management Framework</b:Middle>
          </b:Person>
        </b:NameList>
      </b:Author>
    </b:Author>
    <b:InternetSiteTitle>Commerce, U.S. Department of</b:InternetSiteTitle>
    <b:URL>https://doi.org/10.6028/NIST.AI.100-1</b:URL>
    <b:RefOrder>7</b:RefOrder>
  </b:Source>
</b:Sources>
</file>

<file path=customXml/itemProps1.xml><?xml version="1.0" encoding="utf-8"?>
<ds:datastoreItem xmlns:ds="http://schemas.openxmlformats.org/officeDocument/2006/customXml" ds:itemID="{200E20E3-EAA4-4D7D-8D7F-1E9B44D3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9</Pages>
  <Words>2946</Words>
  <Characters>16796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cp:lastPrinted>2026-04-27T03:28:00Z</cp:lastPrinted>
  <dcterms:created xsi:type="dcterms:W3CDTF">2026-04-26T13:13:00Z</dcterms:created>
  <dcterms:modified xsi:type="dcterms:W3CDTF">2026-04-27T03:30:00Z</dcterms:modified>
</cp:coreProperties>
</file>