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4FEA0" w14:textId="7E699719" w:rsidR="0025322A" w:rsidRPr="000C0E06" w:rsidRDefault="00B5310E">
      <w:pPr>
        <w:rPr>
          <w:b/>
          <w:bCs/>
        </w:rPr>
      </w:pPr>
      <w:r w:rsidRPr="000C0E06">
        <w:rPr>
          <w:b/>
          <w:bCs/>
          <w:noProof/>
        </w:rPr>
        <w:drawing>
          <wp:anchor distT="0" distB="0" distL="114300" distR="114300" simplePos="0" relativeHeight="251658240" behindDoc="0" locked="0" layoutInCell="1" allowOverlap="1" wp14:anchorId="4E262B30" wp14:editId="497C491D">
            <wp:simplePos x="0" y="0"/>
            <wp:positionH relativeFrom="page">
              <wp:posOffset>-64770</wp:posOffset>
            </wp:positionH>
            <wp:positionV relativeFrom="paragraph">
              <wp:posOffset>440055</wp:posOffset>
            </wp:positionV>
            <wp:extent cx="7809865" cy="5619750"/>
            <wp:effectExtent l="0" t="0" r="635" b="0"/>
            <wp:wrapNone/>
            <wp:docPr id="44681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09865" cy="561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0E06">
        <w:rPr>
          <w:b/>
          <w:bCs/>
          <w:noProof/>
        </w:rPr>
        <mc:AlternateContent>
          <mc:Choice Requires="wps">
            <w:drawing>
              <wp:anchor distT="0" distB="0" distL="114300" distR="114300" simplePos="0" relativeHeight="251659264" behindDoc="0" locked="0" layoutInCell="1" allowOverlap="1" wp14:anchorId="2953ACAD" wp14:editId="3C9F61EB">
                <wp:simplePos x="0" y="0"/>
                <wp:positionH relativeFrom="page">
                  <wp:posOffset>13970</wp:posOffset>
                </wp:positionH>
                <wp:positionV relativeFrom="paragraph">
                  <wp:posOffset>655955</wp:posOffset>
                </wp:positionV>
                <wp:extent cx="7758430" cy="2015490"/>
                <wp:effectExtent l="0" t="0" r="0" b="3810"/>
                <wp:wrapNone/>
                <wp:docPr id="1916571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8430" cy="2015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88CC3" w14:textId="77777777" w:rsidR="0025322A" w:rsidRDefault="0025322A" w:rsidP="0025322A">
                            <w:pPr>
                              <w:jc w:val="center"/>
                              <w:rPr>
                                <w:b/>
                                <w:bCs/>
                                <w:smallCaps/>
                                <w:color w:val="000000" w:themeColor="text1"/>
                                <w:sz w:val="72"/>
                                <w:szCs w:val="72"/>
                                <w14:shadow w14:blurRad="50800" w14:dist="38100" w14:dir="2700000" w14:sx="100000" w14:sy="100000" w14:kx="0" w14:ky="0" w14:algn="tl">
                                  <w14:srgbClr w14:val="000000">
                                    <w14:alpha w14:val="60000"/>
                                  </w14:srgbClr>
                                </w14:shadow>
                              </w:rPr>
                            </w:pPr>
                            <w:r w:rsidRPr="0025322A">
                              <w:rPr>
                                <w:b/>
                                <w:bCs/>
                                <w:smallCaps/>
                                <w:color w:val="000000" w:themeColor="text1"/>
                                <w:sz w:val="72"/>
                                <w:szCs w:val="72"/>
                                <w14:shadow w14:blurRad="50800" w14:dist="38100" w14:dir="2700000" w14:sx="100000" w14:sy="100000" w14:kx="0" w14:ky="0" w14:algn="tl">
                                  <w14:srgbClr w14:val="000000">
                                    <w14:alpha w14:val="60000"/>
                                  </w14:srgbClr>
                                </w14:shadow>
                              </w:rPr>
                              <w:t>Critical Analysis of Visualizations</w:t>
                            </w:r>
                          </w:p>
                          <w:p w14:paraId="51D6FAED" w14:textId="32BAC87D" w:rsidR="0025322A" w:rsidRPr="0025322A" w:rsidRDefault="0025322A" w:rsidP="0025322A">
                            <w:pPr>
                              <w:jc w:val="center"/>
                              <w:rPr>
                                <w:b/>
                                <w:bCs/>
                              </w:rPr>
                            </w:pPr>
                            <w:r>
                              <w:rPr>
                                <w:b/>
                                <w:bCs/>
                                <w:smallCaps/>
                                <w:color w:val="000000" w:themeColor="text1"/>
                                <w:sz w:val="40"/>
                                <w:szCs w:val="40"/>
                                <w14:shadow w14:blurRad="50800" w14:dist="38100" w14:dir="2700000" w14:sx="100000" w14:sy="100000" w14:kx="0" w14:ky="0" w14:algn="tl">
                                  <w14:srgbClr w14:val="000000">
                                    <w14:alpha w14:val="60000"/>
                                  </w14:srgbClr>
                                </w14:shadow>
                              </w:rPr>
                              <w:t>on R</w:t>
                            </w:r>
                            <w:r w:rsidRPr="0025322A">
                              <w:rPr>
                                <w:b/>
                                <w:bCs/>
                                <w:smallCaps/>
                                <w:color w:val="000000" w:themeColor="text1"/>
                                <w:sz w:val="40"/>
                                <w:szCs w:val="40"/>
                                <w14:shadow w14:blurRad="50800" w14:dist="38100" w14:dir="2700000" w14:sx="100000" w14:sy="100000" w14:kx="0" w14:ky="0" w14:algn="tl">
                                  <w14:srgbClr w14:val="000000">
                                    <w14:alpha w14:val="60000"/>
                                  </w14:srgbClr>
                                </w14:shadow>
                              </w:rPr>
                              <w:t>enewable</w:t>
                            </w:r>
                            <w:r>
                              <w:rPr>
                                <w:b/>
                                <w:bCs/>
                                <w:smallCaps/>
                                <w:color w:val="000000" w:themeColor="text1"/>
                                <w:sz w:val="40"/>
                                <w:szCs w:val="40"/>
                                <w14:shadow w14:blurRad="50800" w14:dist="38100" w14:dir="2700000" w14:sx="100000" w14:sy="100000" w14:kx="0" w14:ky="0" w14:algn="tl">
                                  <w14:srgbClr w14:val="000000">
                                    <w14:alpha w14:val="60000"/>
                                  </w14:srgbClr>
                                </w14:shadow>
                              </w:rPr>
                              <w:t xml:space="preserve"> Vs Nonrenewable</w:t>
                            </w:r>
                            <w:r w:rsidRPr="0025322A">
                              <w:rPr>
                                <w:b/>
                                <w:bCs/>
                                <w:smallCaps/>
                                <w:color w:val="000000" w:themeColor="text1"/>
                                <w:sz w:val="40"/>
                                <w:szCs w:val="40"/>
                                <w14:shadow w14:blurRad="50800" w14:dist="38100" w14:dir="2700000" w14:sx="100000" w14:sy="100000" w14:kx="0" w14:ky="0" w14:algn="tl">
                                  <w14:srgbClr w14:val="000000">
                                    <w14:alpha w14:val="60000"/>
                                  </w14:srgbClr>
                                </w14:shadow>
                              </w:rPr>
                              <w:t xml:space="preserve"> Energy Statistics in Australia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3ACAD" id="_x0000_t202" coordsize="21600,21600" o:spt="202" path="m,l,21600r21600,l21600,xe">
                <v:stroke joinstyle="miter"/>
                <v:path gradientshapeok="t" o:connecttype="rect"/>
              </v:shapetype>
              <v:shape id="Text Box 2" o:spid="_x0000_s1026" type="#_x0000_t202" style="position:absolute;margin-left:1.1pt;margin-top:51.65pt;width:610.9pt;height:158.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0m94AEAAKIDAAAOAAAAZHJzL2Uyb0RvYy54bWysU8Fu2zAMvQ/YPwi6L04yZ2mNOEXXosOA&#10;rhvQ9QNkWbKF2aJGKbGzrx8lp2m23YpdBImkH997pDdXY9+xvUJvwJZ8MZtzpqyE2tim5E/f795d&#10;cOaDsLXowKqSH5TnV9u3bzaDK9QSWuhqhYxArC8GV/I2BFdkmZet6oWfgVOWkhqwF4Ge2GQ1ioHQ&#10;+y5bzucfsgGwdghSeU/R2ynJtwlfayXDV629CqwrOXEL6cR0VvHMthtRNChca+SRhngFi14YS01P&#10;ULciCLZD8w9UbySCBx1mEvoMtDZSJQ2kZjH/S81jK5xKWsgc7042+f8HKx/2j+4bsjB+hJEGmER4&#10;dw/yh2cWblphG3WNCEOrRE2NF9GybHC+OH4arfaFjyDV8AVqGrLYBUhAo8Y+ukI6GaHTAA4n09UY&#10;mKTger26yN9TSlKOTFjll2ksmSieP3fowycFPYuXkiNNNcGL/b0PkY4onktiNwt3puvSZDv7R4AK&#10;YyTRj4wn7mGsRqqOMiqoDyQEYVoUWmy6tIC/OBtoSUruf+4EKs66z5bMuFzkedyq9MhX6yU98DxT&#10;nWeElQRV8sDZdL0J0ybuHJqmpU6T/RauyUBtkrQXVkfetAhJ8XFp46adv1PVy6+1/Q0AAP//AwBQ&#10;SwMEFAAGAAgAAAAhAJMvU9jeAAAACgEAAA8AAABkcnMvZG93bnJldi54bWxMj0tPwzAQhO9I/Adr&#10;kbhRGzc8GuJUCMSVquUh9ebG2yQiXkex24R/3+0Jjjszmv2mWE6+E0ccYhvIwO1MgUCqgmupNvD5&#10;8XbzCCImS852gdDAL0ZYlpcXhc1dGGmNx02qBZdQzK2BJqU+lzJWDXobZ6FHYm8fBm8Tn0Mt3WBH&#10;Lved1ErdS29b4g+N7fGlwepnc/AGvt732+9MrepXf9ePYVKS/EIac301PT+BSDilvzCc8RkdSmba&#10;hQO5KDoDWnOQZTWfgzj7Wmc8bmcg0+oBZFnI/xPKEwAAAP//AwBQSwECLQAUAAYACAAAACEAtoM4&#10;kv4AAADhAQAAEwAAAAAAAAAAAAAAAAAAAAAAW0NvbnRlbnRfVHlwZXNdLnhtbFBLAQItABQABgAI&#10;AAAAIQA4/SH/1gAAAJQBAAALAAAAAAAAAAAAAAAAAC8BAABfcmVscy8ucmVsc1BLAQItABQABgAI&#10;AAAAIQDUh0m94AEAAKIDAAAOAAAAAAAAAAAAAAAAAC4CAABkcnMvZTJvRG9jLnhtbFBLAQItABQA&#10;BgAIAAAAIQCTL1PY3gAAAAoBAAAPAAAAAAAAAAAAAAAAADoEAABkcnMvZG93bnJldi54bWxQSwUG&#10;AAAAAAQABADzAAAARQUAAAAA&#10;" filled="f" stroked="f">
                <v:textbox>
                  <w:txbxContent>
                    <w:p w14:paraId="21088CC3" w14:textId="77777777" w:rsidR="0025322A" w:rsidRDefault="0025322A" w:rsidP="0025322A">
                      <w:pPr>
                        <w:jc w:val="center"/>
                        <w:rPr>
                          <w:b/>
                          <w:bCs/>
                          <w:smallCaps/>
                          <w:color w:val="000000" w:themeColor="text1"/>
                          <w:sz w:val="72"/>
                          <w:szCs w:val="72"/>
                          <w14:shadow w14:blurRad="50800" w14:dist="38100" w14:dir="2700000" w14:sx="100000" w14:sy="100000" w14:kx="0" w14:ky="0" w14:algn="tl">
                            <w14:srgbClr w14:val="000000">
                              <w14:alpha w14:val="60000"/>
                            </w14:srgbClr>
                          </w14:shadow>
                        </w:rPr>
                      </w:pPr>
                      <w:r w:rsidRPr="0025322A">
                        <w:rPr>
                          <w:b/>
                          <w:bCs/>
                          <w:smallCaps/>
                          <w:color w:val="000000" w:themeColor="text1"/>
                          <w:sz w:val="72"/>
                          <w:szCs w:val="72"/>
                          <w14:shadow w14:blurRad="50800" w14:dist="38100" w14:dir="2700000" w14:sx="100000" w14:sy="100000" w14:kx="0" w14:ky="0" w14:algn="tl">
                            <w14:srgbClr w14:val="000000">
                              <w14:alpha w14:val="60000"/>
                            </w14:srgbClr>
                          </w14:shadow>
                        </w:rPr>
                        <w:t>Critical Analysis of Visualizations</w:t>
                      </w:r>
                    </w:p>
                    <w:p w14:paraId="51D6FAED" w14:textId="32BAC87D" w:rsidR="0025322A" w:rsidRPr="0025322A" w:rsidRDefault="0025322A" w:rsidP="0025322A">
                      <w:pPr>
                        <w:jc w:val="center"/>
                        <w:rPr>
                          <w:b/>
                          <w:bCs/>
                        </w:rPr>
                      </w:pPr>
                      <w:r>
                        <w:rPr>
                          <w:b/>
                          <w:bCs/>
                          <w:smallCaps/>
                          <w:color w:val="000000" w:themeColor="text1"/>
                          <w:sz w:val="40"/>
                          <w:szCs w:val="40"/>
                          <w14:shadow w14:blurRad="50800" w14:dist="38100" w14:dir="2700000" w14:sx="100000" w14:sy="100000" w14:kx="0" w14:ky="0" w14:algn="tl">
                            <w14:srgbClr w14:val="000000">
                              <w14:alpha w14:val="60000"/>
                            </w14:srgbClr>
                          </w14:shadow>
                        </w:rPr>
                        <w:t>on R</w:t>
                      </w:r>
                      <w:r w:rsidRPr="0025322A">
                        <w:rPr>
                          <w:b/>
                          <w:bCs/>
                          <w:smallCaps/>
                          <w:color w:val="000000" w:themeColor="text1"/>
                          <w:sz w:val="40"/>
                          <w:szCs w:val="40"/>
                          <w14:shadow w14:blurRad="50800" w14:dist="38100" w14:dir="2700000" w14:sx="100000" w14:sy="100000" w14:kx="0" w14:ky="0" w14:algn="tl">
                            <w14:srgbClr w14:val="000000">
                              <w14:alpha w14:val="60000"/>
                            </w14:srgbClr>
                          </w14:shadow>
                        </w:rPr>
                        <w:t>enewable</w:t>
                      </w:r>
                      <w:r>
                        <w:rPr>
                          <w:b/>
                          <w:bCs/>
                          <w:smallCaps/>
                          <w:color w:val="000000" w:themeColor="text1"/>
                          <w:sz w:val="40"/>
                          <w:szCs w:val="40"/>
                          <w14:shadow w14:blurRad="50800" w14:dist="38100" w14:dir="2700000" w14:sx="100000" w14:sy="100000" w14:kx="0" w14:ky="0" w14:algn="tl">
                            <w14:srgbClr w14:val="000000">
                              <w14:alpha w14:val="60000"/>
                            </w14:srgbClr>
                          </w14:shadow>
                        </w:rPr>
                        <w:t xml:space="preserve"> Vs Nonrenewable</w:t>
                      </w:r>
                      <w:r w:rsidRPr="0025322A">
                        <w:rPr>
                          <w:b/>
                          <w:bCs/>
                          <w:smallCaps/>
                          <w:color w:val="000000" w:themeColor="text1"/>
                          <w:sz w:val="40"/>
                          <w:szCs w:val="40"/>
                          <w14:shadow w14:blurRad="50800" w14:dist="38100" w14:dir="2700000" w14:sx="100000" w14:sy="100000" w14:kx="0" w14:ky="0" w14:algn="tl">
                            <w14:srgbClr w14:val="000000">
                              <w14:alpha w14:val="60000"/>
                            </w14:srgbClr>
                          </w14:shadow>
                        </w:rPr>
                        <w:t xml:space="preserve"> Energy Statistics in Australia</w:t>
                      </w:r>
                    </w:p>
                  </w:txbxContent>
                </v:textbox>
                <w10:wrap anchorx="page"/>
              </v:shape>
            </w:pict>
          </mc:Fallback>
        </mc:AlternateContent>
      </w:r>
    </w:p>
    <w:p w14:paraId="08C95BAA" w14:textId="338A5941" w:rsidR="0025322A" w:rsidRPr="000C0E06" w:rsidRDefault="0025322A">
      <w:pPr>
        <w:rPr>
          <w:b/>
          <w:bCs/>
        </w:rPr>
      </w:pPr>
    </w:p>
    <w:p w14:paraId="1750EB4E" w14:textId="77777777" w:rsidR="0025322A" w:rsidRPr="000C0E06" w:rsidRDefault="0025322A">
      <w:pPr>
        <w:rPr>
          <w:b/>
          <w:bCs/>
        </w:rPr>
      </w:pPr>
    </w:p>
    <w:p w14:paraId="75FA721D" w14:textId="77777777" w:rsidR="0025322A" w:rsidRPr="000C0E06" w:rsidRDefault="0025322A">
      <w:pPr>
        <w:rPr>
          <w:b/>
          <w:bCs/>
        </w:rPr>
      </w:pPr>
    </w:p>
    <w:p w14:paraId="1A3C73DC" w14:textId="77777777" w:rsidR="0025322A" w:rsidRPr="000C0E06" w:rsidRDefault="0025322A">
      <w:pPr>
        <w:rPr>
          <w:b/>
          <w:bCs/>
        </w:rPr>
      </w:pPr>
    </w:p>
    <w:p w14:paraId="4B1911B7" w14:textId="77777777" w:rsidR="0025322A" w:rsidRPr="000C0E06" w:rsidRDefault="0025322A">
      <w:pPr>
        <w:rPr>
          <w:b/>
          <w:bCs/>
        </w:rPr>
      </w:pPr>
    </w:p>
    <w:p w14:paraId="1B7C3567" w14:textId="77777777" w:rsidR="0025322A" w:rsidRPr="000C0E06" w:rsidRDefault="0025322A">
      <w:pPr>
        <w:rPr>
          <w:b/>
          <w:bCs/>
        </w:rPr>
      </w:pPr>
    </w:p>
    <w:p w14:paraId="74E630AE" w14:textId="77777777" w:rsidR="0025322A" w:rsidRPr="000C0E06" w:rsidRDefault="0025322A">
      <w:pPr>
        <w:rPr>
          <w:b/>
          <w:bCs/>
        </w:rPr>
      </w:pPr>
    </w:p>
    <w:p w14:paraId="4BA05578" w14:textId="77777777" w:rsidR="0025322A" w:rsidRPr="000C0E06" w:rsidRDefault="0025322A">
      <w:pPr>
        <w:rPr>
          <w:b/>
          <w:bCs/>
        </w:rPr>
      </w:pPr>
    </w:p>
    <w:p w14:paraId="343C2A5E" w14:textId="77777777" w:rsidR="0025322A" w:rsidRPr="000C0E06" w:rsidRDefault="0025322A">
      <w:pPr>
        <w:rPr>
          <w:b/>
          <w:bCs/>
        </w:rPr>
      </w:pPr>
    </w:p>
    <w:p w14:paraId="35B1FFBB" w14:textId="77777777" w:rsidR="0025322A" w:rsidRPr="000C0E06" w:rsidRDefault="0025322A">
      <w:pPr>
        <w:rPr>
          <w:b/>
          <w:bCs/>
        </w:rPr>
      </w:pPr>
    </w:p>
    <w:p w14:paraId="5E60E03F" w14:textId="77777777" w:rsidR="0025322A" w:rsidRPr="000C0E06" w:rsidRDefault="0025322A">
      <w:pPr>
        <w:rPr>
          <w:b/>
          <w:bCs/>
        </w:rPr>
      </w:pPr>
    </w:p>
    <w:p w14:paraId="05703C69" w14:textId="77777777" w:rsidR="0025322A" w:rsidRPr="000C0E06" w:rsidRDefault="0025322A">
      <w:pPr>
        <w:rPr>
          <w:b/>
          <w:bCs/>
        </w:rPr>
      </w:pPr>
    </w:p>
    <w:p w14:paraId="14E7B735" w14:textId="77777777" w:rsidR="0025322A" w:rsidRPr="000C0E06" w:rsidRDefault="0025322A">
      <w:pPr>
        <w:rPr>
          <w:b/>
          <w:bCs/>
        </w:rPr>
      </w:pPr>
    </w:p>
    <w:p w14:paraId="3A84411A" w14:textId="77777777" w:rsidR="0025322A" w:rsidRPr="000C0E06" w:rsidRDefault="0025322A">
      <w:pPr>
        <w:rPr>
          <w:b/>
          <w:bCs/>
        </w:rPr>
      </w:pPr>
    </w:p>
    <w:p w14:paraId="02218546" w14:textId="77777777" w:rsidR="0025322A" w:rsidRPr="000C0E06" w:rsidRDefault="0025322A">
      <w:pPr>
        <w:rPr>
          <w:b/>
          <w:bCs/>
        </w:rPr>
      </w:pPr>
    </w:p>
    <w:p w14:paraId="07D18EE5" w14:textId="77777777" w:rsidR="0025322A" w:rsidRPr="000C0E06" w:rsidRDefault="0025322A">
      <w:pPr>
        <w:rPr>
          <w:b/>
          <w:bCs/>
        </w:rPr>
      </w:pPr>
    </w:p>
    <w:p w14:paraId="3FFDD1A2" w14:textId="77777777" w:rsidR="0025322A" w:rsidRPr="000C0E06" w:rsidRDefault="0025322A">
      <w:pPr>
        <w:rPr>
          <w:b/>
          <w:bCs/>
        </w:rPr>
      </w:pPr>
    </w:p>
    <w:p w14:paraId="0800533F" w14:textId="77777777" w:rsidR="0025322A" w:rsidRPr="000C0E06" w:rsidRDefault="0025322A">
      <w:pPr>
        <w:rPr>
          <w:b/>
          <w:bCs/>
        </w:rPr>
      </w:pPr>
    </w:p>
    <w:p w14:paraId="5A9E089E" w14:textId="77777777" w:rsidR="00B5310E" w:rsidRPr="000C0E06" w:rsidRDefault="00B5310E">
      <w:pPr>
        <w:rPr>
          <w:b/>
          <w:bCs/>
        </w:rPr>
      </w:pPr>
    </w:p>
    <w:p w14:paraId="31918F99" w14:textId="77777777" w:rsidR="00B5310E" w:rsidRPr="000C0E06" w:rsidRDefault="00B5310E">
      <w:pPr>
        <w:rPr>
          <w:b/>
          <w:bCs/>
        </w:rPr>
      </w:pPr>
    </w:p>
    <w:p w14:paraId="2155E4A3" w14:textId="77777777" w:rsidR="00E57FB4" w:rsidRPr="000C0E06" w:rsidRDefault="00E57FB4">
      <w:pPr>
        <w:rPr>
          <w:b/>
          <w:bCs/>
        </w:rPr>
      </w:pPr>
    </w:p>
    <w:tbl>
      <w:tblPr>
        <w:tblStyle w:val="TableGrid"/>
        <w:tblW w:w="9350" w:type="dxa"/>
        <w:tblLook w:val="04A0" w:firstRow="1" w:lastRow="0" w:firstColumn="1" w:lastColumn="0" w:noHBand="0" w:noVBand="1"/>
      </w:tblPr>
      <w:tblGrid>
        <w:gridCol w:w="2515"/>
        <w:gridCol w:w="6835"/>
      </w:tblGrid>
      <w:tr w:rsidR="00B5310E" w:rsidRPr="000C0E06" w14:paraId="772CF257" w14:textId="77777777" w:rsidTr="00B5310E">
        <w:tc>
          <w:tcPr>
            <w:tcW w:w="2515" w:type="dxa"/>
          </w:tcPr>
          <w:p w14:paraId="1919731E" w14:textId="1EC81D16" w:rsidR="00B5310E" w:rsidRPr="000C0E06" w:rsidRDefault="00B5310E" w:rsidP="00B5310E">
            <w:pPr>
              <w:rPr>
                <w:b/>
                <w:bCs/>
              </w:rPr>
            </w:pPr>
            <w:r w:rsidRPr="000C0E06">
              <w:rPr>
                <w:b/>
                <w:bCs/>
              </w:rPr>
              <w:t>Author</w:t>
            </w:r>
          </w:p>
        </w:tc>
        <w:tc>
          <w:tcPr>
            <w:tcW w:w="6835" w:type="dxa"/>
          </w:tcPr>
          <w:p w14:paraId="0061F40F" w14:textId="7E109F9E" w:rsidR="00B5310E" w:rsidRPr="000C0E06" w:rsidRDefault="00B5310E" w:rsidP="00B5310E">
            <w:pPr>
              <w:rPr>
                <w:b/>
                <w:bCs/>
              </w:rPr>
            </w:pPr>
            <w:r w:rsidRPr="000C0E06">
              <w:t>Anirban Chakrabarty</w:t>
            </w:r>
          </w:p>
        </w:tc>
      </w:tr>
      <w:tr w:rsidR="00B5310E" w:rsidRPr="000C0E06" w14:paraId="4B88C18E" w14:textId="77777777" w:rsidTr="00B5310E">
        <w:tc>
          <w:tcPr>
            <w:tcW w:w="2515" w:type="dxa"/>
          </w:tcPr>
          <w:p w14:paraId="50F5DB03" w14:textId="5EC86D4D" w:rsidR="00B5310E" w:rsidRPr="000C0E06" w:rsidRDefault="00B5310E" w:rsidP="00B5310E">
            <w:pPr>
              <w:rPr>
                <w:b/>
                <w:bCs/>
              </w:rPr>
            </w:pPr>
            <w:r w:rsidRPr="000C0E06">
              <w:rPr>
                <w:b/>
                <w:bCs/>
              </w:rPr>
              <w:t xml:space="preserve">zlD  </w:t>
            </w:r>
          </w:p>
        </w:tc>
        <w:tc>
          <w:tcPr>
            <w:tcW w:w="6835" w:type="dxa"/>
          </w:tcPr>
          <w:p w14:paraId="02DFEA78" w14:textId="4A161B62" w:rsidR="00B5310E" w:rsidRPr="000C0E06" w:rsidRDefault="00B5310E" w:rsidP="00B5310E">
            <w:pPr>
              <w:rPr>
                <w:b/>
                <w:bCs/>
              </w:rPr>
            </w:pPr>
            <w:r w:rsidRPr="000C0E06">
              <w:t>z5626947</w:t>
            </w:r>
          </w:p>
        </w:tc>
      </w:tr>
      <w:tr w:rsidR="00B5310E" w:rsidRPr="000C0E06" w14:paraId="42BECA8F" w14:textId="77777777" w:rsidTr="00B5310E">
        <w:tc>
          <w:tcPr>
            <w:tcW w:w="2515" w:type="dxa"/>
          </w:tcPr>
          <w:p w14:paraId="2AE52F89" w14:textId="4D255478" w:rsidR="00B5310E" w:rsidRPr="000C0E06" w:rsidRDefault="00B5310E" w:rsidP="00B5310E">
            <w:pPr>
              <w:rPr>
                <w:b/>
                <w:bCs/>
              </w:rPr>
            </w:pPr>
            <w:r w:rsidRPr="000C0E06">
              <w:rPr>
                <w:b/>
                <w:bCs/>
              </w:rPr>
              <w:t xml:space="preserve">Course </w:t>
            </w:r>
          </w:p>
        </w:tc>
        <w:tc>
          <w:tcPr>
            <w:tcW w:w="6835" w:type="dxa"/>
          </w:tcPr>
          <w:p w14:paraId="355D5597" w14:textId="2C265F94" w:rsidR="00B5310E" w:rsidRPr="000C0E06" w:rsidRDefault="00B5310E" w:rsidP="00B5310E">
            <w:pPr>
              <w:rPr>
                <w:b/>
                <w:bCs/>
              </w:rPr>
            </w:pPr>
            <w:r w:rsidRPr="000C0E06">
              <w:t>ZZBU6507-Data Visualization and Communication (H325 Online)</w:t>
            </w:r>
          </w:p>
        </w:tc>
      </w:tr>
      <w:tr w:rsidR="00B5310E" w:rsidRPr="000C0E06" w14:paraId="460616E6" w14:textId="77777777" w:rsidTr="00B5310E">
        <w:tc>
          <w:tcPr>
            <w:tcW w:w="2515" w:type="dxa"/>
          </w:tcPr>
          <w:p w14:paraId="71D1089F" w14:textId="572D7E64" w:rsidR="00B5310E" w:rsidRPr="000C0E06" w:rsidRDefault="00B5310E" w:rsidP="00B5310E">
            <w:pPr>
              <w:rPr>
                <w:b/>
                <w:bCs/>
              </w:rPr>
            </w:pPr>
            <w:r w:rsidRPr="000C0E06">
              <w:rPr>
                <w:b/>
                <w:bCs/>
              </w:rPr>
              <w:t xml:space="preserve">Tutorial Time </w:t>
            </w:r>
          </w:p>
        </w:tc>
        <w:tc>
          <w:tcPr>
            <w:tcW w:w="6835" w:type="dxa"/>
          </w:tcPr>
          <w:p w14:paraId="7B44AEB3" w14:textId="0756A310" w:rsidR="00B5310E" w:rsidRPr="000C0E06" w:rsidRDefault="00B5310E" w:rsidP="00B5310E">
            <w:pPr>
              <w:rPr>
                <w:b/>
                <w:bCs/>
              </w:rPr>
            </w:pPr>
            <w:r w:rsidRPr="000C0E06">
              <w:t>May - June 2025</w:t>
            </w:r>
          </w:p>
        </w:tc>
      </w:tr>
      <w:tr w:rsidR="00B5310E" w:rsidRPr="000C0E06" w14:paraId="253DD165" w14:textId="77777777" w:rsidTr="00B5310E">
        <w:tc>
          <w:tcPr>
            <w:tcW w:w="2515" w:type="dxa"/>
          </w:tcPr>
          <w:p w14:paraId="2F3105FA" w14:textId="21BA6366" w:rsidR="00B5310E" w:rsidRPr="000C0E06" w:rsidRDefault="00B5310E" w:rsidP="00B5310E">
            <w:pPr>
              <w:rPr>
                <w:b/>
                <w:bCs/>
              </w:rPr>
            </w:pPr>
            <w:r w:rsidRPr="000C0E06">
              <w:rPr>
                <w:b/>
                <w:bCs/>
              </w:rPr>
              <w:t xml:space="preserve">Tutor </w:t>
            </w:r>
          </w:p>
        </w:tc>
        <w:tc>
          <w:tcPr>
            <w:tcW w:w="6835" w:type="dxa"/>
          </w:tcPr>
          <w:p w14:paraId="06BF1F31" w14:textId="0683F795" w:rsidR="00B5310E" w:rsidRPr="000C0E06" w:rsidRDefault="00B5310E" w:rsidP="00B5310E">
            <w:pPr>
              <w:rPr>
                <w:b/>
                <w:bCs/>
              </w:rPr>
            </w:pPr>
            <w:r w:rsidRPr="000C0E06">
              <w:t>Dr. Khimji Vaghjiani</w:t>
            </w:r>
          </w:p>
        </w:tc>
      </w:tr>
      <w:tr w:rsidR="00B5310E" w:rsidRPr="000C0E06" w14:paraId="3B26A592" w14:textId="77777777" w:rsidTr="00B5310E">
        <w:tc>
          <w:tcPr>
            <w:tcW w:w="2515" w:type="dxa"/>
          </w:tcPr>
          <w:p w14:paraId="2064269A" w14:textId="54AAA343" w:rsidR="00B5310E" w:rsidRPr="000C0E06" w:rsidRDefault="00B5310E" w:rsidP="00B5310E">
            <w:pPr>
              <w:rPr>
                <w:b/>
                <w:bCs/>
              </w:rPr>
            </w:pPr>
            <w:r w:rsidRPr="000C0E06">
              <w:rPr>
                <w:b/>
                <w:bCs/>
              </w:rPr>
              <w:t>Date</w:t>
            </w:r>
          </w:p>
        </w:tc>
        <w:tc>
          <w:tcPr>
            <w:tcW w:w="6835" w:type="dxa"/>
          </w:tcPr>
          <w:p w14:paraId="3D29ACA6" w14:textId="314A4990" w:rsidR="00B5310E" w:rsidRPr="000C0E06" w:rsidRDefault="00DD4685" w:rsidP="00B5310E">
            <w:r>
              <w:t>2</w:t>
            </w:r>
            <w:r w:rsidR="00B5310E" w:rsidRPr="000C0E06">
              <w:t>/</w:t>
            </w:r>
            <w:r w:rsidR="00B5310E" w:rsidRPr="000C0E06">
              <w:t>June</w:t>
            </w:r>
            <w:r w:rsidR="00B5310E" w:rsidRPr="000C0E06">
              <w:t>/2025</w:t>
            </w:r>
          </w:p>
        </w:tc>
      </w:tr>
    </w:tbl>
    <w:p w14:paraId="64B6FC0F" w14:textId="77777777" w:rsidR="0025322A" w:rsidRPr="000C0E06" w:rsidRDefault="0025322A">
      <w:pPr>
        <w:rPr>
          <w:rFonts w:eastAsiaTheme="majorEastAsia" w:cstheme="majorBidi"/>
          <w:color w:val="0F4761" w:themeColor="accent1" w:themeShade="BF"/>
          <w:sz w:val="40"/>
          <w:szCs w:val="40"/>
        </w:rPr>
      </w:pPr>
      <w:r w:rsidRPr="000C0E06">
        <w:br w:type="page"/>
      </w:r>
    </w:p>
    <w:sdt>
      <w:sdtPr>
        <w:rPr>
          <w:rFonts w:ascii="Oxygen" w:hAnsi="Oxygen"/>
        </w:rPr>
        <w:id w:val="221176615"/>
        <w:docPartObj>
          <w:docPartGallery w:val="Table of Contents"/>
          <w:docPartUnique/>
        </w:docPartObj>
      </w:sdtPr>
      <w:sdtEndPr>
        <w:rPr>
          <w:rFonts w:eastAsiaTheme="minorHAnsi" w:cstheme="minorBidi"/>
          <w:b/>
          <w:bCs/>
          <w:noProof/>
          <w:color w:val="auto"/>
          <w:kern w:val="2"/>
          <w:sz w:val="22"/>
          <w:szCs w:val="22"/>
          <w14:ligatures w14:val="standardContextual"/>
        </w:rPr>
      </w:sdtEndPr>
      <w:sdtContent>
        <w:p w14:paraId="1C492E9A" w14:textId="1965726F" w:rsidR="000C0E06" w:rsidRPr="000C0E06" w:rsidRDefault="000C0E06">
          <w:pPr>
            <w:pStyle w:val="TOCHeading"/>
            <w:rPr>
              <w:rFonts w:ascii="Oxygen" w:hAnsi="Oxygen"/>
            </w:rPr>
          </w:pPr>
          <w:r w:rsidRPr="000C0E06">
            <w:rPr>
              <w:rFonts w:ascii="Oxygen" w:hAnsi="Oxygen"/>
            </w:rPr>
            <w:t>Contents</w:t>
          </w:r>
        </w:p>
        <w:p w14:paraId="3B60D9DA" w14:textId="75E7B279" w:rsidR="00CD3441" w:rsidRDefault="000C0E06">
          <w:pPr>
            <w:pStyle w:val="TOC1"/>
            <w:tabs>
              <w:tab w:val="right" w:leader="dot" w:pos="9350"/>
            </w:tabs>
            <w:rPr>
              <w:rFonts w:asciiTheme="minorHAnsi" w:eastAsiaTheme="minorEastAsia" w:hAnsiTheme="minorHAnsi"/>
              <w:noProof/>
              <w:sz w:val="24"/>
              <w:szCs w:val="24"/>
            </w:rPr>
          </w:pPr>
          <w:r w:rsidRPr="000C0E06">
            <w:fldChar w:fldCharType="begin"/>
          </w:r>
          <w:r w:rsidRPr="000C0E06">
            <w:instrText xml:space="preserve"> TOC \o "1-3" \h \z \u </w:instrText>
          </w:r>
          <w:r w:rsidRPr="000C0E06">
            <w:fldChar w:fldCharType="separate"/>
          </w:r>
          <w:hyperlink w:anchor="_Toc199716711" w:history="1">
            <w:r w:rsidR="00CD3441" w:rsidRPr="00030512">
              <w:rPr>
                <w:rStyle w:val="Hyperlink"/>
                <w:noProof/>
              </w:rPr>
              <w:t>Presentation of Data Visualizations</w:t>
            </w:r>
            <w:r w:rsidR="00CD3441">
              <w:rPr>
                <w:noProof/>
                <w:webHidden/>
              </w:rPr>
              <w:tab/>
            </w:r>
            <w:r w:rsidR="00CD3441">
              <w:rPr>
                <w:noProof/>
                <w:webHidden/>
              </w:rPr>
              <w:fldChar w:fldCharType="begin"/>
            </w:r>
            <w:r w:rsidR="00CD3441">
              <w:rPr>
                <w:noProof/>
                <w:webHidden/>
              </w:rPr>
              <w:instrText xml:space="preserve"> PAGEREF _Toc199716711 \h </w:instrText>
            </w:r>
            <w:r w:rsidR="00CD3441">
              <w:rPr>
                <w:noProof/>
                <w:webHidden/>
              </w:rPr>
            </w:r>
            <w:r w:rsidR="00CD3441">
              <w:rPr>
                <w:noProof/>
                <w:webHidden/>
              </w:rPr>
              <w:fldChar w:fldCharType="separate"/>
            </w:r>
            <w:r w:rsidR="00CD3441">
              <w:rPr>
                <w:noProof/>
                <w:webHidden/>
              </w:rPr>
              <w:t>3</w:t>
            </w:r>
            <w:r w:rsidR="00CD3441">
              <w:rPr>
                <w:noProof/>
                <w:webHidden/>
              </w:rPr>
              <w:fldChar w:fldCharType="end"/>
            </w:r>
          </w:hyperlink>
        </w:p>
        <w:p w14:paraId="0D924296" w14:textId="7E1D4183" w:rsidR="00CD3441" w:rsidRDefault="00CD3441">
          <w:pPr>
            <w:pStyle w:val="TOC2"/>
            <w:tabs>
              <w:tab w:val="left" w:pos="720"/>
              <w:tab w:val="right" w:leader="dot" w:pos="9350"/>
            </w:tabs>
            <w:rPr>
              <w:rFonts w:asciiTheme="minorHAnsi" w:eastAsiaTheme="minorEastAsia" w:hAnsiTheme="minorHAnsi"/>
              <w:noProof/>
              <w:sz w:val="24"/>
              <w:szCs w:val="24"/>
            </w:rPr>
          </w:pPr>
          <w:hyperlink w:anchor="_Toc199716712" w:history="1">
            <w:r w:rsidRPr="00030512">
              <w:rPr>
                <w:rStyle w:val="Hyperlink"/>
                <w:noProof/>
              </w:rPr>
              <w:t>1.</w:t>
            </w:r>
            <w:r>
              <w:rPr>
                <w:rFonts w:asciiTheme="minorHAnsi" w:eastAsiaTheme="minorEastAsia" w:hAnsiTheme="minorHAnsi"/>
                <w:noProof/>
                <w:sz w:val="24"/>
                <w:szCs w:val="24"/>
              </w:rPr>
              <w:tab/>
            </w:r>
            <w:r w:rsidRPr="00030512">
              <w:rPr>
                <w:rStyle w:val="Hyperlink"/>
                <w:noProof/>
              </w:rPr>
              <w:t>Per Capita GDP vs Energy Consumption</w:t>
            </w:r>
            <w:r>
              <w:rPr>
                <w:noProof/>
                <w:webHidden/>
              </w:rPr>
              <w:tab/>
            </w:r>
            <w:r>
              <w:rPr>
                <w:noProof/>
                <w:webHidden/>
              </w:rPr>
              <w:fldChar w:fldCharType="begin"/>
            </w:r>
            <w:r>
              <w:rPr>
                <w:noProof/>
                <w:webHidden/>
              </w:rPr>
              <w:instrText xml:space="preserve"> PAGEREF _Toc199716712 \h </w:instrText>
            </w:r>
            <w:r>
              <w:rPr>
                <w:noProof/>
                <w:webHidden/>
              </w:rPr>
            </w:r>
            <w:r>
              <w:rPr>
                <w:noProof/>
                <w:webHidden/>
              </w:rPr>
              <w:fldChar w:fldCharType="separate"/>
            </w:r>
            <w:r>
              <w:rPr>
                <w:noProof/>
                <w:webHidden/>
              </w:rPr>
              <w:t>3</w:t>
            </w:r>
            <w:r>
              <w:rPr>
                <w:noProof/>
                <w:webHidden/>
              </w:rPr>
              <w:fldChar w:fldCharType="end"/>
            </w:r>
          </w:hyperlink>
        </w:p>
        <w:p w14:paraId="3F11256C" w14:textId="5B6C2E12" w:rsidR="00CD3441" w:rsidRDefault="00CD3441">
          <w:pPr>
            <w:pStyle w:val="TOC2"/>
            <w:tabs>
              <w:tab w:val="left" w:pos="720"/>
              <w:tab w:val="right" w:leader="dot" w:pos="9350"/>
            </w:tabs>
            <w:rPr>
              <w:rFonts w:asciiTheme="minorHAnsi" w:eastAsiaTheme="minorEastAsia" w:hAnsiTheme="minorHAnsi"/>
              <w:noProof/>
              <w:sz w:val="24"/>
              <w:szCs w:val="24"/>
            </w:rPr>
          </w:pPr>
          <w:hyperlink w:anchor="_Toc199716713" w:history="1">
            <w:r w:rsidRPr="00030512">
              <w:rPr>
                <w:rStyle w:val="Hyperlink"/>
                <w:noProof/>
              </w:rPr>
              <w:t>2.</w:t>
            </w:r>
            <w:r>
              <w:rPr>
                <w:rFonts w:asciiTheme="minorHAnsi" w:eastAsiaTheme="minorEastAsia" w:hAnsiTheme="minorHAnsi"/>
                <w:noProof/>
                <w:sz w:val="24"/>
                <w:szCs w:val="24"/>
              </w:rPr>
              <w:tab/>
            </w:r>
            <w:r w:rsidRPr="00030512">
              <w:rPr>
                <w:rStyle w:val="Hyperlink"/>
                <w:noProof/>
              </w:rPr>
              <w:t>Sector-Wise Consumption: Reusable vs Nonreusable Energy</w:t>
            </w:r>
            <w:r>
              <w:rPr>
                <w:noProof/>
                <w:webHidden/>
              </w:rPr>
              <w:tab/>
            </w:r>
            <w:r>
              <w:rPr>
                <w:noProof/>
                <w:webHidden/>
              </w:rPr>
              <w:fldChar w:fldCharType="begin"/>
            </w:r>
            <w:r>
              <w:rPr>
                <w:noProof/>
                <w:webHidden/>
              </w:rPr>
              <w:instrText xml:space="preserve"> PAGEREF _Toc199716713 \h </w:instrText>
            </w:r>
            <w:r>
              <w:rPr>
                <w:noProof/>
                <w:webHidden/>
              </w:rPr>
            </w:r>
            <w:r>
              <w:rPr>
                <w:noProof/>
                <w:webHidden/>
              </w:rPr>
              <w:fldChar w:fldCharType="separate"/>
            </w:r>
            <w:r>
              <w:rPr>
                <w:noProof/>
                <w:webHidden/>
              </w:rPr>
              <w:t>4</w:t>
            </w:r>
            <w:r>
              <w:rPr>
                <w:noProof/>
                <w:webHidden/>
              </w:rPr>
              <w:fldChar w:fldCharType="end"/>
            </w:r>
          </w:hyperlink>
        </w:p>
        <w:p w14:paraId="0FD56B2A" w14:textId="1D652779" w:rsidR="00CD3441" w:rsidRDefault="00CD3441">
          <w:pPr>
            <w:pStyle w:val="TOC1"/>
            <w:tabs>
              <w:tab w:val="right" w:leader="dot" w:pos="9350"/>
            </w:tabs>
            <w:rPr>
              <w:rFonts w:asciiTheme="minorHAnsi" w:eastAsiaTheme="minorEastAsia" w:hAnsiTheme="minorHAnsi"/>
              <w:noProof/>
              <w:sz w:val="24"/>
              <w:szCs w:val="24"/>
            </w:rPr>
          </w:pPr>
          <w:hyperlink w:anchor="_Toc199716714" w:history="1">
            <w:r w:rsidRPr="00030512">
              <w:rPr>
                <w:rStyle w:val="Hyperlink"/>
                <w:noProof/>
              </w:rPr>
              <w:t>Analysis and Critique</w:t>
            </w:r>
            <w:r>
              <w:rPr>
                <w:noProof/>
                <w:webHidden/>
              </w:rPr>
              <w:tab/>
            </w:r>
            <w:r>
              <w:rPr>
                <w:noProof/>
                <w:webHidden/>
              </w:rPr>
              <w:fldChar w:fldCharType="begin"/>
            </w:r>
            <w:r>
              <w:rPr>
                <w:noProof/>
                <w:webHidden/>
              </w:rPr>
              <w:instrText xml:space="preserve"> PAGEREF _Toc199716714 \h </w:instrText>
            </w:r>
            <w:r>
              <w:rPr>
                <w:noProof/>
                <w:webHidden/>
              </w:rPr>
            </w:r>
            <w:r>
              <w:rPr>
                <w:noProof/>
                <w:webHidden/>
              </w:rPr>
              <w:fldChar w:fldCharType="separate"/>
            </w:r>
            <w:r>
              <w:rPr>
                <w:noProof/>
                <w:webHidden/>
              </w:rPr>
              <w:t>5</w:t>
            </w:r>
            <w:r>
              <w:rPr>
                <w:noProof/>
                <w:webHidden/>
              </w:rPr>
              <w:fldChar w:fldCharType="end"/>
            </w:r>
          </w:hyperlink>
        </w:p>
        <w:p w14:paraId="097CF650" w14:textId="5E8CDF2A" w:rsidR="00CD3441" w:rsidRDefault="00CD3441">
          <w:pPr>
            <w:pStyle w:val="TOC2"/>
            <w:tabs>
              <w:tab w:val="left" w:pos="720"/>
              <w:tab w:val="right" w:leader="dot" w:pos="9350"/>
            </w:tabs>
            <w:rPr>
              <w:rFonts w:asciiTheme="minorHAnsi" w:eastAsiaTheme="minorEastAsia" w:hAnsiTheme="minorHAnsi"/>
              <w:noProof/>
              <w:sz w:val="24"/>
              <w:szCs w:val="24"/>
            </w:rPr>
          </w:pPr>
          <w:hyperlink w:anchor="_Toc199716715" w:history="1">
            <w:r w:rsidRPr="00030512">
              <w:rPr>
                <w:rStyle w:val="Hyperlink"/>
                <w:noProof/>
              </w:rPr>
              <w:t>1.</w:t>
            </w:r>
            <w:r>
              <w:rPr>
                <w:rFonts w:asciiTheme="minorHAnsi" w:eastAsiaTheme="minorEastAsia" w:hAnsiTheme="minorHAnsi"/>
                <w:noProof/>
                <w:sz w:val="24"/>
                <w:szCs w:val="24"/>
              </w:rPr>
              <w:tab/>
            </w:r>
            <w:r w:rsidRPr="00030512">
              <w:rPr>
                <w:rStyle w:val="Hyperlink"/>
                <w:noProof/>
              </w:rPr>
              <w:t>Per Capita GDP vs Energy Consumption</w:t>
            </w:r>
            <w:r>
              <w:rPr>
                <w:noProof/>
                <w:webHidden/>
              </w:rPr>
              <w:tab/>
            </w:r>
            <w:r>
              <w:rPr>
                <w:noProof/>
                <w:webHidden/>
              </w:rPr>
              <w:fldChar w:fldCharType="begin"/>
            </w:r>
            <w:r>
              <w:rPr>
                <w:noProof/>
                <w:webHidden/>
              </w:rPr>
              <w:instrText xml:space="preserve"> PAGEREF _Toc199716715 \h </w:instrText>
            </w:r>
            <w:r>
              <w:rPr>
                <w:noProof/>
                <w:webHidden/>
              </w:rPr>
            </w:r>
            <w:r>
              <w:rPr>
                <w:noProof/>
                <w:webHidden/>
              </w:rPr>
              <w:fldChar w:fldCharType="separate"/>
            </w:r>
            <w:r>
              <w:rPr>
                <w:noProof/>
                <w:webHidden/>
              </w:rPr>
              <w:t>5</w:t>
            </w:r>
            <w:r>
              <w:rPr>
                <w:noProof/>
                <w:webHidden/>
              </w:rPr>
              <w:fldChar w:fldCharType="end"/>
            </w:r>
          </w:hyperlink>
        </w:p>
        <w:p w14:paraId="1A021C8D" w14:textId="7E72512C" w:rsidR="00CD3441" w:rsidRDefault="00CD3441">
          <w:pPr>
            <w:pStyle w:val="TOC3"/>
            <w:tabs>
              <w:tab w:val="right" w:leader="dot" w:pos="9350"/>
            </w:tabs>
            <w:rPr>
              <w:rFonts w:asciiTheme="minorHAnsi" w:eastAsiaTheme="minorEastAsia" w:hAnsiTheme="minorHAnsi"/>
              <w:noProof/>
              <w:sz w:val="24"/>
              <w:szCs w:val="24"/>
            </w:rPr>
          </w:pPr>
          <w:hyperlink w:anchor="_Toc199716716" w:history="1">
            <w:r w:rsidRPr="00030512">
              <w:rPr>
                <w:rStyle w:val="Hyperlink"/>
                <w:noProof/>
              </w:rPr>
              <w:t>Design, Legibility, and Usability</w:t>
            </w:r>
            <w:r>
              <w:rPr>
                <w:noProof/>
                <w:webHidden/>
              </w:rPr>
              <w:tab/>
            </w:r>
            <w:r>
              <w:rPr>
                <w:noProof/>
                <w:webHidden/>
              </w:rPr>
              <w:fldChar w:fldCharType="begin"/>
            </w:r>
            <w:r>
              <w:rPr>
                <w:noProof/>
                <w:webHidden/>
              </w:rPr>
              <w:instrText xml:space="preserve"> PAGEREF _Toc199716716 \h </w:instrText>
            </w:r>
            <w:r>
              <w:rPr>
                <w:noProof/>
                <w:webHidden/>
              </w:rPr>
            </w:r>
            <w:r>
              <w:rPr>
                <w:noProof/>
                <w:webHidden/>
              </w:rPr>
              <w:fldChar w:fldCharType="separate"/>
            </w:r>
            <w:r>
              <w:rPr>
                <w:noProof/>
                <w:webHidden/>
              </w:rPr>
              <w:t>5</w:t>
            </w:r>
            <w:r>
              <w:rPr>
                <w:noProof/>
                <w:webHidden/>
              </w:rPr>
              <w:fldChar w:fldCharType="end"/>
            </w:r>
          </w:hyperlink>
        </w:p>
        <w:p w14:paraId="5E0E1D9F" w14:textId="081C3E90" w:rsidR="00CD3441" w:rsidRDefault="00CD3441">
          <w:pPr>
            <w:pStyle w:val="TOC3"/>
            <w:tabs>
              <w:tab w:val="right" w:leader="dot" w:pos="9350"/>
            </w:tabs>
            <w:rPr>
              <w:rFonts w:asciiTheme="minorHAnsi" w:eastAsiaTheme="minorEastAsia" w:hAnsiTheme="minorHAnsi"/>
              <w:noProof/>
              <w:sz w:val="24"/>
              <w:szCs w:val="24"/>
            </w:rPr>
          </w:pPr>
          <w:hyperlink w:anchor="_Toc199716717" w:history="1">
            <w:r w:rsidRPr="00030512">
              <w:rPr>
                <w:rStyle w:val="Hyperlink"/>
                <w:noProof/>
              </w:rPr>
              <w:t>Overall Efficacy</w:t>
            </w:r>
            <w:r>
              <w:rPr>
                <w:noProof/>
                <w:webHidden/>
              </w:rPr>
              <w:tab/>
            </w:r>
            <w:r>
              <w:rPr>
                <w:noProof/>
                <w:webHidden/>
              </w:rPr>
              <w:fldChar w:fldCharType="begin"/>
            </w:r>
            <w:r>
              <w:rPr>
                <w:noProof/>
                <w:webHidden/>
              </w:rPr>
              <w:instrText xml:space="preserve"> PAGEREF _Toc199716717 \h </w:instrText>
            </w:r>
            <w:r>
              <w:rPr>
                <w:noProof/>
                <w:webHidden/>
              </w:rPr>
            </w:r>
            <w:r>
              <w:rPr>
                <w:noProof/>
                <w:webHidden/>
              </w:rPr>
              <w:fldChar w:fldCharType="separate"/>
            </w:r>
            <w:r>
              <w:rPr>
                <w:noProof/>
                <w:webHidden/>
              </w:rPr>
              <w:t>5</w:t>
            </w:r>
            <w:r>
              <w:rPr>
                <w:noProof/>
                <w:webHidden/>
              </w:rPr>
              <w:fldChar w:fldCharType="end"/>
            </w:r>
          </w:hyperlink>
        </w:p>
        <w:p w14:paraId="5E9332C7" w14:textId="39675763" w:rsidR="00CD3441" w:rsidRDefault="00CD3441">
          <w:pPr>
            <w:pStyle w:val="TOC3"/>
            <w:tabs>
              <w:tab w:val="right" w:leader="dot" w:pos="9350"/>
            </w:tabs>
            <w:rPr>
              <w:rFonts w:asciiTheme="minorHAnsi" w:eastAsiaTheme="minorEastAsia" w:hAnsiTheme="minorHAnsi"/>
              <w:noProof/>
              <w:sz w:val="24"/>
              <w:szCs w:val="24"/>
            </w:rPr>
          </w:pPr>
          <w:hyperlink w:anchor="_Toc199716718" w:history="1">
            <w:r w:rsidRPr="00030512">
              <w:rPr>
                <w:rStyle w:val="Hyperlink"/>
                <w:noProof/>
              </w:rPr>
              <w:t>Recommendations</w:t>
            </w:r>
            <w:r>
              <w:rPr>
                <w:noProof/>
                <w:webHidden/>
              </w:rPr>
              <w:tab/>
            </w:r>
            <w:r>
              <w:rPr>
                <w:noProof/>
                <w:webHidden/>
              </w:rPr>
              <w:fldChar w:fldCharType="begin"/>
            </w:r>
            <w:r>
              <w:rPr>
                <w:noProof/>
                <w:webHidden/>
              </w:rPr>
              <w:instrText xml:space="preserve"> PAGEREF _Toc199716718 \h </w:instrText>
            </w:r>
            <w:r>
              <w:rPr>
                <w:noProof/>
                <w:webHidden/>
              </w:rPr>
            </w:r>
            <w:r>
              <w:rPr>
                <w:noProof/>
                <w:webHidden/>
              </w:rPr>
              <w:fldChar w:fldCharType="separate"/>
            </w:r>
            <w:r>
              <w:rPr>
                <w:noProof/>
                <w:webHidden/>
              </w:rPr>
              <w:t>5</w:t>
            </w:r>
            <w:r>
              <w:rPr>
                <w:noProof/>
                <w:webHidden/>
              </w:rPr>
              <w:fldChar w:fldCharType="end"/>
            </w:r>
          </w:hyperlink>
        </w:p>
        <w:p w14:paraId="500FEA36" w14:textId="385EE21A" w:rsidR="00CD3441" w:rsidRDefault="00CD3441">
          <w:pPr>
            <w:pStyle w:val="TOC2"/>
            <w:tabs>
              <w:tab w:val="left" w:pos="720"/>
              <w:tab w:val="right" w:leader="dot" w:pos="9350"/>
            </w:tabs>
            <w:rPr>
              <w:rFonts w:asciiTheme="minorHAnsi" w:eastAsiaTheme="minorEastAsia" w:hAnsiTheme="minorHAnsi"/>
              <w:noProof/>
              <w:sz w:val="24"/>
              <w:szCs w:val="24"/>
            </w:rPr>
          </w:pPr>
          <w:hyperlink w:anchor="_Toc199716719" w:history="1">
            <w:r w:rsidRPr="00030512">
              <w:rPr>
                <w:rStyle w:val="Hyperlink"/>
                <w:noProof/>
              </w:rPr>
              <w:t>2.</w:t>
            </w:r>
            <w:r>
              <w:rPr>
                <w:rFonts w:asciiTheme="minorHAnsi" w:eastAsiaTheme="minorEastAsia" w:hAnsiTheme="minorHAnsi"/>
                <w:noProof/>
                <w:sz w:val="24"/>
                <w:szCs w:val="24"/>
              </w:rPr>
              <w:tab/>
            </w:r>
            <w:r w:rsidRPr="00030512">
              <w:rPr>
                <w:rStyle w:val="Hyperlink"/>
                <w:noProof/>
              </w:rPr>
              <w:t>Sector-Wise Consumption: Renewable vs Nonrenewable</w:t>
            </w:r>
            <w:r>
              <w:rPr>
                <w:noProof/>
                <w:webHidden/>
              </w:rPr>
              <w:tab/>
            </w:r>
            <w:r>
              <w:rPr>
                <w:noProof/>
                <w:webHidden/>
              </w:rPr>
              <w:fldChar w:fldCharType="begin"/>
            </w:r>
            <w:r>
              <w:rPr>
                <w:noProof/>
                <w:webHidden/>
              </w:rPr>
              <w:instrText xml:space="preserve"> PAGEREF _Toc199716719 \h </w:instrText>
            </w:r>
            <w:r>
              <w:rPr>
                <w:noProof/>
                <w:webHidden/>
              </w:rPr>
            </w:r>
            <w:r>
              <w:rPr>
                <w:noProof/>
                <w:webHidden/>
              </w:rPr>
              <w:fldChar w:fldCharType="separate"/>
            </w:r>
            <w:r>
              <w:rPr>
                <w:noProof/>
                <w:webHidden/>
              </w:rPr>
              <w:t>6</w:t>
            </w:r>
            <w:r>
              <w:rPr>
                <w:noProof/>
                <w:webHidden/>
              </w:rPr>
              <w:fldChar w:fldCharType="end"/>
            </w:r>
          </w:hyperlink>
        </w:p>
        <w:p w14:paraId="0D99055E" w14:textId="5D148090" w:rsidR="00CD3441" w:rsidRDefault="00CD3441">
          <w:pPr>
            <w:pStyle w:val="TOC3"/>
            <w:tabs>
              <w:tab w:val="right" w:leader="dot" w:pos="9350"/>
            </w:tabs>
            <w:rPr>
              <w:rFonts w:asciiTheme="minorHAnsi" w:eastAsiaTheme="minorEastAsia" w:hAnsiTheme="minorHAnsi"/>
              <w:noProof/>
              <w:sz w:val="24"/>
              <w:szCs w:val="24"/>
            </w:rPr>
          </w:pPr>
          <w:hyperlink w:anchor="_Toc199716720" w:history="1">
            <w:r w:rsidRPr="00030512">
              <w:rPr>
                <w:rStyle w:val="Hyperlink"/>
                <w:noProof/>
              </w:rPr>
              <w:t>Design, Legibility, and Usability</w:t>
            </w:r>
            <w:r>
              <w:rPr>
                <w:noProof/>
                <w:webHidden/>
              </w:rPr>
              <w:tab/>
            </w:r>
            <w:r>
              <w:rPr>
                <w:noProof/>
                <w:webHidden/>
              </w:rPr>
              <w:fldChar w:fldCharType="begin"/>
            </w:r>
            <w:r>
              <w:rPr>
                <w:noProof/>
                <w:webHidden/>
              </w:rPr>
              <w:instrText xml:space="preserve"> PAGEREF _Toc199716720 \h </w:instrText>
            </w:r>
            <w:r>
              <w:rPr>
                <w:noProof/>
                <w:webHidden/>
              </w:rPr>
            </w:r>
            <w:r>
              <w:rPr>
                <w:noProof/>
                <w:webHidden/>
              </w:rPr>
              <w:fldChar w:fldCharType="separate"/>
            </w:r>
            <w:r>
              <w:rPr>
                <w:noProof/>
                <w:webHidden/>
              </w:rPr>
              <w:t>6</w:t>
            </w:r>
            <w:r>
              <w:rPr>
                <w:noProof/>
                <w:webHidden/>
              </w:rPr>
              <w:fldChar w:fldCharType="end"/>
            </w:r>
          </w:hyperlink>
        </w:p>
        <w:p w14:paraId="426FA244" w14:textId="77DE4567" w:rsidR="00CD3441" w:rsidRDefault="00CD3441">
          <w:pPr>
            <w:pStyle w:val="TOC3"/>
            <w:tabs>
              <w:tab w:val="right" w:leader="dot" w:pos="9350"/>
            </w:tabs>
            <w:rPr>
              <w:rFonts w:asciiTheme="minorHAnsi" w:eastAsiaTheme="minorEastAsia" w:hAnsiTheme="minorHAnsi"/>
              <w:noProof/>
              <w:sz w:val="24"/>
              <w:szCs w:val="24"/>
            </w:rPr>
          </w:pPr>
          <w:hyperlink w:anchor="_Toc199716721" w:history="1">
            <w:r w:rsidRPr="00030512">
              <w:rPr>
                <w:rStyle w:val="Hyperlink"/>
                <w:noProof/>
              </w:rPr>
              <w:t>Overall Efficacy</w:t>
            </w:r>
            <w:r>
              <w:rPr>
                <w:noProof/>
                <w:webHidden/>
              </w:rPr>
              <w:tab/>
            </w:r>
            <w:r>
              <w:rPr>
                <w:noProof/>
                <w:webHidden/>
              </w:rPr>
              <w:fldChar w:fldCharType="begin"/>
            </w:r>
            <w:r>
              <w:rPr>
                <w:noProof/>
                <w:webHidden/>
              </w:rPr>
              <w:instrText xml:space="preserve"> PAGEREF _Toc199716721 \h </w:instrText>
            </w:r>
            <w:r>
              <w:rPr>
                <w:noProof/>
                <w:webHidden/>
              </w:rPr>
            </w:r>
            <w:r>
              <w:rPr>
                <w:noProof/>
                <w:webHidden/>
              </w:rPr>
              <w:fldChar w:fldCharType="separate"/>
            </w:r>
            <w:r>
              <w:rPr>
                <w:noProof/>
                <w:webHidden/>
              </w:rPr>
              <w:t>6</w:t>
            </w:r>
            <w:r>
              <w:rPr>
                <w:noProof/>
                <w:webHidden/>
              </w:rPr>
              <w:fldChar w:fldCharType="end"/>
            </w:r>
          </w:hyperlink>
        </w:p>
        <w:p w14:paraId="4FB0F09B" w14:textId="33AC2B5E" w:rsidR="00CD3441" w:rsidRDefault="00CD3441">
          <w:pPr>
            <w:pStyle w:val="TOC3"/>
            <w:tabs>
              <w:tab w:val="right" w:leader="dot" w:pos="9350"/>
            </w:tabs>
            <w:rPr>
              <w:rFonts w:asciiTheme="minorHAnsi" w:eastAsiaTheme="minorEastAsia" w:hAnsiTheme="minorHAnsi"/>
              <w:noProof/>
              <w:sz w:val="24"/>
              <w:szCs w:val="24"/>
            </w:rPr>
          </w:pPr>
          <w:hyperlink w:anchor="_Toc199716722" w:history="1">
            <w:r w:rsidRPr="00030512">
              <w:rPr>
                <w:rStyle w:val="Hyperlink"/>
                <w:noProof/>
              </w:rPr>
              <w:t>Recommendations</w:t>
            </w:r>
            <w:r>
              <w:rPr>
                <w:noProof/>
                <w:webHidden/>
              </w:rPr>
              <w:tab/>
            </w:r>
            <w:r>
              <w:rPr>
                <w:noProof/>
                <w:webHidden/>
              </w:rPr>
              <w:fldChar w:fldCharType="begin"/>
            </w:r>
            <w:r>
              <w:rPr>
                <w:noProof/>
                <w:webHidden/>
              </w:rPr>
              <w:instrText xml:space="preserve"> PAGEREF _Toc199716722 \h </w:instrText>
            </w:r>
            <w:r>
              <w:rPr>
                <w:noProof/>
                <w:webHidden/>
              </w:rPr>
            </w:r>
            <w:r>
              <w:rPr>
                <w:noProof/>
                <w:webHidden/>
              </w:rPr>
              <w:fldChar w:fldCharType="separate"/>
            </w:r>
            <w:r>
              <w:rPr>
                <w:noProof/>
                <w:webHidden/>
              </w:rPr>
              <w:t>6</w:t>
            </w:r>
            <w:r>
              <w:rPr>
                <w:noProof/>
                <w:webHidden/>
              </w:rPr>
              <w:fldChar w:fldCharType="end"/>
            </w:r>
          </w:hyperlink>
        </w:p>
        <w:p w14:paraId="520B4558" w14:textId="2883D01B" w:rsidR="00CD3441" w:rsidRDefault="00CD3441">
          <w:pPr>
            <w:pStyle w:val="TOC1"/>
            <w:tabs>
              <w:tab w:val="right" w:leader="dot" w:pos="9350"/>
            </w:tabs>
            <w:rPr>
              <w:rFonts w:asciiTheme="minorHAnsi" w:eastAsiaTheme="minorEastAsia" w:hAnsiTheme="minorHAnsi"/>
              <w:noProof/>
              <w:sz w:val="24"/>
              <w:szCs w:val="24"/>
            </w:rPr>
          </w:pPr>
          <w:hyperlink w:anchor="_Toc199716723" w:history="1">
            <w:r w:rsidRPr="00030512">
              <w:rPr>
                <w:rStyle w:val="Hyperlink"/>
                <w:noProof/>
              </w:rPr>
              <w:t>Self-Reflection</w:t>
            </w:r>
            <w:r>
              <w:rPr>
                <w:noProof/>
                <w:webHidden/>
              </w:rPr>
              <w:tab/>
            </w:r>
            <w:r>
              <w:rPr>
                <w:noProof/>
                <w:webHidden/>
              </w:rPr>
              <w:fldChar w:fldCharType="begin"/>
            </w:r>
            <w:r>
              <w:rPr>
                <w:noProof/>
                <w:webHidden/>
              </w:rPr>
              <w:instrText xml:space="preserve"> PAGEREF _Toc199716723 \h </w:instrText>
            </w:r>
            <w:r>
              <w:rPr>
                <w:noProof/>
                <w:webHidden/>
              </w:rPr>
            </w:r>
            <w:r>
              <w:rPr>
                <w:noProof/>
                <w:webHidden/>
              </w:rPr>
              <w:fldChar w:fldCharType="separate"/>
            </w:r>
            <w:r>
              <w:rPr>
                <w:noProof/>
                <w:webHidden/>
              </w:rPr>
              <w:t>6</w:t>
            </w:r>
            <w:r>
              <w:rPr>
                <w:noProof/>
                <w:webHidden/>
              </w:rPr>
              <w:fldChar w:fldCharType="end"/>
            </w:r>
          </w:hyperlink>
        </w:p>
        <w:p w14:paraId="15703569" w14:textId="30C6F91F" w:rsidR="00CD3441" w:rsidRDefault="00CD3441">
          <w:pPr>
            <w:pStyle w:val="TOC1"/>
            <w:tabs>
              <w:tab w:val="right" w:leader="dot" w:pos="9350"/>
            </w:tabs>
            <w:rPr>
              <w:rFonts w:asciiTheme="minorHAnsi" w:eastAsiaTheme="minorEastAsia" w:hAnsiTheme="minorHAnsi"/>
              <w:noProof/>
              <w:sz w:val="24"/>
              <w:szCs w:val="24"/>
            </w:rPr>
          </w:pPr>
          <w:hyperlink w:anchor="_Toc199716724" w:history="1">
            <w:r w:rsidRPr="00030512">
              <w:rPr>
                <w:rStyle w:val="Hyperlink"/>
                <w:noProof/>
              </w:rPr>
              <w:t>Conclusion</w:t>
            </w:r>
            <w:r>
              <w:rPr>
                <w:noProof/>
                <w:webHidden/>
              </w:rPr>
              <w:tab/>
            </w:r>
            <w:r>
              <w:rPr>
                <w:noProof/>
                <w:webHidden/>
              </w:rPr>
              <w:fldChar w:fldCharType="begin"/>
            </w:r>
            <w:r>
              <w:rPr>
                <w:noProof/>
                <w:webHidden/>
              </w:rPr>
              <w:instrText xml:space="preserve"> PAGEREF _Toc199716724 \h </w:instrText>
            </w:r>
            <w:r>
              <w:rPr>
                <w:noProof/>
                <w:webHidden/>
              </w:rPr>
            </w:r>
            <w:r>
              <w:rPr>
                <w:noProof/>
                <w:webHidden/>
              </w:rPr>
              <w:fldChar w:fldCharType="separate"/>
            </w:r>
            <w:r>
              <w:rPr>
                <w:noProof/>
                <w:webHidden/>
              </w:rPr>
              <w:t>7</w:t>
            </w:r>
            <w:r>
              <w:rPr>
                <w:noProof/>
                <w:webHidden/>
              </w:rPr>
              <w:fldChar w:fldCharType="end"/>
            </w:r>
          </w:hyperlink>
        </w:p>
        <w:p w14:paraId="0CBDBAF7" w14:textId="0F1D1CD9" w:rsidR="00CD3441" w:rsidRDefault="00CD3441">
          <w:pPr>
            <w:pStyle w:val="TOC1"/>
            <w:tabs>
              <w:tab w:val="right" w:leader="dot" w:pos="9350"/>
            </w:tabs>
            <w:rPr>
              <w:rFonts w:asciiTheme="minorHAnsi" w:eastAsiaTheme="minorEastAsia" w:hAnsiTheme="minorHAnsi"/>
              <w:noProof/>
              <w:sz w:val="24"/>
              <w:szCs w:val="24"/>
            </w:rPr>
          </w:pPr>
          <w:hyperlink w:anchor="_Toc199716725" w:history="1">
            <w:r w:rsidRPr="00030512">
              <w:rPr>
                <w:rStyle w:val="Hyperlink"/>
                <w:noProof/>
              </w:rPr>
              <w:t>References</w:t>
            </w:r>
            <w:r>
              <w:rPr>
                <w:noProof/>
                <w:webHidden/>
              </w:rPr>
              <w:tab/>
            </w:r>
            <w:r>
              <w:rPr>
                <w:noProof/>
                <w:webHidden/>
              </w:rPr>
              <w:fldChar w:fldCharType="begin"/>
            </w:r>
            <w:r>
              <w:rPr>
                <w:noProof/>
                <w:webHidden/>
              </w:rPr>
              <w:instrText xml:space="preserve"> PAGEREF _Toc199716725 \h </w:instrText>
            </w:r>
            <w:r>
              <w:rPr>
                <w:noProof/>
                <w:webHidden/>
              </w:rPr>
            </w:r>
            <w:r>
              <w:rPr>
                <w:noProof/>
                <w:webHidden/>
              </w:rPr>
              <w:fldChar w:fldCharType="separate"/>
            </w:r>
            <w:r>
              <w:rPr>
                <w:noProof/>
                <w:webHidden/>
              </w:rPr>
              <w:t>7</w:t>
            </w:r>
            <w:r>
              <w:rPr>
                <w:noProof/>
                <w:webHidden/>
              </w:rPr>
              <w:fldChar w:fldCharType="end"/>
            </w:r>
          </w:hyperlink>
        </w:p>
        <w:p w14:paraId="3E8D82BE" w14:textId="65BA4396" w:rsidR="000C0E06" w:rsidRPr="000C0E06" w:rsidRDefault="000C0E06">
          <w:r w:rsidRPr="000C0E06">
            <w:rPr>
              <w:b/>
              <w:bCs/>
              <w:noProof/>
            </w:rPr>
            <w:fldChar w:fldCharType="end"/>
          </w:r>
        </w:p>
      </w:sdtContent>
    </w:sdt>
    <w:p w14:paraId="6297E92D" w14:textId="77777777" w:rsidR="000C0E06" w:rsidRPr="000C0E06" w:rsidRDefault="000C0E06" w:rsidP="007453F6">
      <w:pPr>
        <w:pStyle w:val="Heading1"/>
        <w:rPr>
          <w:rFonts w:ascii="Oxygen" w:hAnsi="Oxygen"/>
        </w:rPr>
      </w:pPr>
    </w:p>
    <w:p w14:paraId="6F31B53C" w14:textId="77777777" w:rsidR="000C0E06" w:rsidRPr="000C0E06" w:rsidRDefault="000C0E06">
      <w:pPr>
        <w:rPr>
          <w:rFonts w:eastAsiaTheme="majorEastAsia" w:cstheme="majorBidi"/>
          <w:color w:val="0F4761" w:themeColor="accent1" w:themeShade="BF"/>
          <w:sz w:val="40"/>
          <w:szCs w:val="40"/>
        </w:rPr>
      </w:pPr>
      <w:r w:rsidRPr="000C0E06">
        <w:br w:type="page"/>
      </w:r>
    </w:p>
    <w:p w14:paraId="02805740" w14:textId="60F341D7" w:rsidR="0025322A" w:rsidRPr="000C0E06" w:rsidRDefault="0025322A" w:rsidP="007453F6">
      <w:pPr>
        <w:pStyle w:val="Heading1"/>
        <w:rPr>
          <w:rFonts w:ascii="Oxygen" w:hAnsi="Oxygen"/>
        </w:rPr>
      </w:pPr>
      <w:bookmarkStart w:id="0" w:name="_Toc199716711"/>
      <w:r w:rsidRPr="000C0E06">
        <w:rPr>
          <w:rFonts w:ascii="Oxygen" w:hAnsi="Oxygen"/>
        </w:rPr>
        <w:lastRenderedPageBreak/>
        <w:t>Presentation of Data Visualizations</w:t>
      </w:r>
      <w:bookmarkEnd w:id="0"/>
    </w:p>
    <w:p w14:paraId="10CA7803" w14:textId="77777777" w:rsidR="003E405A" w:rsidRPr="003E405A" w:rsidRDefault="003E405A" w:rsidP="003E405A">
      <w:pPr>
        <w:jc w:val="both"/>
      </w:pPr>
      <w:r w:rsidRPr="003E405A">
        <w:t>This interactive Tableau story explores renewable energy adoption in Australia using data from the Australian Energy Statistics – States and Territories (Department of Climate Change, Energy, the Environment and Water). The visualizations address key trends, disparities, and policy implications to support Australia’s low-carbon transition.</w:t>
      </w:r>
    </w:p>
    <w:p w14:paraId="426AC6CF" w14:textId="77777777" w:rsidR="003E405A" w:rsidRPr="003E405A" w:rsidRDefault="003E405A" w:rsidP="003E405A">
      <w:pPr>
        <w:jc w:val="both"/>
      </w:pPr>
      <w:r w:rsidRPr="003E405A">
        <w:t>Aimed at policymakers and the public, the portfolio promotes transparency and awareness to drive behavioral and policy change. It combines dashboards, maps, and narratives for use in policy briefings or stakeholder pitches, spotlighting both achievements and areas needing action.</w:t>
      </w:r>
    </w:p>
    <w:p w14:paraId="469F94EE" w14:textId="34834CBF" w:rsidR="0025322A" w:rsidRPr="000C0E06" w:rsidRDefault="0025322A" w:rsidP="007453F6">
      <w:pPr>
        <w:pStyle w:val="Heading2"/>
        <w:numPr>
          <w:ilvl w:val="0"/>
          <w:numId w:val="8"/>
        </w:numPr>
        <w:rPr>
          <w:rFonts w:ascii="Oxygen" w:hAnsi="Oxygen"/>
        </w:rPr>
      </w:pPr>
      <w:bookmarkStart w:id="1" w:name="_Toc199716712"/>
      <w:r w:rsidRPr="000C0E06">
        <w:rPr>
          <w:rFonts w:ascii="Oxygen" w:hAnsi="Oxygen"/>
        </w:rPr>
        <w:t>Per Capita GDP vs Energy Consumption</w:t>
      </w:r>
      <w:bookmarkEnd w:id="1"/>
    </w:p>
    <w:p w14:paraId="50FC3FA1" w14:textId="29C1A049" w:rsidR="00A608E5" w:rsidRPr="000C0E06" w:rsidRDefault="00A608E5" w:rsidP="00A608E5">
      <w:r w:rsidRPr="000C0E06">
        <w:rPr>
          <w:noProof/>
        </w:rPr>
        <w:drawing>
          <wp:inline distT="0" distB="0" distL="0" distR="0" wp14:anchorId="337DCC5A" wp14:editId="4D9518E8">
            <wp:extent cx="6633934" cy="3546603"/>
            <wp:effectExtent l="0" t="0" r="0" b="0"/>
            <wp:docPr id="741349229" name="Picture 3"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49229" name="Picture 3" descr="A graph with a red lin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75814" cy="3568993"/>
                    </a:xfrm>
                    <a:prstGeom prst="rect">
                      <a:avLst/>
                    </a:prstGeom>
                    <a:noFill/>
                    <a:ln>
                      <a:noFill/>
                    </a:ln>
                  </pic:spPr>
                </pic:pic>
              </a:graphicData>
            </a:graphic>
          </wp:inline>
        </w:drawing>
      </w:r>
    </w:p>
    <w:p w14:paraId="4201D0C6" w14:textId="77777777" w:rsidR="003E405A" w:rsidRPr="003E405A" w:rsidRDefault="003E405A" w:rsidP="003E405A">
      <w:pPr>
        <w:jc w:val="both"/>
      </w:pPr>
      <w:r w:rsidRPr="003E405A">
        <w:t>This dual-axis chart compares GDP per capita (AU$) and energy consumption per capita (GJ) from 2003–04 to 2022–23. Bars show energy use, while a line represents GDP.</w:t>
      </w:r>
    </w:p>
    <w:p w14:paraId="5AB3032F" w14:textId="77777777" w:rsidR="003E405A" w:rsidRPr="003E405A" w:rsidRDefault="003E405A" w:rsidP="003E405A">
      <w:pPr>
        <w:jc w:val="both"/>
      </w:pPr>
      <w:r w:rsidRPr="003E405A">
        <w:t>Over 20 years, energy use per capita fell by 15–20%—driven by efficiency gains, the rise of service industries, growth in rooftop solar, higher energy prices, and supportive policies. Meanwhile, GDP rose by ~20%, indicating higher energy productivity and reduced energy intensity.</w:t>
      </w:r>
    </w:p>
    <w:p w14:paraId="6036AE60" w14:textId="681E25B3" w:rsidR="00E57FB4" w:rsidRPr="000C0E06" w:rsidRDefault="00E57FB4" w:rsidP="007453F6">
      <w:pPr>
        <w:pStyle w:val="Heading2"/>
        <w:numPr>
          <w:ilvl w:val="0"/>
          <w:numId w:val="8"/>
        </w:numPr>
        <w:rPr>
          <w:rFonts w:ascii="Oxygen" w:hAnsi="Oxygen"/>
        </w:rPr>
      </w:pPr>
      <w:bookmarkStart w:id="2" w:name="_Toc199716713"/>
      <w:r w:rsidRPr="000C0E06">
        <w:rPr>
          <w:rFonts w:ascii="Oxygen" w:hAnsi="Oxygen"/>
        </w:rPr>
        <w:lastRenderedPageBreak/>
        <w:t>Sector-Wise Consumption</w:t>
      </w:r>
      <w:r w:rsidR="007453F6" w:rsidRPr="000C0E06">
        <w:rPr>
          <w:rFonts w:ascii="Oxygen" w:hAnsi="Oxygen"/>
        </w:rPr>
        <w:t>:</w:t>
      </w:r>
      <w:r w:rsidRPr="000C0E06">
        <w:rPr>
          <w:rFonts w:ascii="Oxygen" w:hAnsi="Oxygen"/>
        </w:rPr>
        <w:t xml:space="preserve"> Reusable vs Nonreusable Energy</w:t>
      </w:r>
      <w:bookmarkEnd w:id="2"/>
    </w:p>
    <w:p w14:paraId="5D189919" w14:textId="387DE75B" w:rsidR="00E57FB4" w:rsidRPr="000C0E06" w:rsidRDefault="00E57FB4" w:rsidP="00C26D2A">
      <w:pPr>
        <w:pStyle w:val="NormalWeb"/>
        <w:rPr>
          <w:rFonts w:ascii="Oxygen" w:hAnsi="Oxygen"/>
        </w:rPr>
      </w:pPr>
      <w:r w:rsidRPr="000C0E06">
        <w:rPr>
          <w:rFonts w:ascii="Oxygen" w:hAnsi="Oxygen"/>
          <w:noProof/>
        </w:rPr>
        <w:drawing>
          <wp:inline distT="0" distB="0" distL="0" distR="0" wp14:anchorId="08165DC9" wp14:editId="03BB9022">
            <wp:extent cx="6667806" cy="3551889"/>
            <wp:effectExtent l="0" t="0" r="0" b="0"/>
            <wp:docPr id="1430415437"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15437" name="Picture 4" descr="A screenshot of a graph&#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89443" cy="3563415"/>
                    </a:xfrm>
                    <a:prstGeom prst="rect">
                      <a:avLst/>
                    </a:prstGeom>
                    <a:noFill/>
                    <a:ln>
                      <a:noFill/>
                    </a:ln>
                  </pic:spPr>
                </pic:pic>
              </a:graphicData>
            </a:graphic>
          </wp:inline>
        </w:drawing>
      </w:r>
    </w:p>
    <w:p w14:paraId="0368F3F7" w14:textId="77777777" w:rsidR="003E405A" w:rsidRPr="003E405A" w:rsidRDefault="003E405A" w:rsidP="003E405A">
      <w:pPr>
        <w:jc w:val="both"/>
      </w:pPr>
      <w:r w:rsidRPr="003E405A">
        <w:t>A stacked bar chart breaks down 2022–23 energy use by fuel type across five sectors (e.g., Transport, Residential), contrasting renewables (green: Solar, Wind, Biofuels) and fossil fuels (brown/grey: Coal, Petroleum).</w:t>
      </w:r>
    </w:p>
    <w:p w14:paraId="6098163B" w14:textId="77D6FAE9" w:rsidR="00C26D2A" w:rsidRPr="003E405A" w:rsidRDefault="003E405A" w:rsidP="007453F6">
      <w:pPr>
        <w:jc w:val="both"/>
      </w:pPr>
      <w:r w:rsidRPr="003E405A">
        <w:t>Fossil fuels dominate the Energy Conversion and Supply sector, but renewables significantly contribute to electricity generation, leading to a -532 PJ surplus. Petroleum remains the main transport fuel. In mining and agriculture, renewables make up less than 25% of use, while manufacturing and commercial sectors reach 45%. Although residential use is low overall, nearly two-third comes from renewable sources.</w:t>
      </w:r>
      <w:r w:rsidR="00C26D2A" w:rsidRPr="000C0E06">
        <w:br w:type="page"/>
      </w:r>
    </w:p>
    <w:p w14:paraId="25992C35" w14:textId="77777777" w:rsidR="00702FC8" w:rsidRPr="00702FC8" w:rsidRDefault="00702FC8" w:rsidP="00702FC8">
      <w:pPr>
        <w:pStyle w:val="Heading1"/>
        <w:rPr>
          <w:rFonts w:ascii="Oxygen" w:hAnsi="Oxygen"/>
        </w:rPr>
      </w:pPr>
      <w:bookmarkStart w:id="3" w:name="_Toc199716714"/>
      <w:r w:rsidRPr="00702FC8">
        <w:rPr>
          <w:rFonts w:ascii="Oxygen" w:hAnsi="Oxygen"/>
        </w:rPr>
        <w:lastRenderedPageBreak/>
        <w:t>Analysis and Critique</w:t>
      </w:r>
      <w:bookmarkEnd w:id="3"/>
    </w:p>
    <w:p w14:paraId="0041BCFB" w14:textId="77777777" w:rsidR="00702FC8" w:rsidRPr="00702FC8" w:rsidRDefault="00702FC8" w:rsidP="00702FC8">
      <w:pPr>
        <w:jc w:val="both"/>
      </w:pPr>
      <w:r w:rsidRPr="00702FC8">
        <w:t>These visualizations are well-suited to a public and policy-focused audience, offering clear design, interactivity, and alignment with themes of energy-economic dynamics and sectoral fuel usage.</w:t>
      </w:r>
    </w:p>
    <w:p w14:paraId="74FBA6D9" w14:textId="12E59781" w:rsidR="00702FC8" w:rsidRPr="00702FC8" w:rsidRDefault="00702FC8" w:rsidP="00702FC8">
      <w:pPr>
        <w:pStyle w:val="Heading2"/>
        <w:numPr>
          <w:ilvl w:val="0"/>
          <w:numId w:val="12"/>
        </w:numPr>
        <w:rPr>
          <w:rFonts w:ascii="Oxygen" w:hAnsi="Oxygen"/>
        </w:rPr>
      </w:pPr>
      <w:bookmarkStart w:id="4" w:name="_Toc199716715"/>
      <w:r w:rsidRPr="00702FC8">
        <w:rPr>
          <w:rFonts w:ascii="Oxygen" w:hAnsi="Oxygen"/>
        </w:rPr>
        <w:t>Per Capita GDP vs Energy Consumption</w:t>
      </w:r>
      <w:bookmarkEnd w:id="4"/>
    </w:p>
    <w:p w14:paraId="004759EA" w14:textId="77777777" w:rsidR="003E43DF" w:rsidRDefault="00702FC8" w:rsidP="003E43DF">
      <w:pPr>
        <w:jc w:val="both"/>
        <w:rPr>
          <w:rStyle w:val="Heading3Char"/>
        </w:rPr>
      </w:pPr>
      <w:bookmarkStart w:id="5" w:name="_Toc199716716"/>
      <w:r w:rsidRPr="00702FC8">
        <w:rPr>
          <w:rStyle w:val="Heading3Char"/>
        </w:rPr>
        <w:t>Design, Legibility, and Usability</w:t>
      </w:r>
      <w:bookmarkEnd w:id="5"/>
    </w:p>
    <w:p w14:paraId="753CBF7A" w14:textId="4C51064D" w:rsidR="00702FC8" w:rsidRPr="00702FC8" w:rsidRDefault="00702FC8" w:rsidP="003E43DF">
      <w:pPr>
        <w:jc w:val="both"/>
      </w:pPr>
      <w:r w:rsidRPr="00702FC8">
        <w:t>The use of gold bars for energy and a red line for GDP ensures visual distinction. Dual y-axes are correctly aligned and clearly labelled. Typography and layout are strong, with well-positioned titles, legends, and axis labels. Interactive filters enhance user engagement and allow exploration by year.</w:t>
      </w:r>
    </w:p>
    <w:p w14:paraId="368AA215" w14:textId="77777777" w:rsidR="00702FC8" w:rsidRPr="00702FC8" w:rsidRDefault="00702FC8" w:rsidP="003E43DF">
      <w:pPr>
        <w:jc w:val="both"/>
      </w:pPr>
      <w:r w:rsidRPr="00702FC8">
        <w:t>However, the energy consumption y-axis starts at 200 rather than zero, which may visually exaggerate small changes. While intended to highlight trends, this could mislead less data-literate users. A brief annotation explaining this design choice would improve transparency.</w:t>
      </w:r>
    </w:p>
    <w:p w14:paraId="4A6C459C" w14:textId="77777777" w:rsidR="003E43DF" w:rsidRDefault="00702FC8" w:rsidP="00702FC8">
      <w:pPr>
        <w:rPr>
          <w:rStyle w:val="Heading3Char"/>
        </w:rPr>
      </w:pPr>
      <w:bookmarkStart w:id="6" w:name="_Toc199716717"/>
      <w:r w:rsidRPr="00702FC8">
        <w:rPr>
          <w:rStyle w:val="Heading3Char"/>
        </w:rPr>
        <w:t>Overall Efficacy</w:t>
      </w:r>
      <w:bookmarkEnd w:id="6"/>
    </w:p>
    <w:p w14:paraId="7F78D5B8" w14:textId="49DBD2D5" w:rsidR="00702FC8" w:rsidRPr="00702FC8" w:rsidRDefault="00702FC8" w:rsidP="003E43DF">
      <w:pPr>
        <w:jc w:val="both"/>
      </w:pPr>
      <w:r w:rsidRPr="00702FC8">
        <w:t xml:space="preserve">This chart communicates a key trend: while Australia’s GDP per capita has grown steadily since 2003–04, energy use per capita has declined since 2008. This indicates improved energy efficiency, economic restructuring, or greater reliance on renewables. The message supports the portfolio’s goal of highlighting sustainable progress and is relevant for both public and policy </w:t>
      </w:r>
      <w:r w:rsidR="003E43DF">
        <w:t xml:space="preserve">maker </w:t>
      </w:r>
      <w:r w:rsidRPr="00702FC8">
        <w:t>audiences.</w:t>
      </w:r>
    </w:p>
    <w:p w14:paraId="59ABE8BB" w14:textId="77777777" w:rsidR="00702FC8" w:rsidRPr="00702FC8" w:rsidRDefault="00702FC8" w:rsidP="003E43DF">
      <w:pPr>
        <w:jc w:val="both"/>
      </w:pPr>
      <w:r w:rsidRPr="00702FC8">
        <w:t>Still, the visualization could benefit from more context. Tooltips could highlight key events (e.g., carbon tax in 2012) that influenced trends.</w:t>
      </w:r>
    </w:p>
    <w:p w14:paraId="330C358F" w14:textId="77777777" w:rsidR="00702FC8" w:rsidRPr="00702FC8" w:rsidRDefault="00702FC8" w:rsidP="00702FC8">
      <w:pPr>
        <w:jc w:val="both"/>
        <w:rPr>
          <w:rStyle w:val="Heading3Char"/>
        </w:rPr>
      </w:pPr>
      <w:bookmarkStart w:id="7" w:name="_Toc199716718"/>
      <w:r w:rsidRPr="00702FC8">
        <w:rPr>
          <w:rStyle w:val="Heading3Char"/>
        </w:rPr>
        <w:t>Recommendations</w:t>
      </w:r>
      <w:bookmarkEnd w:id="7"/>
    </w:p>
    <w:p w14:paraId="766F90CD" w14:textId="575F09BD" w:rsidR="00702FC8" w:rsidRPr="00702FC8" w:rsidRDefault="00702FC8" w:rsidP="00702FC8">
      <w:pPr>
        <w:numPr>
          <w:ilvl w:val="0"/>
          <w:numId w:val="9"/>
        </w:numPr>
        <w:jc w:val="both"/>
      </w:pPr>
      <w:r w:rsidRPr="00702FC8">
        <w:t xml:space="preserve">Add annotations for key </w:t>
      </w:r>
      <w:r w:rsidRPr="00702FC8">
        <w:t>policies</w:t>
      </w:r>
      <w:r w:rsidRPr="00702FC8">
        <w:t xml:space="preserve"> or economic events.</w:t>
      </w:r>
    </w:p>
    <w:p w14:paraId="31131138" w14:textId="77777777" w:rsidR="00702FC8" w:rsidRPr="00702FC8" w:rsidRDefault="00702FC8" w:rsidP="00702FC8">
      <w:pPr>
        <w:numPr>
          <w:ilvl w:val="0"/>
          <w:numId w:val="9"/>
        </w:numPr>
        <w:jc w:val="both"/>
      </w:pPr>
      <w:r w:rsidRPr="00702FC8">
        <w:t>Consider rescaling the y-axis or adding a disclaimer to reduce misinterpretation.</w:t>
      </w:r>
    </w:p>
    <w:p w14:paraId="438857DA" w14:textId="77777777" w:rsidR="00702FC8" w:rsidRPr="00702FC8" w:rsidRDefault="00702FC8" w:rsidP="00702FC8">
      <w:pPr>
        <w:numPr>
          <w:ilvl w:val="0"/>
          <w:numId w:val="9"/>
        </w:numPr>
        <w:jc w:val="both"/>
      </w:pPr>
      <w:r w:rsidRPr="00702FC8">
        <w:t>Enable hover-to-compare and drill-down to explore regional trends.</w:t>
      </w:r>
    </w:p>
    <w:p w14:paraId="609F1D1C" w14:textId="77777777" w:rsidR="00702FC8" w:rsidRPr="00702FC8" w:rsidRDefault="00702FC8" w:rsidP="00702FC8">
      <w:pPr>
        <w:numPr>
          <w:ilvl w:val="0"/>
          <w:numId w:val="9"/>
        </w:numPr>
        <w:jc w:val="both"/>
      </w:pPr>
      <w:r w:rsidRPr="00702FC8">
        <w:t>Add trendlines to visually emphasize the divergence between GDP and energy use.</w:t>
      </w:r>
    </w:p>
    <w:p w14:paraId="532CAFFC" w14:textId="22E7E85D" w:rsidR="00702FC8" w:rsidRPr="00702FC8" w:rsidRDefault="00702FC8" w:rsidP="00702FC8">
      <w:pPr>
        <w:pStyle w:val="Heading2"/>
        <w:numPr>
          <w:ilvl w:val="0"/>
          <w:numId w:val="12"/>
        </w:numPr>
        <w:rPr>
          <w:rFonts w:ascii="Oxygen" w:hAnsi="Oxygen"/>
        </w:rPr>
      </w:pPr>
      <w:bookmarkStart w:id="8" w:name="_Toc199716719"/>
      <w:r w:rsidRPr="00702FC8">
        <w:rPr>
          <w:rFonts w:ascii="Oxygen" w:hAnsi="Oxygen"/>
        </w:rPr>
        <w:lastRenderedPageBreak/>
        <w:t>Sector-Wise Consumption: Renewable vs Nonrenewable</w:t>
      </w:r>
      <w:bookmarkEnd w:id="8"/>
    </w:p>
    <w:p w14:paraId="18818ECC" w14:textId="77777777" w:rsidR="00702FC8" w:rsidRPr="00702FC8" w:rsidRDefault="00702FC8" w:rsidP="00702FC8">
      <w:pPr>
        <w:pStyle w:val="Heading3"/>
        <w:rPr>
          <w:rFonts w:ascii="Oxygen" w:hAnsi="Oxygen"/>
        </w:rPr>
      </w:pPr>
      <w:bookmarkStart w:id="9" w:name="_Toc199716720"/>
      <w:r w:rsidRPr="00702FC8">
        <w:rPr>
          <w:rFonts w:ascii="Oxygen" w:hAnsi="Oxygen"/>
        </w:rPr>
        <w:t>Design, Legibility, and Usability</w:t>
      </w:r>
      <w:bookmarkEnd w:id="9"/>
    </w:p>
    <w:p w14:paraId="74683734" w14:textId="5D416078" w:rsidR="00702FC8" w:rsidRPr="00702FC8" w:rsidRDefault="00702FC8" w:rsidP="00702FC8">
      <w:pPr>
        <w:jc w:val="both"/>
      </w:pPr>
      <w:r w:rsidRPr="00702FC8">
        <w:t>The color palette — green</w:t>
      </w:r>
      <w:r w:rsidR="00CD6A22">
        <w:t>, teal</w:t>
      </w:r>
      <w:r w:rsidRPr="00702FC8">
        <w:t xml:space="preserve"> for renewables, brown</w:t>
      </w:r>
      <w:r w:rsidR="00CD6A22">
        <w:t xml:space="preserve">, </w:t>
      </w:r>
      <w:r w:rsidRPr="00702FC8">
        <w:t>grey for fossil fuels — aligns with user expectations and aids comprehension. Clear labelling supports readability. Filters for year and fuel type enhance user control and comparison.</w:t>
      </w:r>
    </w:p>
    <w:p w14:paraId="5D1AABDE" w14:textId="6AB0A9CC" w:rsidR="00702FC8" w:rsidRPr="00702FC8" w:rsidRDefault="00702FC8" w:rsidP="00702FC8">
      <w:pPr>
        <w:jc w:val="both"/>
      </w:pPr>
      <w:r w:rsidRPr="00702FC8">
        <w:t xml:space="preserve">However, </w:t>
      </w:r>
      <w:r w:rsidR="00127574" w:rsidRPr="00702FC8">
        <w:t>vertically</w:t>
      </w:r>
      <w:r w:rsidRPr="00702FC8">
        <w:t xml:space="preserve"> stacked format makes it difficult to compare individual fuels across sectors. Petroleum’s dominance visually overshadows smaller but important contributions from renewables. The negative value in “Energy Conversion and Supply” (e.g., –532 PJ) reflects net generation </w:t>
      </w:r>
      <w:r w:rsidR="00127574">
        <w:t>surplus,</w:t>
      </w:r>
      <w:r w:rsidRPr="00702FC8">
        <w:t xml:space="preserve"> but</w:t>
      </w:r>
      <w:r w:rsidR="00127574">
        <w:t xml:space="preserve"> it</w:t>
      </w:r>
      <w:r w:rsidRPr="00702FC8">
        <w:t xml:space="preserve"> lacks explanation, which could confuse users.</w:t>
      </w:r>
    </w:p>
    <w:p w14:paraId="51077086" w14:textId="77777777" w:rsidR="00702FC8" w:rsidRPr="00702FC8" w:rsidRDefault="00702FC8" w:rsidP="00702FC8">
      <w:pPr>
        <w:pStyle w:val="Heading3"/>
        <w:rPr>
          <w:rFonts w:ascii="Oxygen" w:hAnsi="Oxygen"/>
        </w:rPr>
      </w:pPr>
      <w:bookmarkStart w:id="10" w:name="_Toc199716721"/>
      <w:r w:rsidRPr="00702FC8">
        <w:rPr>
          <w:rFonts w:ascii="Oxygen" w:hAnsi="Oxygen"/>
        </w:rPr>
        <w:t>Overall Efficacy</w:t>
      </w:r>
      <w:bookmarkEnd w:id="10"/>
    </w:p>
    <w:p w14:paraId="634045BA" w14:textId="3C9C302C" w:rsidR="00702FC8" w:rsidRPr="00702FC8" w:rsidRDefault="00702FC8" w:rsidP="00702FC8">
      <w:pPr>
        <w:jc w:val="both"/>
      </w:pPr>
      <w:r w:rsidRPr="00702FC8">
        <w:t>This visualization illustrates Australia’s sectoral energy landscape effectively. Transport and energy supply rely heavily on fossil fuels, while residential energy is more renewable-based — insights that support behavioral nudges and policy design.</w:t>
      </w:r>
    </w:p>
    <w:p w14:paraId="33BFE7DB" w14:textId="77777777" w:rsidR="00702FC8" w:rsidRPr="00702FC8" w:rsidRDefault="00702FC8" w:rsidP="00702FC8">
      <w:pPr>
        <w:jc w:val="both"/>
      </w:pPr>
      <w:r w:rsidRPr="00702FC8">
        <w:t>That said, the meaning of negative values and proportional differences across sectors could be clearer. Without supporting legends or tooltips, these nuances may be lost or misinterpreted.</w:t>
      </w:r>
    </w:p>
    <w:p w14:paraId="642E9CFD" w14:textId="77777777" w:rsidR="00702FC8" w:rsidRPr="00702FC8" w:rsidRDefault="00702FC8" w:rsidP="00702FC8">
      <w:pPr>
        <w:pStyle w:val="Heading3"/>
        <w:rPr>
          <w:rFonts w:ascii="Oxygen" w:hAnsi="Oxygen"/>
        </w:rPr>
      </w:pPr>
      <w:bookmarkStart w:id="11" w:name="_Toc199716722"/>
      <w:r w:rsidRPr="00702FC8">
        <w:rPr>
          <w:rFonts w:ascii="Oxygen" w:hAnsi="Oxygen"/>
        </w:rPr>
        <w:t>Recommendations</w:t>
      </w:r>
      <w:bookmarkEnd w:id="11"/>
    </w:p>
    <w:p w14:paraId="6B498D58" w14:textId="1A6672C2" w:rsidR="00702FC8" w:rsidRPr="00702FC8" w:rsidRDefault="00702FC8" w:rsidP="00702FC8">
      <w:pPr>
        <w:numPr>
          <w:ilvl w:val="0"/>
          <w:numId w:val="10"/>
        </w:numPr>
        <w:jc w:val="both"/>
      </w:pPr>
      <w:r w:rsidRPr="00702FC8">
        <w:t xml:space="preserve">Separate renewable and nonrenewable bars </w:t>
      </w:r>
      <w:r w:rsidR="00127574">
        <w:t xml:space="preserve">could be used </w:t>
      </w:r>
      <w:r w:rsidRPr="00702FC8">
        <w:t>for easier comparison.</w:t>
      </w:r>
    </w:p>
    <w:p w14:paraId="7FC05756" w14:textId="77777777" w:rsidR="00702FC8" w:rsidRPr="00702FC8" w:rsidRDefault="00702FC8" w:rsidP="00702FC8">
      <w:pPr>
        <w:numPr>
          <w:ilvl w:val="0"/>
          <w:numId w:val="10"/>
        </w:numPr>
        <w:jc w:val="both"/>
      </w:pPr>
      <w:r w:rsidRPr="00702FC8">
        <w:t>Add legends or tooltips to clarify negative values and their implications.</w:t>
      </w:r>
    </w:p>
    <w:p w14:paraId="10E36D84" w14:textId="77777777" w:rsidR="00702FC8" w:rsidRPr="00702FC8" w:rsidRDefault="00702FC8" w:rsidP="00702FC8">
      <w:pPr>
        <w:numPr>
          <w:ilvl w:val="0"/>
          <w:numId w:val="10"/>
        </w:numPr>
        <w:jc w:val="both"/>
      </w:pPr>
      <w:r w:rsidRPr="00702FC8">
        <w:t>Include brief sector-specific commentary to assist non-expert users.</w:t>
      </w:r>
    </w:p>
    <w:p w14:paraId="7FED0A63" w14:textId="77777777" w:rsidR="00702FC8" w:rsidRPr="00702FC8" w:rsidRDefault="00702FC8" w:rsidP="00702FC8">
      <w:pPr>
        <w:numPr>
          <w:ilvl w:val="0"/>
          <w:numId w:val="10"/>
        </w:numPr>
        <w:jc w:val="both"/>
      </w:pPr>
      <w:r w:rsidRPr="00702FC8">
        <w:t>Allow drill-down into states or sub-sectors to enhance granularity and decision-making relevance.</w:t>
      </w:r>
    </w:p>
    <w:p w14:paraId="43B462F6" w14:textId="77777777" w:rsidR="00702FC8" w:rsidRPr="00702FC8" w:rsidRDefault="00702FC8" w:rsidP="00702FC8">
      <w:pPr>
        <w:pStyle w:val="Heading1"/>
        <w:rPr>
          <w:rFonts w:ascii="Oxygen" w:hAnsi="Oxygen"/>
        </w:rPr>
      </w:pPr>
      <w:bookmarkStart w:id="12" w:name="_Toc199716723"/>
      <w:r w:rsidRPr="00702FC8">
        <w:rPr>
          <w:rFonts w:ascii="Oxygen" w:hAnsi="Oxygen"/>
        </w:rPr>
        <w:t>Self-Reflection</w:t>
      </w:r>
      <w:bookmarkEnd w:id="12"/>
    </w:p>
    <w:p w14:paraId="7A455FE4" w14:textId="77777777" w:rsidR="00702FC8" w:rsidRPr="00702FC8" w:rsidRDefault="00702FC8" w:rsidP="00702FC8">
      <w:pPr>
        <w:jc w:val="both"/>
      </w:pPr>
      <w:r w:rsidRPr="00702FC8">
        <w:t>Feedback and course content significantly shaped this project. Initial drafts were dense and lacked interactivity. Applying principles from the course — like design heuristics, UX best practices, and color theory — led to clearer, more accessible dashboards.</w:t>
      </w:r>
    </w:p>
    <w:p w14:paraId="527C9694" w14:textId="77777777" w:rsidR="00702FC8" w:rsidRPr="00702FC8" w:rsidRDefault="00702FC8" w:rsidP="00702FC8">
      <w:pPr>
        <w:jc w:val="both"/>
      </w:pPr>
      <w:r w:rsidRPr="00702FC8">
        <w:t>Suggestions such as simplifying legends, enhancing year filters, and refining label placement were implemented to improve usability. Replacing technical terms with more familiar units (e.g., kAU$ instead of scientific notation) made the visualizations more relatable to non-technical audiences.</w:t>
      </w:r>
    </w:p>
    <w:p w14:paraId="10A98336" w14:textId="77777777" w:rsidR="00702FC8" w:rsidRPr="00702FC8" w:rsidRDefault="00702FC8" w:rsidP="00702FC8">
      <w:pPr>
        <w:jc w:val="both"/>
      </w:pPr>
      <w:r w:rsidRPr="00702FC8">
        <w:lastRenderedPageBreak/>
        <w:t>Targeting the right tone and level of complexity was also key. Course guidance helped shift the narrative from purely analytical to insight-driven, making the portfolio more impactful and accessible.</w:t>
      </w:r>
    </w:p>
    <w:p w14:paraId="521B611E" w14:textId="77777777" w:rsidR="00702FC8" w:rsidRPr="00702FC8" w:rsidRDefault="00702FC8" w:rsidP="003E43DF">
      <w:pPr>
        <w:pStyle w:val="Heading1"/>
        <w:rPr>
          <w:rFonts w:ascii="Oxygen" w:hAnsi="Oxygen"/>
        </w:rPr>
      </w:pPr>
      <w:bookmarkStart w:id="13" w:name="_Toc199716724"/>
      <w:r w:rsidRPr="00702FC8">
        <w:rPr>
          <w:rFonts w:ascii="Oxygen" w:hAnsi="Oxygen"/>
        </w:rPr>
        <w:t>Conclusion</w:t>
      </w:r>
      <w:bookmarkEnd w:id="13"/>
    </w:p>
    <w:p w14:paraId="7F69A611" w14:textId="77777777" w:rsidR="00702FC8" w:rsidRPr="00702FC8" w:rsidRDefault="00702FC8" w:rsidP="00702FC8">
      <w:pPr>
        <w:jc w:val="both"/>
      </w:pPr>
      <w:r w:rsidRPr="00702FC8">
        <w:t>Both visualizations contribute to a compelling, data-driven narrative on Australia’s renewable energy transition. The GDP vs Energy Consumption chart underscores the decoupling of economic growth from energy intensity, while the Sector-Wise Consumption chart reveals ongoing fossil fuel reliance and growing renewable uptake.</w:t>
      </w:r>
    </w:p>
    <w:p w14:paraId="1314E924" w14:textId="77777777" w:rsidR="00702FC8" w:rsidRPr="00702FC8" w:rsidRDefault="00702FC8" w:rsidP="00702FC8">
      <w:pPr>
        <w:jc w:val="both"/>
      </w:pPr>
      <w:r w:rsidRPr="00702FC8">
        <w:t>Together, they fulfill the portfolio’s mission: to inform, motivate, and support behavioral and policy shifts toward sustainability. Future refinements — improved layouts, contextual cues, and deeper interaction — will further elevate their power to inform and inspire.</w:t>
      </w:r>
    </w:p>
    <w:p w14:paraId="7468DBAE" w14:textId="77777777" w:rsidR="003E43DF" w:rsidRDefault="00702FC8" w:rsidP="003E43DF">
      <w:pPr>
        <w:spacing w:after="0"/>
        <w:jc w:val="both"/>
        <w:rPr>
          <w:i/>
          <w:iCs/>
        </w:rPr>
      </w:pPr>
      <w:bookmarkStart w:id="14" w:name="_Toc199716725"/>
      <w:r w:rsidRPr="00702FC8">
        <w:rPr>
          <w:rStyle w:val="Heading1Char"/>
          <w:rFonts w:ascii="Oxygen" w:hAnsi="Oxygen"/>
        </w:rPr>
        <w:t>References</w:t>
      </w:r>
      <w:bookmarkEnd w:id="14"/>
      <w:r w:rsidRPr="00702FC8">
        <w:rPr>
          <w:rStyle w:val="Heading1Char"/>
          <w:rFonts w:ascii="Oxygen" w:hAnsi="Oxygen"/>
        </w:rPr>
        <w:br/>
      </w:r>
      <w:r w:rsidRPr="00702FC8">
        <w:t xml:space="preserve">Department of Climate Change, Energy, the Environment and Water. </w:t>
      </w:r>
      <w:r w:rsidRPr="00702FC8">
        <w:rPr>
          <w:i/>
          <w:iCs/>
        </w:rPr>
        <w:t xml:space="preserve">Australian Energy Statistics </w:t>
      </w:r>
    </w:p>
    <w:p w14:paraId="2440D36F" w14:textId="31430D7A" w:rsidR="00702FC8" w:rsidRPr="00702FC8" w:rsidRDefault="00702FC8" w:rsidP="003E43DF">
      <w:r w:rsidRPr="00702FC8">
        <w:rPr>
          <w:i/>
          <w:iCs/>
        </w:rPr>
        <w:t>– States and Territories</w:t>
      </w:r>
      <w:r w:rsidRPr="00702FC8">
        <w:t>.</w:t>
      </w:r>
      <w:r w:rsidRPr="00702FC8">
        <w:br/>
      </w:r>
      <w:hyperlink r:id="rId9" w:tgtFrame="_new" w:history="1">
        <w:r w:rsidRPr="00702FC8">
          <w:rPr>
            <w:rStyle w:val="Hyperlink"/>
          </w:rPr>
          <w:t>https://www.energy.gov.au/energy-data/australian-energy-statistics/states-and-territories</w:t>
        </w:r>
      </w:hyperlink>
    </w:p>
    <w:p w14:paraId="1D0D115E" w14:textId="77777777" w:rsidR="00165C3F" w:rsidRPr="000C0E06" w:rsidRDefault="00165C3F" w:rsidP="0025322A">
      <w:pPr>
        <w:jc w:val="both"/>
      </w:pPr>
    </w:p>
    <w:sectPr w:rsidR="00165C3F" w:rsidRPr="000C0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xygen">
    <w:panose1 w:val="02000503000000000000"/>
    <w:charset w:val="00"/>
    <w:family w:val="auto"/>
    <w:pitch w:val="variable"/>
    <w:sig w:usb0="A00000EF" w:usb1="4000204B"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A3729"/>
    <w:multiLevelType w:val="hybridMultilevel"/>
    <w:tmpl w:val="C32E6A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7F1FB8"/>
    <w:multiLevelType w:val="hybridMultilevel"/>
    <w:tmpl w:val="F02A024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45F8B"/>
    <w:multiLevelType w:val="multilevel"/>
    <w:tmpl w:val="36AA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712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278FB"/>
    <w:multiLevelType w:val="multilevel"/>
    <w:tmpl w:val="1014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705F5"/>
    <w:multiLevelType w:val="hybridMultilevel"/>
    <w:tmpl w:val="2C88EB64"/>
    <w:lvl w:ilvl="0" w:tplc="26D28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3A0058"/>
    <w:multiLevelType w:val="hybridMultilevel"/>
    <w:tmpl w:val="E5941E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F63E6A"/>
    <w:multiLevelType w:val="multilevel"/>
    <w:tmpl w:val="3B86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03477"/>
    <w:multiLevelType w:val="hybridMultilevel"/>
    <w:tmpl w:val="E5941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94C4D"/>
    <w:multiLevelType w:val="multilevel"/>
    <w:tmpl w:val="CD84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40BC0"/>
    <w:multiLevelType w:val="multilevel"/>
    <w:tmpl w:val="C6AA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33522"/>
    <w:multiLevelType w:val="hybridMultilevel"/>
    <w:tmpl w:val="0944ED9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5033071">
    <w:abstractNumId w:val="7"/>
  </w:num>
  <w:num w:numId="2" w16cid:durableId="284115906">
    <w:abstractNumId w:val="10"/>
  </w:num>
  <w:num w:numId="3" w16cid:durableId="2038577846">
    <w:abstractNumId w:val="4"/>
  </w:num>
  <w:num w:numId="4" w16cid:durableId="2113351394">
    <w:abstractNumId w:val="8"/>
  </w:num>
  <w:num w:numId="5" w16cid:durableId="1397825447">
    <w:abstractNumId w:val="6"/>
  </w:num>
  <w:num w:numId="6" w16cid:durableId="806049035">
    <w:abstractNumId w:val="3"/>
  </w:num>
  <w:num w:numId="7" w16cid:durableId="1602299051">
    <w:abstractNumId w:val="11"/>
  </w:num>
  <w:num w:numId="8" w16cid:durableId="998116078">
    <w:abstractNumId w:val="1"/>
  </w:num>
  <w:num w:numId="9" w16cid:durableId="1622418241">
    <w:abstractNumId w:val="9"/>
  </w:num>
  <w:num w:numId="10" w16cid:durableId="1748073527">
    <w:abstractNumId w:val="2"/>
  </w:num>
  <w:num w:numId="11" w16cid:durableId="2019429883">
    <w:abstractNumId w:val="5"/>
  </w:num>
  <w:num w:numId="12" w16cid:durableId="138109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2A"/>
    <w:rsid w:val="000C0E06"/>
    <w:rsid w:val="000F4864"/>
    <w:rsid w:val="00127574"/>
    <w:rsid w:val="00165C3F"/>
    <w:rsid w:val="0019084E"/>
    <w:rsid w:val="001E0FCB"/>
    <w:rsid w:val="0025322A"/>
    <w:rsid w:val="002861E6"/>
    <w:rsid w:val="00334C07"/>
    <w:rsid w:val="003E405A"/>
    <w:rsid w:val="003E43DF"/>
    <w:rsid w:val="0041786F"/>
    <w:rsid w:val="005355DE"/>
    <w:rsid w:val="00565B16"/>
    <w:rsid w:val="0059053A"/>
    <w:rsid w:val="005C6957"/>
    <w:rsid w:val="0067519D"/>
    <w:rsid w:val="00702FC8"/>
    <w:rsid w:val="007161FB"/>
    <w:rsid w:val="007453F6"/>
    <w:rsid w:val="00793BEF"/>
    <w:rsid w:val="007F64A6"/>
    <w:rsid w:val="00984817"/>
    <w:rsid w:val="00A608E5"/>
    <w:rsid w:val="00B246AD"/>
    <w:rsid w:val="00B254B6"/>
    <w:rsid w:val="00B5310E"/>
    <w:rsid w:val="00C26D2A"/>
    <w:rsid w:val="00CD3441"/>
    <w:rsid w:val="00CD6A22"/>
    <w:rsid w:val="00DA5680"/>
    <w:rsid w:val="00DB42BD"/>
    <w:rsid w:val="00DD4685"/>
    <w:rsid w:val="00E57FB4"/>
    <w:rsid w:val="00EA7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8BF0"/>
  <w15:chartTrackingRefBased/>
  <w15:docId w15:val="{0DCC189E-872B-4F97-8AB6-09C6D7C9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xygen" w:eastAsiaTheme="minorHAnsi" w:hAnsi="Oxygen" w:cstheme="minorBidi"/>
        <w:kern w:val="2"/>
        <w:sz w:val="22"/>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3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32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2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5322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532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5322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5322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5322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3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322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22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5322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5322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5322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5322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5322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53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2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22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5322A"/>
    <w:pPr>
      <w:spacing w:before="160"/>
      <w:jc w:val="center"/>
    </w:pPr>
    <w:rPr>
      <w:i/>
      <w:iCs/>
      <w:color w:val="404040" w:themeColor="text1" w:themeTint="BF"/>
    </w:rPr>
  </w:style>
  <w:style w:type="character" w:customStyle="1" w:styleId="QuoteChar">
    <w:name w:val="Quote Char"/>
    <w:basedOn w:val="DefaultParagraphFont"/>
    <w:link w:val="Quote"/>
    <w:uiPriority w:val="29"/>
    <w:rsid w:val="0025322A"/>
    <w:rPr>
      <w:i/>
      <w:iCs/>
      <w:color w:val="404040" w:themeColor="text1" w:themeTint="BF"/>
    </w:rPr>
  </w:style>
  <w:style w:type="paragraph" w:styleId="ListParagraph">
    <w:name w:val="List Paragraph"/>
    <w:basedOn w:val="Normal"/>
    <w:uiPriority w:val="34"/>
    <w:qFormat/>
    <w:rsid w:val="0025322A"/>
    <w:pPr>
      <w:ind w:left="720"/>
      <w:contextualSpacing/>
    </w:pPr>
  </w:style>
  <w:style w:type="character" w:styleId="IntenseEmphasis">
    <w:name w:val="Intense Emphasis"/>
    <w:basedOn w:val="DefaultParagraphFont"/>
    <w:uiPriority w:val="21"/>
    <w:qFormat/>
    <w:rsid w:val="0025322A"/>
    <w:rPr>
      <w:i/>
      <w:iCs/>
      <w:color w:val="0F4761" w:themeColor="accent1" w:themeShade="BF"/>
    </w:rPr>
  </w:style>
  <w:style w:type="paragraph" w:styleId="IntenseQuote">
    <w:name w:val="Intense Quote"/>
    <w:basedOn w:val="Normal"/>
    <w:next w:val="Normal"/>
    <w:link w:val="IntenseQuoteChar"/>
    <w:uiPriority w:val="30"/>
    <w:qFormat/>
    <w:rsid w:val="00253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22A"/>
    <w:rPr>
      <w:i/>
      <w:iCs/>
      <w:color w:val="0F4761" w:themeColor="accent1" w:themeShade="BF"/>
    </w:rPr>
  </w:style>
  <w:style w:type="character" w:styleId="IntenseReference">
    <w:name w:val="Intense Reference"/>
    <w:basedOn w:val="DefaultParagraphFont"/>
    <w:uiPriority w:val="32"/>
    <w:qFormat/>
    <w:rsid w:val="0025322A"/>
    <w:rPr>
      <w:b/>
      <w:bCs/>
      <w:smallCaps/>
      <w:color w:val="0F4761" w:themeColor="accent1" w:themeShade="BF"/>
      <w:spacing w:val="5"/>
    </w:rPr>
  </w:style>
  <w:style w:type="character" w:styleId="Hyperlink">
    <w:name w:val="Hyperlink"/>
    <w:basedOn w:val="DefaultParagraphFont"/>
    <w:uiPriority w:val="99"/>
    <w:unhideWhenUsed/>
    <w:rsid w:val="0025322A"/>
    <w:rPr>
      <w:color w:val="467886" w:themeColor="hyperlink"/>
      <w:u w:val="single"/>
    </w:rPr>
  </w:style>
  <w:style w:type="character" w:styleId="UnresolvedMention">
    <w:name w:val="Unresolved Mention"/>
    <w:basedOn w:val="DefaultParagraphFont"/>
    <w:uiPriority w:val="99"/>
    <w:semiHidden/>
    <w:unhideWhenUsed/>
    <w:rsid w:val="0025322A"/>
    <w:rPr>
      <w:color w:val="605E5C"/>
      <w:shd w:val="clear" w:color="auto" w:fill="E1DFDD"/>
    </w:rPr>
  </w:style>
  <w:style w:type="table" w:styleId="TableGrid">
    <w:name w:val="Table Grid"/>
    <w:basedOn w:val="TableNormal"/>
    <w:uiPriority w:val="39"/>
    <w:rsid w:val="00253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7F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0C0E0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C0E06"/>
    <w:pPr>
      <w:spacing w:after="100"/>
    </w:pPr>
  </w:style>
  <w:style w:type="paragraph" w:styleId="TOC2">
    <w:name w:val="toc 2"/>
    <w:basedOn w:val="Normal"/>
    <w:next w:val="Normal"/>
    <w:autoRedefine/>
    <w:uiPriority w:val="39"/>
    <w:unhideWhenUsed/>
    <w:rsid w:val="000C0E06"/>
    <w:pPr>
      <w:spacing w:after="100"/>
      <w:ind w:left="220"/>
    </w:pPr>
  </w:style>
  <w:style w:type="paragraph" w:styleId="TOC3">
    <w:name w:val="toc 3"/>
    <w:basedOn w:val="Normal"/>
    <w:next w:val="Normal"/>
    <w:autoRedefine/>
    <w:uiPriority w:val="39"/>
    <w:unhideWhenUsed/>
    <w:rsid w:val="000C0E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4071">
      <w:bodyDiv w:val="1"/>
      <w:marLeft w:val="0"/>
      <w:marRight w:val="0"/>
      <w:marTop w:val="0"/>
      <w:marBottom w:val="0"/>
      <w:divBdr>
        <w:top w:val="none" w:sz="0" w:space="0" w:color="auto"/>
        <w:left w:val="none" w:sz="0" w:space="0" w:color="auto"/>
        <w:bottom w:val="none" w:sz="0" w:space="0" w:color="auto"/>
        <w:right w:val="none" w:sz="0" w:space="0" w:color="auto"/>
      </w:divBdr>
      <w:divsChild>
        <w:div w:id="1191646339">
          <w:marLeft w:val="0"/>
          <w:marRight w:val="0"/>
          <w:marTop w:val="0"/>
          <w:marBottom w:val="0"/>
          <w:divBdr>
            <w:top w:val="none" w:sz="0" w:space="0" w:color="auto"/>
            <w:left w:val="none" w:sz="0" w:space="0" w:color="auto"/>
            <w:bottom w:val="none" w:sz="0" w:space="0" w:color="auto"/>
            <w:right w:val="none" w:sz="0" w:space="0" w:color="auto"/>
          </w:divBdr>
          <w:divsChild>
            <w:div w:id="1965228294">
              <w:marLeft w:val="0"/>
              <w:marRight w:val="0"/>
              <w:marTop w:val="0"/>
              <w:marBottom w:val="0"/>
              <w:divBdr>
                <w:top w:val="none" w:sz="0" w:space="0" w:color="auto"/>
                <w:left w:val="none" w:sz="0" w:space="0" w:color="auto"/>
                <w:bottom w:val="none" w:sz="0" w:space="0" w:color="auto"/>
                <w:right w:val="none" w:sz="0" w:space="0" w:color="auto"/>
              </w:divBdr>
              <w:divsChild>
                <w:div w:id="697438893">
                  <w:marLeft w:val="0"/>
                  <w:marRight w:val="0"/>
                  <w:marTop w:val="0"/>
                  <w:marBottom w:val="0"/>
                  <w:divBdr>
                    <w:top w:val="none" w:sz="0" w:space="0" w:color="auto"/>
                    <w:left w:val="none" w:sz="0" w:space="0" w:color="auto"/>
                    <w:bottom w:val="none" w:sz="0" w:space="0" w:color="auto"/>
                    <w:right w:val="none" w:sz="0" w:space="0" w:color="auto"/>
                  </w:divBdr>
                  <w:divsChild>
                    <w:div w:id="1351100760">
                      <w:marLeft w:val="0"/>
                      <w:marRight w:val="0"/>
                      <w:marTop w:val="0"/>
                      <w:marBottom w:val="0"/>
                      <w:divBdr>
                        <w:top w:val="none" w:sz="0" w:space="0" w:color="auto"/>
                        <w:left w:val="none" w:sz="0" w:space="0" w:color="auto"/>
                        <w:bottom w:val="none" w:sz="0" w:space="0" w:color="auto"/>
                        <w:right w:val="none" w:sz="0" w:space="0" w:color="auto"/>
                      </w:divBdr>
                      <w:divsChild>
                        <w:div w:id="291789385">
                          <w:marLeft w:val="0"/>
                          <w:marRight w:val="0"/>
                          <w:marTop w:val="0"/>
                          <w:marBottom w:val="0"/>
                          <w:divBdr>
                            <w:top w:val="none" w:sz="0" w:space="0" w:color="auto"/>
                            <w:left w:val="none" w:sz="0" w:space="0" w:color="auto"/>
                            <w:bottom w:val="none" w:sz="0" w:space="0" w:color="auto"/>
                            <w:right w:val="none" w:sz="0" w:space="0" w:color="auto"/>
                          </w:divBdr>
                          <w:divsChild>
                            <w:div w:id="1153258332">
                              <w:marLeft w:val="0"/>
                              <w:marRight w:val="0"/>
                              <w:marTop w:val="0"/>
                              <w:marBottom w:val="0"/>
                              <w:divBdr>
                                <w:top w:val="none" w:sz="0" w:space="0" w:color="auto"/>
                                <w:left w:val="none" w:sz="0" w:space="0" w:color="auto"/>
                                <w:bottom w:val="none" w:sz="0" w:space="0" w:color="auto"/>
                                <w:right w:val="none" w:sz="0" w:space="0" w:color="auto"/>
                              </w:divBdr>
                              <w:divsChild>
                                <w:div w:id="1997687932">
                                  <w:marLeft w:val="0"/>
                                  <w:marRight w:val="0"/>
                                  <w:marTop w:val="0"/>
                                  <w:marBottom w:val="0"/>
                                  <w:divBdr>
                                    <w:top w:val="none" w:sz="0" w:space="0" w:color="auto"/>
                                    <w:left w:val="none" w:sz="0" w:space="0" w:color="auto"/>
                                    <w:bottom w:val="none" w:sz="0" w:space="0" w:color="auto"/>
                                    <w:right w:val="none" w:sz="0" w:space="0" w:color="auto"/>
                                  </w:divBdr>
                                  <w:divsChild>
                                    <w:div w:id="3839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69995">
      <w:bodyDiv w:val="1"/>
      <w:marLeft w:val="0"/>
      <w:marRight w:val="0"/>
      <w:marTop w:val="0"/>
      <w:marBottom w:val="0"/>
      <w:divBdr>
        <w:top w:val="none" w:sz="0" w:space="0" w:color="auto"/>
        <w:left w:val="none" w:sz="0" w:space="0" w:color="auto"/>
        <w:bottom w:val="none" w:sz="0" w:space="0" w:color="auto"/>
        <w:right w:val="none" w:sz="0" w:space="0" w:color="auto"/>
      </w:divBdr>
    </w:div>
    <w:div w:id="168444713">
      <w:bodyDiv w:val="1"/>
      <w:marLeft w:val="0"/>
      <w:marRight w:val="0"/>
      <w:marTop w:val="0"/>
      <w:marBottom w:val="0"/>
      <w:divBdr>
        <w:top w:val="none" w:sz="0" w:space="0" w:color="auto"/>
        <w:left w:val="none" w:sz="0" w:space="0" w:color="auto"/>
        <w:bottom w:val="none" w:sz="0" w:space="0" w:color="auto"/>
        <w:right w:val="none" w:sz="0" w:space="0" w:color="auto"/>
      </w:divBdr>
    </w:div>
    <w:div w:id="345712750">
      <w:bodyDiv w:val="1"/>
      <w:marLeft w:val="0"/>
      <w:marRight w:val="0"/>
      <w:marTop w:val="0"/>
      <w:marBottom w:val="0"/>
      <w:divBdr>
        <w:top w:val="none" w:sz="0" w:space="0" w:color="auto"/>
        <w:left w:val="none" w:sz="0" w:space="0" w:color="auto"/>
        <w:bottom w:val="none" w:sz="0" w:space="0" w:color="auto"/>
        <w:right w:val="none" w:sz="0" w:space="0" w:color="auto"/>
      </w:divBdr>
    </w:div>
    <w:div w:id="432745920">
      <w:bodyDiv w:val="1"/>
      <w:marLeft w:val="0"/>
      <w:marRight w:val="0"/>
      <w:marTop w:val="0"/>
      <w:marBottom w:val="0"/>
      <w:divBdr>
        <w:top w:val="none" w:sz="0" w:space="0" w:color="auto"/>
        <w:left w:val="none" w:sz="0" w:space="0" w:color="auto"/>
        <w:bottom w:val="none" w:sz="0" w:space="0" w:color="auto"/>
        <w:right w:val="none" w:sz="0" w:space="0" w:color="auto"/>
      </w:divBdr>
      <w:divsChild>
        <w:div w:id="1424643118">
          <w:marLeft w:val="0"/>
          <w:marRight w:val="0"/>
          <w:marTop w:val="0"/>
          <w:marBottom w:val="0"/>
          <w:divBdr>
            <w:top w:val="none" w:sz="0" w:space="0" w:color="auto"/>
            <w:left w:val="none" w:sz="0" w:space="0" w:color="auto"/>
            <w:bottom w:val="none" w:sz="0" w:space="0" w:color="auto"/>
            <w:right w:val="none" w:sz="0" w:space="0" w:color="auto"/>
          </w:divBdr>
          <w:divsChild>
            <w:div w:id="1840732048">
              <w:marLeft w:val="0"/>
              <w:marRight w:val="0"/>
              <w:marTop w:val="0"/>
              <w:marBottom w:val="0"/>
              <w:divBdr>
                <w:top w:val="none" w:sz="0" w:space="0" w:color="auto"/>
                <w:left w:val="none" w:sz="0" w:space="0" w:color="auto"/>
                <w:bottom w:val="none" w:sz="0" w:space="0" w:color="auto"/>
                <w:right w:val="none" w:sz="0" w:space="0" w:color="auto"/>
              </w:divBdr>
              <w:divsChild>
                <w:div w:id="2101754263">
                  <w:marLeft w:val="0"/>
                  <w:marRight w:val="0"/>
                  <w:marTop w:val="0"/>
                  <w:marBottom w:val="0"/>
                  <w:divBdr>
                    <w:top w:val="none" w:sz="0" w:space="0" w:color="auto"/>
                    <w:left w:val="none" w:sz="0" w:space="0" w:color="auto"/>
                    <w:bottom w:val="none" w:sz="0" w:space="0" w:color="auto"/>
                    <w:right w:val="none" w:sz="0" w:space="0" w:color="auto"/>
                  </w:divBdr>
                  <w:divsChild>
                    <w:div w:id="271203612">
                      <w:marLeft w:val="0"/>
                      <w:marRight w:val="0"/>
                      <w:marTop w:val="0"/>
                      <w:marBottom w:val="0"/>
                      <w:divBdr>
                        <w:top w:val="none" w:sz="0" w:space="0" w:color="auto"/>
                        <w:left w:val="none" w:sz="0" w:space="0" w:color="auto"/>
                        <w:bottom w:val="none" w:sz="0" w:space="0" w:color="auto"/>
                        <w:right w:val="none" w:sz="0" w:space="0" w:color="auto"/>
                      </w:divBdr>
                      <w:divsChild>
                        <w:div w:id="398287312">
                          <w:marLeft w:val="0"/>
                          <w:marRight w:val="0"/>
                          <w:marTop w:val="0"/>
                          <w:marBottom w:val="0"/>
                          <w:divBdr>
                            <w:top w:val="none" w:sz="0" w:space="0" w:color="auto"/>
                            <w:left w:val="none" w:sz="0" w:space="0" w:color="auto"/>
                            <w:bottom w:val="none" w:sz="0" w:space="0" w:color="auto"/>
                            <w:right w:val="none" w:sz="0" w:space="0" w:color="auto"/>
                          </w:divBdr>
                          <w:divsChild>
                            <w:div w:id="1557467625">
                              <w:marLeft w:val="0"/>
                              <w:marRight w:val="0"/>
                              <w:marTop w:val="0"/>
                              <w:marBottom w:val="0"/>
                              <w:divBdr>
                                <w:top w:val="none" w:sz="0" w:space="0" w:color="auto"/>
                                <w:left w:val="none" w:sz="0" w:space="0" w:color="auto"/>
                                <w:bottom w:val="none" w:sz="0" w:space="0" w:color="auto"/>
                                <w:right w:val="none" w:sz="0" w:space="0" w:color="auto"/>
                              </w:divBdr>
                              <w:divsChild>
                                <w:div w:id="1598245906">
                                  <w:marLeft w:val="0"/>
                                  <w:marRight w:val="0"/>
                                  <w:marTop w:val="0"/>
                                  <w:marBottom w:val="0"/>
                                  <w:divBdr>
                                    <w:top w:val="none" w:sz="0" w:space="0" w:color="auto"/>
                                    <w:left w:val="none" w:sz="0" w:space="0" w:color="auto"/>
                                    <w:bottom w:val="none" w:sz="0" w:space="0" w:color="auto"/>
                                    <w:right w:val="none" w:sz="0" w:space="0" w:color="auto"/>
                                  </w:divBdr>
                                  <w:divsChild>
                                    <w:div w:id="17310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973310">
      <w:bodyDiv w:val="1"/>
      <w:marLeft w:val="0"/>
      <w:marRight w:val="0"/>
      <w:marTop w:val="0"/>
      <w:marBottom w:val="0"/>
      <w:divBdr>
        <w:top w:val="none" w:sz="0" w:space="0" w:color="auto"/>
        <w:left w:val="none" w:sz="0" w:space="0" w:color="auto"/>
        <w:bottom w:val="none" w:sz="0" w:space="0" w:color="auto"/>
        <w:right w:val="none" w:sz="0" w:space="0" w:color="auto"/>
      </w:divBdr>
    </w:div>
    <w:div w:id="861435783">
      <w:bodyDiv w:val="1"/>
      <w:marLeft w:val="0"/>
      <w:marRight w:val="0"/>
      <w:marTop w:val="0"/>
      <w:marBottom w:val="0"/>
      <w:divBdr>
        <w:top w:val="none" w:sz="0" w:space="0" w:color="auto"/>
        <w:left w:val="none" w:sz="0" w:space="0" w:color="auto"/>
        <w:bottom w:val="none" w:sz="0" w:space="0" w:color="auto"/>
        <w:right w:val="none" w:sz="0" w:space="0" w:color="auto"/>
      </w:divBdr>
    </w:div>
    <w:div w:id="1018240964">
      <w:bodyDiv w:val="1"/>
      <w:marLeft w:val="0"/>
      <w:marRight w:val="0"/>
      <w:marTop w:val="0"/>
      <w:marBottom w:val="0"/>
      <w:divBdr>
        <w:top w:val="none" w:sz="0" w:space="0" w:color="auto"/>
        <w:left w:val="none" w:sz="0" w:space="0" w:color="auto"/>
        <w:bottom w:val="none" w:sz="0" w:space="0" w:color="auto"/>
        <w:right w:val="none" w:sz="0" w:space="0" w:color="auto"/>
      </w:divBdr>
    </w:div>
    <w:div w:id="1039550413">
      <w:bodyDiv w:val="1"/>
      <w:marLeft w:val="0"/>
      <w:marRight w:val="0"/>
      <w:marTop w:val="0"/>
      <w:marBottom w:val="0"/>
      <w:divBdr>
        <w:top w:val="none" w:sz="0" w:space="0" w:color="auto"/>
        <w:left w:val="none" w:sz="0" w:space="0" w:color="auto"/>
        <w:bottom w:val="none" w:sz="0" w:space="0" w:color="auto"/>
        <w:right w:val="none" w:sz="0" w:space="0" w:color="auto"/>
      </w:divBdr>
    </w:div>
    <w:div w:id="1097560155">
      <w:bodyDiv w:val="1"/>
      <w:marLeft w:val="0"/>
      <w:marRight w:val="0"/>
      <w:marTop w:val="0"/>
      <w:marBottom w:val="0"/>
      <w:divBdr>
        <w:top w:val="none" w:sz="0" w:space="0" w:color="auto"/>
        <w:left w:val="none" w:sz="0" w:space="0" w:color="auto"/>
        <w:bottom w:val="none" w:sz="0" w:space="0" w:color="auto"/>
        <w:right w:val="none" w:sz="0" w:space="0" w:color="auto"/>
      </w:divBdr>
    </w:div>
    <w:div w:id="1318027244">
      <w:bodyDiv w:val="1"/>
      <w:marLeft w:val="0"/>
      <w:marRight w:val="0"/>
      <w:marTop w:val="0"/>
      <w:marBottom w:val="0"/>
      <w:divBdr>
        <w:top w:val="none" w:sz="0" w:space="0" w:color="auto"/>
        <w:left w:val="none" w:sz="0" w:space="0" w:color="auto"/>
        <w:bottom w:val="none" w:sz="0" w:space="0" w:color="auto"/>
        <w:right w:val="none" w:sz="0" w:space="0" w:color="auto"/>
      </w:divBdr>
    </w:div>
    <w:div w:id="1576429733">
      <w:bodyDiv w:val="1"/>
      <w:marLeft w:val="0"/>
      <w:marRight w:val="0"/>
      <w:marTop w:val="0"/>
      <w:marBottom w:val="0"/>
      <w:divBdr>
        <w:top w:val="none" w:sz="0" w:space="0" w:color="auto"/>
        <w:left w:val="none" w:sz="0" w:space="0" w:color="auto"/>
        <w:bottom w:val="none" w:sz="0" w:space="0" w:color="auto"/>
        <w:right w:val="none" w:sz="0" w:space="0" w:color="auto"/>
      </w:divBdr>
    </w:div>
    <w:div w:id="2094424211">
      <w:bodyDiv w:val="1"/>
      <w:marLeft w:val="0"/>
      <w:marRight w:val="0"/>
      <w:marTop w:val="0"/>
      <w:marBottom w:val="0"/>
      <w:divBdr>
        <w:top w:val="none" w:sz="0" w:space="0" w:color="auto"/>
        <w:left w:val="none" w:sz="0" w:space="0" w:color="auto"/>
        <w:bottom w:val="none" w:sz="0" w:space="0" w:color="auto"/>
        <w:right w:val="none" w:sz="0" w:space="0" w:color="auto"/>
      </w:divBdr>
    </w:div>
    <w:div w:id="211736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nergy.gov.au/energy-data/australian-energy-statistics/states-and-terr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3860E-79BF-4D9A-8669-8355887CB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Anirban Chakrabarty</cp:lastModifiedBy>
  <cp:revision>11</cp:revision>
  <cp:lastPrinted>2025-06-01T14:29:00Z</cp:lastPrinted>
  <dcterms:created xsi:type="dcterms:W3CDTF">2025-06-01T11:50:00Z</dcterms:created>
  <dcterms:modified xsi:type="dcterms:W3CDTF">2025-06-01T14:32:00Z</dcterms:modified>
</cp:coreProperties>
</file>