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586" w:rsidRDefault="00951727">
      <w:pPr>
        <w:pStyle w:val="Title"/>
        <w:jc w:val="center"/>
      </w:pPr>
      <w:bookmarkStart w:id="0" w:name="_GoBack"/>
      <w:bookmarkEnd w:id="0"/>
      <w:r>
        <w:rPr>
          <w:rFonts w:ascii="Calibri" w:hAnsi="Calibri"/>
          <w:sz w:val="22"/>
        </w:rPr>
        <w:t>RedDust — Chapter 03: System A versus System B</w:t>
      </w:r>
    </w:p>
    <w:p w:rsidR="00730586" w:rsidRDefault="00951727">
      <w:pPr>
        <w:pStyle w:val="Subtitle"/>
        <w:jc w:val="center"/>
      </w:pPr>
      <w:r>
        <w:rPr>
          <w:rFonts w:ascii="Calibri" w:hAnsi="Calibri"/>
          <w:sz w:val="22"/>
        </w:rPr>
        <w:t>Expanded drop-in chapter for the Agentic AI textbook and Step 23 implementation material</w:t>
      </w:r>
    </w:p>
    <w:p w:rsidR="00730586" w:rsidRDefault="00951727">
      <w:pPr>
        <w:jc w:val="center"/>
      </w:pPr>
      <w:r>
        <w:rPr>
          <w:b/>
          <w:color w:val="0F2B5B"/>
        </w:rPr>
        <w:t xml:space="preserve">Learning objective. </w:t>
      </w:r>
      <w:r>
        <w:t xml:space="preserve">Separate engineering automation from client transaction execution, while recognizing what </w:t>
      </w:r>
      <w:r>
        <w:t>infrastructure may be shared and what authority must remain isolated.</w:t>
      </w:r>
    </w:p>
    <w:p w:rsidR="00730586" w:rsidRDefault="00730586"/>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How to use this section</w:t>
            </w:r>
          </w:p>
        </w:tc>
      </w:tr>
      <w:tr w:rsidR="00730586">
        <w:trPr>
          <w:jc w:val="center"/>
        </w:trPr>
        <w:tc>
          <w:tcPr>
            <w:tcW w:w="10080" w:type="dxa"/>
            <w:shd w:val="clear" w:color="auto" w:fill="F8FBFD"/>
          </w:tcPr>
          <w:p w:rsidR="00730586" w:rsidRDefault="00951727">
            <w:r>
              <w:rPr>
                <w:sz w:val="21"/>
              </w:rPr>
              <w:t>This chapter can be inserted directly into the RedDust Agentic AI textbook. It expands the terse outline into an implementation-aware reference chapter with arc</w:t>
            </w:r>
            <w:r>
              <w:rPr>
                <w:sz w:val="21"/>
              </w:rPr>
              <w:t>hitecture guidance, security boundaries, worked examples, labs, evidence requirements and acceptance criteria.</w:t>
            </w:r>
          </w:p>
        </w:tc>
      </w:tr>
    </w:tbl>
    <w:p w:rsidR="00730586" w:rsidRDefault="00730586"/>
    <w:p w:rsidR="00730586" w:rsidRDefault="00951727">
      <w:pPr>
        <w:pStyle w:val="Heading1"/>
        <w:spacing w:after="120"/>
      </w:pPr>
      <w:r>
        <w:rPr>
          <w:rFonts w:ascii="Calibri" w:hAnsi="Calibri"/>
          <w:sz w:val="22"/>
        </w:rPr>
        <w:t>3.1 — The engineering mission</w:t>
      </w:r>
    </w:p>
    <w:p w:rsidR="00730586" w:rsidRDefault="00951727">
      <w:pPr>
        <w:pStyle w:val="Heading2"/>
        <w:spacing w:after="120"/>
      </w:pPr>
      <w:r>
        <w:rPr>
          <w:rFonts w:ascii="Calibri" w:hAnsi="Calibri"/>
          <w:sz w:val="22"/>
        </w:rPr>
        <w:t>What this section does and why it matters</w:t>
      </w:r>
    </w:p>
    <w:p w:rsidR="00730586" w:rsidRDefault="00951727">
      <w:pPr>
        <w:spacing w:after="120"/>
      </w:pPr>
      <w:r>
        <w:t>System A is the agentic subsystem that helps build, maintain, test, sec</w:t>
      </w:r>
      <w:r>
        <w:t>ure and release RedDust itself. Its job is to change engineering artifacts safely. That sounds straightforward, but it introduces an important architectural distinction: System A operates on source code, infrastructure definitions, test suites, build pipel</w:t>
      </w:r>
      <w:r>
        <w:t>ines, release evidence and deployment plans. It is not supposed to execute a client’s live business transaction simply because it knows how to use tools.</w:t>
      </w:r>
    </w:p>
    <w:p w:rsidR="00730586" w:rsidRDefault="00951727">
      <w:pPr>
        <w:spacing w:after="120"/>
      </w:pPr>
      <w:r>
        <w:t>In practice, System A should begin as a read-mostly assistant. It should inspect repositories, analyze</w:t>
      </w:r>
      <w:r>
        <w:t xml:space="preserve"> architecture, explain errors and suggest patches before it is trusted to write changes. Promotion to patching, pull-request creation, deployment support or post-deployment operations must be evidence-based and incremental.</w:t>
      </w:r>
    </w:p>
    <w:p w:rsidR="00730586" w:rsidRDefault="00951727">
      <w:pPr>
        <w:pStyle w:val="Heading2"/>
        <w:spacing w:after="120"/>
      </w:pPr>
      <w:r>
        <w:rPr>
          <w:rFonts w:ascii="Calibri" w:hAnsi="Calibri"/>
          <w:sz w:val="22"/>
        </w:rPr>
        <w:t>3.1.1 — What System A actually d</w:t>
      </w:r>
      <w:r>
        <w:rPr>
          <w:rFonts w:ascii="Calibri" w:hAnsi="Calibri"/>
          <w:sz w:val="22"/>
        </w:rPr>
        <w:t>oes</w:t>
      </w:r>
    </w:p>
    <w:p w:rsidR="00730586" w:rsidRDefault="00951727">
      <w:pPr>
        <w:spacing w:after="40"/>
        <w:ind w:left="360" w:hanging="259"/>
      </w:pPr>
      <w:r>
        <w:t>• Reads repositories, architectural decision records, issue trackers and build logs.</w:t>
      </w:r>
    </w:p>
    <w:p w:rsidR="00730586" w:rsidRDefault="00951727">
      <w:pPr>
        <w:spacing w:after="40"/>
        <w:ind w:left="360" w:hanging="259"/>
      </w:pPr>
      <w:r>
        <w:t>• Proposes architecture changes and implementation plans.</w:t>
      </w:r>
    </w:p>
    <w:p w:rsidR="00730586" w:rsidRDefault="00951727">
      <w:pPr>
        <w:spacing w:after="40"/>
        <w:ind w:left="360" w:hanging="259"/>
      </w:pPr>
      <w:r>
        <w:t>• Writes or edits source code only inside isolated worktrees, sandboxes or short-lived branches.</w:t>
      </w:r>
    </w:p>
    <w:p w:rsidR="00730586" w:rsidRDefault="00951727">
      <w:pPr>
        <w:spacing w:after="40"/>
        <w:ind w:left="360" w:hanging="259"/>
      </w:pPr>
      <w:r>
        <w:t xml:space="preserve">• Runs </w:t>
      </w:r>
      <w:r>
        <w:t>reproducible validation such as unit tests, linting, type checking, security scans and Terraform plan generation.</w:t>
      </w:r>
    </w:p>
    <w:p w:rsidR="00730586" w:rsidRDefault="00951727">
      <w:pPr>
        <w:spacing w:after="40"/>
        <w:ind w:left="360" w:hanging="259"/>
      </w:pPr>
      <w:r>
        <w:t>• Submits pull requests, release notes, post-incident analyses and review evidence.</w:t>
      </w:r>
    </w:p>
    <w:p w:rsidR="00730586" w:rsidRDefault="00951727">
      <w:pPr>
        <w:spacing w:after="40"/>
        <w:ind w:left="360" w:hanging="259"/>
      </w:pPr>
      <w:r>
        <w:t>• Assists with debugging, root-cause analysis, documentati</w:t>
      </w:r>
      <w:r>
        <w:t>on and technical debt reduction.</w:t>
      </w:r>
    </w:p>
    <w:p w:rsidR="00730586" w:rsidRDefault="00951727">
      <w:pPr>
        <w:spacing w:after="120"/>
      </w:pPr>
      <w:r>
        <w:t xml:space="preserve">These tasks generate engineering artifacts. The artifacts are observable, reviewable and testable. That makes System A a good early target for controlled autonomy because its work product can be validated before it reaches </w:t>
      </w:r>
      <w:r>
        <w:t>production.</w:t>
      </w:r>
    </w:p>
    <w:p w:rsidR="00730586" w:rsidRDefault="00951727">
      <w:pPr>
        <w:pStyle w:val="Heading2"/>
        <w:spacing w:after="120"/>
      </w:pPr>
      <w:r>
        <w:rPr>
          <w:rFonts w:ascii="Calibri" w:hAnsi="Calibri"/>
          <w:sz w:val="22"/>
        </w:rPr>
        <w:t>3.1.2 — Natural artifacts of System A</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Artifact</w:t>
            </w:r>
          </w:p>
        </w:tc>
        <w:tc>
          <w:tcPr>
            <w:tcW w:w="3360" w:type="dxa"/>
            <w:shd w:val="clear" w:color="auto" w:fill="1F4E79"/>
          </w:tcPr>
          <w:p w:rsidR="00730586" w:rsidRDefault="00951727">
            <w:r>
              <w:rPr>
                <w:b/>
                <w:color w:val="FFFFFF"/>
                <w:sz w:val="21"/>
              </w:rPr>
              <w:t>Examples in RedDust</w:t>
            </w:r>
          </w:p>
        </w:tc>
        <w:tc>
          <w:tcPr>
            <w:tcW w:w="3360" w:type="dxa"/>
            <w:shd w:val="clear" w:color="auto" w:fill="1F4E79"/>
          </w:tcPr>
          <w:p w:rsidR="00730586" w:rsidRDefault="00951727">
            <w:r>
              <w:rPr>
                <w:b/>
                <w:color w:val="FFFFFF"/>
                <w:sz w:val="21"/>
              </w:rPr>
              <w:t>Why it matters</w:t>
            </w:r>
          </w:p>
        </w:tc>
      </w:tr>
      <w:tr w:rsidR="00730586">
        <w:trPr>
          <w:jc w:val="center"/>
        </w:trPr>
        <w:tc>
          <w:tcPr>
            <w:tcW w:w="3360" w:type="dxa"/>
          </w:tcPr>
          <w:p w:rsidR="00730586" w:rsidRDefault="00951727">
            <w:r>
              <w:rPr>
                <w:sz w:val="20"/>
              </w:rPr>
              <w:lastRenderedPageBreak/>
              <w:t>Source changes</w:t>
            </w:r>
          </w:p>
        </w:tc>
        <w:tc>
          <w:tcPr>
            <w:tcW w:w="3360" w:type="dxa"/>
          </w:tcPr>
          <w:p w:rsidR="00730586" w:rsidRDefault="00951727">
            <w:r>
              <w:rPr>
                <w:sz w:val="20"/>
              </w:rPr>
              <w:t>FastAPI route patches, React Native fixes, aiortc logic updates</w:t>
            </w:r>
          </w:p>
        </w:tc>
        <w:tc>
          <w:tcPr>
            <w:tcW w:w="3360" w:type="dxa"/>
          </w:tcPr>
          <w:p w:rsidR="00730586" w:rsidRDefault="00951727">
            <w:r>
              <w:rPr>
                <w:sz w:val="20"/>
              </w:rPr>
              <w:t>Primary output of engineering work</w:t>
            </w:r>
          </w:p>
        </w:tc>
      </w:tr>
      <w:tr w:rsidR="00730586">
        <w:trPr>
          <w:jc w:val="center"/>
        </w:trPr>
        <w:tc>
          <w:tcPr>
            <w:tcW w:w="3360" w:type="dxa"/>
          </w:tcPr>
          <w:p w:rsidR="00730586" w:rsidRDefault="00951727">
            <w:r>
              <w:rPr>
                <w:sz w:val="20"/>
              </w:rPr>
              <w:t>Infrastructure definitions</w:t>
            </w:r>
          </w:p>
        </w:tc>
        <w:tc>
          <w:tcPr>
            <w:tcW w:w="3360" w:type="dxa"/>
          </w:tcPr>
          <w:p w:rsidR="00730586" w:rsidRDefault="00951727">
            <w:r>
              <w:rPr>
                <w:sz w:val="20"/>
              </w:rPr>
              <w:t xml:space="preserve">Terraform modules, </w:t>
            </w:r>
            <w:r>
              <w:rPr>
                <w:sz w:val="20"/>
              </w:rPr>
              <w:t>Kubernetes manifests, policy YAML</w:t>
            </w:r>
          </w:p>
        </w:tc>
        <w:tc>
          <w:tcPr>
            <w:tcW w:w="3360" w:type="dxa"/>
          </w:tcPr>
          <w:p w:rsidR="00730586" w:rsidRDefault="00951727">
            <w:r>
              <w:rPr>
                <w:sz w:val="20"/>
              </w:rPr>
              <w:t>Controls cloud and cluster behavior</w:t>
            </w:r>
          </w:p>
        </w:tc>
      </w:tr>
      <w:tr w:rsidR="00730586">
        <w:trPr>
          <w:jc w:val="center"/>
        </w:trPr>
        <w:tc>
          <w:tcPr>
            <w:tcW w:w="3360" w:type="dxa"/>
          </w:tcPr>
          <w:p w:rsidR="00730586" w:rsidRDefault="00951727">
            <w:r>
              <w:rPr>
                <w:sz w:val="20"/>
              </w:rPr>
              <w:t>Validation evidence</w:t>
            </w:r>
          </w:p>
        </w:tc>
        <w:tc>
          <w:tcPr>
            <w:tcW w:w="3360" w:type="dxa"/>
          </w:tcPr>
          <w:p w:rsidR="00730586" w:rsidRDefault="00951727">
            <w:r>
              <w:rPr>
                <w:sz w:val="20"/>
              </w:rPr>
              <w:t>pytest output, coverage reports, lint logs, security scan results</w:t>
            </w:r>
          </w:p>
        </w:tc>
        <w:tc>
          <w:tcPr>
            <w:tcW w:w="3360" w:type="dxa"/>
          </w:tcPr>
          <w:p w:rsidR="00730586" w:rsidRDefault="00951727">
            <w:r>
              <w:rPr>
                <w:sz w:val="20"/>
              </w:rPr>
              <w:t>Required proof that the change is safe</w:t>
            </w:r>
          </w:p>
        </w:tc>
      </w:tr>
      <w:tr w:rsidR="00730586">
        <w:trPr>
          <w:jc w:val="center"/>
        </w:trPr>
        <w:tc>
          <w:tcPr>
            <w:tcW w:w="3360" w:type="dxa"/>
          </w:tcPr>
          <w:p w:rsidR="00730586" w:rsidRDefault="00951727">
            <w:r>
              <w:rPr>
                <w:sz w:val="20"/>
              </w:rPr>
              <w:t>Review artifacts</w:t>
            </w:r>
          </w:p>
        </w:tc>
        <w:tc>
          <w:tcPr>
            <w:tcW w:w="3360" w:type="dxa"/>
          </w:tcPr>
          <w:p w:rsidR="00730586" w:rsidRDefault="00951727">
            <w:r>
              <w:rPr>
                <w:sz w:val="20"/>
              </w:rPr>
              <w:t>Pull requests, code review notes, ADR draf</w:t>
            </w:r>
            <w:r>
              <w:rPr>
                <w:sz w:val="20"/>
              </w:rPr>
              <w:t>ts</w:t>
            </w:r>
          </w:p>
        </w:tc>
        <w:tc>
          <w:tcPr>
            <w:tcW w:w="3360" w:type="dxa"/>
          </w:tcPr>
          <w:p w:rsidR="00730586" w:rsidRDefault="00951727">
            <w:r>
              <w:rPr>
                <w:sz w:val="20"/>
              </w:rPr>
              <w:t>Supports human governance</w:t>
            </w:r>
          </w:p>
        </w:tc>
      </w:tr>
      <w:tr w:rsidR="00730586">
        <w:trPr>
          <w:jc w:val="center"/>
        </w:trPr>
        <w:tc>
          <w:tcPr>
            <w:tcW w:w="3360" w:type="dxa"/>
          </w:tcPr>
          <w:p w:rsidR="00730586" w:rsidRDefault="00951727">
            <w:r>
              <w:rPr>
                <w:sz w:val="20"/>
              </w:rPr>
              <w:t>Operational analyses</w:t>
            </w:r>
          </w:p>
        </w:tc>
        <w:tc>
          <w:tcPr>
            <w:tcW w:w="3360" w:type="dxa"/>
          </w:tcPr>
          <w:p w:rsidR="00730586" w:rsidRDefault="00951727">
            <w:r>
              <w:rPr>
                <w:sz w:val="20"/>
              </w:rPr>
              <w:t>Incident timelines, postmortems, root-cause summaries</w:t>
            </w:r>
          </w:p>
        </w:tc>
        <w:tc>
          <w:tcPr>
            <w:tcW w:w="3360" w:type="dxa"/>
          </w:tcPr>
          <w:p w:rsidR="00730586" w:rsidRDefault="00951727">
            <w:r>
              <w:rPr>
                <w:sz w:val="20"/>
              </w:rPr>
              <w:t>Improves reliability and learning</w:t>
            </w:r>
          </w:p>
        </w:tc>
      </w:tr>
      <w:tr w:rsidR="00730586">
        <w:trPr>
          <w:jc w:val="center"/>
        </w:trPr>
        <w:tc>
          <w:tcPr>
            <w:tcW w:w="3360" w:type="dxa"/>
          </w:tcPr>
          <w:p w:rsidR="00730586" w:rsidRDefault="00951727">
            <w:r>
              <w:rPr>
                <w:sz w:val="20"/>
              </w:rPr>
              <w:t>Release artifacts</w:t>
            </w:r>
          </w:p>
        </w:tc>
        <w:tc>
          <w:tcPr>
            <w:tcW w:w="3360" w:type="dxa"/>
          </w:tcPr>
          <w:p w:rsidR="00730586" w:rsidRDefault="00951727">
            <w:r>
              <w:rPr>
                <w:sz w:val="20"/>
              </w:rPr>
              <w:t>Release notes, changelog entries, rollout plans</w:t>
            </w:r>
          </w:p>
        </w:tc>
        <w:tc>
          <w:tcPr>
            <w:tcW w:w="3360" w:type="dxa"/>
          </w:tcPr>
          <w:p w:rsidR="00730586" w:rsidRDefault="00951727">
            <w:r>
              <w:rPr>
                <w:sz w:val="20"/>
              </w:rPr>
              <w:t>Enables controlled deployment</w:t>
            </w:r>
          </w:p>
        </w:tc>
      </w:tr>
    </w:tbl>
    <w:p w:rsidR="00730586" w:rsidRDefault="00730586"/>
    <w:p w:rsidR="00730586" w:rsidRDefault="00951727">
      <w:pPr>
        <w:pStyle w:val="Heading2"/>
        <w:spacing w:after="120"/>
      </w:pPr>
      <w:r>
        <w:rPr>
          <w:rFonts w:ascii="Calibri" w:hAnsi="Calibri"/>
          <w:sz w:val="22"/>
        </w:rPr>
        <w:t>3.1.3 — Default ac</w:t>
      </w:r>
      <w:r>
        <w:rPr>
          <w:rFonts w:ascii="Calibri" w:hAnsi="Calibri"/>
          <w:sz w:val="22"/>
        </w:rPr>
        <w:t>cess model: read first, write later</w:t>
      </w:r>
    </w:p>
    <w:p w:rsidR="00730586" w:rsidRDefault="00951727">
      <w:pPr>
        <w:spacing w:after="120"/>
      </w:pPr>
      <w:r>
        <w:t>The safest initial posture is read-only. A read-only engineering agent can examine code, summarize structure and suggest changes without modifying artifacts. Once the system demonstrates acceptable performance, it can be</w:t>
      </w:r>
      <w:r>
        <w:t xml:space="preserve"> promoted through tightly defined stages of authority:</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Promotion level</w:t>
            </w:r>
          </w:p>
        </w:tc>
        <w:tc>
          <w:tcPr>
            <w:tcW w:w="3360" w:type="dxa"/>
            <w:shd w:val="clear" w:color="auto" w:fill="1F4E79"/>
          </w:tcPr>
          <w:p w:rsidR="00730586" w:rsidRDefault="00951727">
            <w:r>
              <w:rPr>
                <w:b/>
                <w:color w:val="FFFFFF"/>
                <w:sz w:val="21"/>
              </w:rPr>
              <w:t>Typical capabilities</w:t>
            </w:r>
          </w:p>
        </w:tc>
        <w:tc>
          <w:tcPr>
            <w:tcW w:w="3360" w:type="dxa"/>
            <w:shd w:val="clear" w:color="auto" w:fill="1F4E79"/>
          </w:tcPr>
          <w:p w:rsidR="00730586" w:rsidRDefault="00951727">
            <w:r>
              <w:rPr>
                <w:b/>
                <w:color w:val="FFFFFF"/>
                <w:sz w:val="21"/>
              </w:rPr>
              <w:t>Typical approval requirements</w:t>
            </w:r>
          </w:p>
        </w:tc>
      </w:tr>
      <w:tr w:rsidR="00730586">
        <w:trPr>
          <w:jc w:val="center"/>
        </w:trPr>
        <w:tc>
          <w:tcPr>
            <w:tcW w:w="3360" w:type="dxa"/>
          </w:tcPr>
          <w:p w:rsidR="00730586" w:rsidRDefault="00951727">
            <w:r>
              <w:rPr>
                <w:sz w:val="20"/>
              </w:rPr>
              <w:t>L0 — Advisory</w:t>
            </w:r>
          </w:p>
        </w:tc>
        <w:tc>
          <w:tcPr>
            <w:tcW w:w="3360" w:type="dxa"/>
          </w:tcPr>
          <w:p w:rsidR="00730586" w:rsidRDefault="00951727">
            <w:r>
              <w:rPr>
                <w:sz w:val="20"/>
              </w:rPr>
              <w:t>Read repositories and explain findings</w:t>
            </w:r>
          </w:p>
        </w:tc>
        <w:tc>
          <w:tcPr>
            <w:tcW w:w="3360" w:type="dxa"/>
          </w:tcPr>
          <w:p w:rsidR="00730586" w:rsidRDefault="00951727">
            <w:r>
              <w:rPr>
                <w:sz w:val="20"/>
              </w:rPr>
              <w:t>No write permissions</w:t>
            </w:r>
          </w:p>
        </w:tc>
      </w:tr>
      <w:tr w:rsidR="00730586">
        <w:trPr>
          <w:jc w:val="center"/>
        </w:trPr>
        <w:tc>
          <w:tcPr>
            <w:tcW w:w="3360" w:type="dxa"/>
          </w:tcPr>
          <w:p w:rsidR="00730586" w:rsidRDefault="00951727">
            <w:r>
              <w:rPr>
                <w:sz w:val="20"/>
              </w:rPr>
              <w:t>L1 — Drafting</w:t>
            </w:r>
          </w:p>
        </w:tc>
        <w:tc>
          <w:tcPr>
            <w:tcW w:w="3360" w:type="dxa"/>
          </w:tcPr>
          <w:p w:rsidR="00730586" w:rsidRDefault="00951727">
            <w:r>
              <w:rPr>
                <w:sz w:val="20"/>
              </w:rPr>
              <w:t xml:space="preserve">Generate patches or PR descriptions without </w:t>
            </w:r>
            <w:r>
              <w:rPr>
                <w:sz w:val="20"/>
              </w:rPr>
              <w:t>applying them</w:t>
            </w:r>
          </w:p>
        </w:tc>
        <w:tc>
          <w:tcPr>
            <w:tcW w:w="3360" w:type="dxa"/>
          </w:tcPr>
          <w:p w:rsidR="00730586" w:rsidRDefault="00951727">
            <w:r>
              <w:rPr>
                <w:sz w:val="20"/>
              </w:rPr>
              <w:t>Human applies output</w:t>
            </w:r>
          </w:p>
        </w:tc>
      </w:tr>
      <w:tr w:rsidR="00730586">
        <w:trPr>
          <w:jc w:val="center"/>
        </w:trPr>
        <w:tc>
          <w:tcPr>
            <w:tcW w:w="3360" w:type="dxa"/>
          </w:tcPr>
          <w:p w:rsidR="00730586" w:rsidRDefault="00951727">
            <w:r>
              <w:rPr>
                <w:sz w:val="20"/>
              </w:rPr>
              <w:t>L2 — Sandbox write</w:t>
            </w:r>
          </w:p>
        </w:tc>
        <w:tc>
          <w:tcPr>
            <w:tcW w:w="3360" w:type="dxa"/>
          </w:tcPr>
          <w:p w:rsidR="00730586" w:rsidRDefault="00951727">
            <w:r>
              <w:rPr>
                <w:sz w:val="20"/>
              </w:rPr>
              <w:t>Modify files in isolated worktrees and run tests</w:t>
            </w:r>
          </w:p>
        </w:tc>
        <w:tc>
          <w:tcPr>
            <w:tcW w:w="3360" w:type="dxa"/>
          </w:tcPr>
          <w:p w:rsidR="00730586" w:rsidRDefault="00951727">
            <w:r>
              <w:rPr>
                <w:sz w:val="20"/>
              </w:rPr>
              <w:t>Human review before PR</w:t>
            </w:r>
          </w:p>
        </w:tc>
      </w:tr>
      <w:tr w:rsidR="00730586">
        <w:trPr>
          <w:jc w:val="center"/>
        </w:trPr>
        <w:tc>
          <w:tcPr>
            <w:tcW w:w="3360" w:type="dxa"/>
          </w:tcPr>
          <w:p w:rsidR="00730586" w:rsidRDefault="00951727">
            <w:r>
              <w:rPr>
                <w:sz w:val="20"/>
              </w:rPr>
              <w:t>L3 — PR automation</w:t>
            </w:r>
          </w:p>
        </w:tc>
        <w:tc>
          <w:tcPr>
            <w:tcW w:w="3360" w:type="dxa"/>
          </w:tcPr>
          <w:p w:rsidR="00730586" w:rsidRDefault="00951727">
            <w:r>
              <w:rPr>
                <w:sz w:val="20"/>
              </w:rPr>
              <w:t>Create branches, commits and pull requests</w:t>
            </w:r>
          </w:p>
        </w:tc>
        <w:tc>
          <w:tcPr>
            <w:tcW w:w="3360" w:type="dxa"/>
          </w:tcPr>
          <w:p w:rsidR="00730586" w:rsidRDefault="00951727">
            <w:r>
              <w:rPr>
                <w:sz w:val="20"/>
              </w:rPr>
              <w:t>Protected branch rules and CI gates</w:t>
            </w:r>
          </w:p>
        </w:tc>
      </w:tr>
      <w:tr w:rsidR="00730586">
        <w:trPr>
          <w:jc w:val="center"/>
        </w:trPr>
        <w:tc>
          <w:tcPr>
            <w:tcW w:w="3360" w:type="dxa"/>
          </w:tcPr>
          <w:p w:rsidR="00730586" w:rsidRDefault="00951727">
            <w:r>
              <w:rPr>
                <w:sz w:val="20"/>
              </w:rPr>
              <w:t>L4 — Release assistance</w:t>
            </w:r>
          </w:p>
        </w:tc>
        <w:tc>
          <w:tcPr>
            <w:tcW w:w="3360" w:type="dxa"/>
          </w:tcPr>
          <w:p w:rsidR="00730586" w:rsidRDefault="00951727">
            <w:r>
              <w:rPr>
                <w:sz w:val="20"/>
              </w:rPr>
              <w:t>Prepare release candidates and rollout evidence</w:t>
            </w:r>
          </w:p>
        </w:tc>
        <w:tc>
          <w:tcPr>
            <w:tcW w:w="3360" w:type="dxa"/>
          </w:tcPr>
          <w:p w:rsidR="00730586" w:rsidRDefault="00951727">
            <w:r>
              <w:rPr>
                <w:sz w:val="20"/>
              </w:rPr>
              <w:t>Release manager approval</w:t>
            </w:r>
          </w:p>
        </w:tc>
      </w:tr>
      <w:tr w:rsidR="00730586">
        <w:trPr>
          <w:jc w:val="center"/>
        </w:trPr>
        <w:tc>
          <w:tcPr>
            <w:tcW w:w="3360" w:type="dxa"/>
          </w:tcPr>
          <w:p w:rsidR="00730586" w:rsidRDefault="00951727">
            <w:r>
              <w:rPr>
                <w:sz w:val="20"/>
              </w:rPr>
              <w:t>L5 — Limited operations</w:t>
            </w:r>
          </w:p>
        </w:tc>
        <w:tc>
          <w:tcPr>
            <w:tcW w:w="3360" w:type="dxa"/>
          </w:tcPr>
          <w:p w:rsidR="00730586" w:rsidRDefault="00951727">
            <w:r>
              <w:rPr>
                <w:sz w:val="20"/>
              </w:rPr>
              <w:t>Perform bounded low-risk operational tasks</w:t>
            </w:r>
          </w:p>
        </w:tc>
        <w:tc>
          <w:tcPr>
            <w:tcW w:w="3360" w:type="dxa"/>
          </w:tcPr>
          <w:p w:rsidR="00730586" w:rsidRDefault="00951727">
            <w:r>
              <w:rPr>
                <w:sz w:val="20"/>
              </w:rPr>
              <w:t>Strict policy, logging and rollback</w:t>
            </w:r>
          </w:p>
        </w:tc>
      </w:tr>
    </w:tbl>
    <w:p w:rsidR="00730586" w:rsidRDefault="00730586"/>
    <w:p w:rsidR="00730586" w:rsidRDefault="00951727">
      <w:pPr>
        <w:spacing w:after="120"/>
      </w:pPr>
      <w:r>
        <w:t>The principle is not “become autonomous as fast as possible.” The principle i</w:t>
      </w:r>
      <w:r>
        <w:t>s “earn authority by consistently producing correct, auditable and recoverable outcomes.”</w:t>
      </w:r>
    </w:p>
    <w:p w:rsidR="00730586" w:rsidRDefault="00951727">
      <w:pPr>
        <w:pStyle w:val="Heading2"/>
        <w:spacing w:after="120"/>
      </w:pPr>
      <w:r>
        <w:rPr>
          <w:rFonts w:ascii="Calibri" w:hAnsi="Calibri"/>
          <w:sz w:val="22"/>
        </w:rPr>
        <w:t>3.1.4 — Example: System A in RedDust</w:t>
      </w:r>
    </w:p>
    <w:p w:rsidR="00730586" w:rsidRDefault="00951727">
      <w:pPr>
        <w:spacing w:after="120"/>
      </w:pPr>
      <w:r>
        <w:t>Suppose the team wants to add a new `/health` endpoint to the FastAPI gateway. A mature but still bounded System A workflow may l</w:t>
      </w:r>
      <w:r>
        <w:t>ook like this:</w:t>
      </w:r>
    </w:p>
    <w:p w:rsidR="00730586" w:rsidRDefault="00951727">
      <w:pPr>
        <w:spacing w:after="40"/>
        <w:ind w:left="360" w:hanging="259"/>
      </w:pPr>
      <w:r>
        <w:t>• Inspect `app/main.py`, router structure and existing tests.</w:t>
      </w:r>
    </w:p>
    <w:p w:rsidR="00730586" w:rsidRDefault="00951727">
      <w:pPr>
        <w:spacing w:after="40"/>
        <w:ind w:left="360" w:hanging="259"/>
      </w:pPr>
      <w:r>
        <w:t>• Draft the required change in an isolated branch.</w:t>
      </w:r>
    </w:p>
    <w:p w:rsidR="00730586" w:rsidRDefault="00951727">
      <w:pPr>
        <w:spacing w:after="40"/>
        <w:ind w:left="360" w:hanging="259"/>
      </w:pPr>
      <w:r>
        <w:t>• Run pytest, Ruff and mypy in a sandbox.</w:t>
      </w:r>
    </w:p>
    <w:p w:rsidR="00730586" w:rsidRDefault="00951727">
      <w:pPr>
        <w:spacing w:after="40"/>
        <w:ind w:left="360" w:hanging="259"/>
      </w:pPr>
      <w:r>
        <w:t>• Attach the diff, test results and rationale to a pull request.</w:t>
      </w:r>
    </w:p>
    <w:p w:rsidR="00730586" w:rsidRDefault="00951727">
      <w:pPr>
        <w:spacing w:after="40"/>
        <w:ind w:left="360" w:hanging="259"/>
      </w:pPr>
      <w:r>
        <w:t>• Request human revie</w:t>
      </w:r>
      <w:r>
        <w:t>w before merge.</w:t>
      </w:r>
    </w:p>
    <w:p w:rsidR="00730586" w:rsidRDefault="00951727">
      <w:pPr>
        <w:spacing w:after="120"/>
      </w:pPr>
      <w:r>
        <w:t>Notice that the agent does not need blanket production credentials. It needs repository access, sandbox execution and the ability to submit evidence.</w:t>
      </w:r>
    </w:p>
    <w:p w:rsidR="00730586" w:rsidRDefault="00951727">
      <w:pPr>
        <w:pStyle w:val="Heading2"/>
        <w:spacing w:after="120"/>
      </w:pPr>
      <w:r>
        <w:rPr>
          <w:rFonts w:ascii="Calibri" w:hAnsi="Calibri"/>
          <w:sz w:val="22"/>
        </w:rPr>
        <w:t>3.1.5 — Why engineering automation needs tight containment</w:t>
      </w:r>
    </w:p>
    <w:p w:rsidR="00730586" w:rsidRDefault="00951727">
      <w:pPr>
        <w:spacing w:after="40"/>
        <w:ind w:left="360" w:hanging="259"/>
      </w:pPr>
      <w:r>
        <w:t>• Source repositories may conta</w:t>
      </w:r>
      <w:r>
        <w:t>in security-sensitive logic and configuration.</w:t>
      </w:r>
    </w:p>
    <w:p w:rsidR="00730586" w:rsidRDefault="00951727">
      <w:pPr>
        <w:spacing w:after="40"/>
        <w:ind w:left="360" w:hanging="259"/>
      </w:pPr>
      <w:r>
        <w:lastRenderedPageBreak/>
        <w:t>• Generated code can be syntactically correct but semantically dangerous.</w:t>
      </w:r>
    </w:p>
    <w:p w:rsidR="00730586" w:rsidRDefault="00951727">
      <w:pPr>
        <w:spacing w:after="40"/>
        <w:ind w:left="360" w:hanging="259"/>
      </w:pPr>
      <w:r>
        <w:t>• The agent may misunderstand hidden coupling between services.</w:t>
      </w:r>
    </w:p>
    <w:p w:rsidR="00730586" w:rsidRDefault="00951727">
      <w:pPr>
        <w:spacing w:after="40"/>
        <w:ind w:left="360" w:hanging="259"/>
      </w:pPr>
      <w:r>
        <w:t>• Tool outputs can be incomplete or adversarially manipulated.</w:t>
      </w:r>
    </w:p>
    <w:p w:rsidR="00730586" w:rsidRDefault="00951727">
      <w:pPr>
        <w:spacing w:after="40"/>
        <w:ind w:left="360" w:hanging="259"/>
      </w:pPr>
      <w:r>
        <w:t xml:space="preserve">• A </w:t>
      </w:r>
      <w:r>
        <w:t>noisy or looping engineering task can consume large amounts of compute or model budget.</w:t>
      </w:r>
    </w:p>
    <w:p w:rsidR="00730586" w:rsidRDefault="00951727">
      <w:pPr>
        <w:spacing w:after="120"/>
      </w:pPr>
      <w:r>
        <w:t>Because of these risks, System A should use isolated workspaces, tool allowlists, immutable logs, replayable test environments and clear termination conditions.</w:t>
      </w:r>
    </w:p>
    <w:p w:rsidR="00730586" w:rsidRDefault="00951727">
      <w:pPr>
        <w:pStyle w:val="Heading3"/>
      </w:pPr>
      <w:r>
        <w:rPr>
          <w:rFonts w:ascii="Calibri" w:hAnsi="Calibri"/>
          <w:sz w:val="22"/>
        </w:rPr>
        <w:t>DIAGRAM</w:t>
      </w:r>
      <w:r>
        <w:rPr>
          <w:rFonts w:ascii="Calibri" w:hAnsi="Calibri"/>
          <w:sz w:val="22"/>
        </w:rPr>
        <w:t xml:space="preserve"> PLACEHOLDER — RD-AI-03-A: System A mission, artifacts and authority ladder</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RESERVED SPACE FOR FUTURE PRESENTATION-READY DIAGRAM</w:t>
            </w:r>
          </w:p>
        </w:tc>
      </w:tr>
      <w:tr w:rsidR="00730586">
        <w:trPr>
          <w:jc w:val="center"/>
        </w:trPr>
        <w:tc>
          <w:tcPr>
            <w:tcW w:w="10080" w:type="dxa"/>
            <w:shd w:val="clear" w:color="auto" w:fill="F8FBFD"/>
          </w:tcPr>
          <w:p w:rsidR="00730586" w:rsidRDefault="00951727">
            <w:r>
              <w:rPr>
                <w:sz w:val="21"/>
              </w:rPr>
              <w:t>Insert the finished diagram here in a later revision. Keep enough vertical space for a landscape figure with caption and figur</w:t>
            </w:r>
            <w:r>
              <w:rPr>
                <w:sz w:val="21"/>
              </w:rPr>
              <w:t>e number.</w:t>
            </w:r>
          </w:p>
        </w:tc>
      </w:tr>
    </w:tbl>
    <w:p w:rsidR="00730586" w:rsidRDefault="00730586"/>
    <w:p w:rsidR="00730586" w:rsidRDefault="00951727">
      <w:r>
        <w:rPr>
          <w:b/>
        </w:rPr>
        <w:t xml:space="preserve">Future ChatGPT image-generation prompt: </w:t>
      </w:r>
      <w:r>
        <w:t xml:space="preserve">Create a clean landscape educational architecture diagram titled “RD-AI-03-A: System A — Engineering Mission, Artifacts and Authority Ladder”. Use a white background, dark-navy headings, restrained </w:t>
      </w:r>
      <w:r>
        <w:t>enterprise styling and readable labels. Show System A activities on the left (read repository, plan changes, write patches in sandbox, run tests, create PR, assist releases, analyze incidents). Show the natural artifacts in the middle (source changes, test</w:t>
      </w:r>
      <w:r>
        <w:t>s, plans, build logs, review evidence, release notes). Show an authority ladder on the right from L0 advisory to L5 limited operations, with promotion gates based on evaluation evidence. Emphasize that the default state is read-only and that production aut</w:t>
      </w:r>
      <w:r>
        <w:t>hority is conditional, bounded and reviewable.</w:t>
      </w:r>
    </w:p>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p w:rsidR="00730586" w:rsidRDefault="00951727">
      <w:pPr>
        <w:pStyle w:val="Heading1"/>
        <w:spacing w:after="120"/>
      </w:pPr>
      <w:r>
        <w:rPr>
          <w:rFonts w:ascii="Calibri" w:hAnsi="Calibri"/>
          <w:sz w:val="22"/>
        </w:rPr>
        <w:t>3.2 — The business automation mission</w:t>
      </w:r>
    </w:p>
    <w:p w:rsidR="00730586" w:rsidRDefault="00951727">
      <w:pPr>
        <w:pStyle w:val="Heading2"/>
        <w:spacing w:after="120"/>
      </w:pPr>
      <w:r>
        <w:rPr>
          <w:rFonts w:ascii="Calibri" w:hAnsi="Calibri"/>
          <w:sz w:val="22"/>
        </w:rPr>
        <w:t>What this section does and why it matters</w:t>
      </w:r>
    </w:p>
    <w:p w:rsidR="00730586" w:rsidRDefault="00951727">
      <w:pPr>
        <w:spacing w:after="120"/>
      </w:pPr>
      <w:r>
        <w:t xml:space="preserve">System B is the agentic subsystem that supports or executes client business processes. Unlike System A, its purpose is not </w:t>
      </w:r>
      <w:r>
        <w:t>to change RedDust source code. Its purpose is to understand client workflows, integrate with client systems, process documents or events, handle exceptions and perform approved steps under explicit business controls.</w:t>
      </w:r>
    </w:p>
    <w:p w:rsidR="00730586" w:rsidRDefault="00951727">
      <w:pPr>
        <w:spacing w:after="120"/>
      </w:pPr>
      <w:r>
        <w:t>The risk profile is different. System B</w:t>
      </w:r>
      <w:r>
        <w:t xml:space="preserve"> may interact with invoices, patient records, case files, HR requests, ERP transactions or customer support events. Errors can create financial, regulatory, contractual or privacy harm. As a result, System B must be built around tenant isolation, approval </w:t>
      </w:r>
      <w:r>
        <w:t>boundaries, durable case records and auditability.</w:t>
      </w:r>
    </w:p>
    <w:p w:rsidR="00730586" w:rsidRDefault="00951727">
      <w:pPr>
        <w:pStyle w:val="Heading2"/>
        <w:spacing w:after="120"/>
      </w:pPr>
      <w:r>
        <w:rPr>
          <w:rFonts w:ascii="Calibri" w:hAnsi="Calibri"/>
          <w:sz w:val="22"/>
        </w:rPr>
        <w:t>3.2.1 — What System B actually does</w:t>
      </w:r>
    </w:p>
    <w:p w:rsidR="00730586" w:rsidRDefault="00951727">
      <w:pPr>
        <w:spacing w:after="40"/>
        <w:ind w:left="360" w:hanging="259"/>
      </w:pPr>
      <w:r>
        <w:t>• Discovers or models business workflows in collaboration with a client.</w:t>
      </w:r>
    </w:p>
    <w:p w:rsidR="00730586" w:rsidRDefault="00951727">
      <w:pPr>
        <w:spacing w:after="40"/>
        <w:ind w:left="360" w:hanging="259"/>
      </w:pPr>
      <w:r>
        <w:lastRenderedPageBreak/>
        <w:t>• Configures integration adapters for APIs, document sources, queues, email, ERP and CRM systems</w:t>
      </w:r>
      <w:r>
        <w:t>.</w:t>
      </w:r>
    </w:p>
    <w:p w:rsidR="00730586" w:rsidRDefault="00951727">
      <w:pPr>
        <w:spacing w:after="40"/>
        <w:ind w:left="360" w:hanging="259"/>
      </w:pPr>
      <w:r>
        <w:t>• Extracts or interprets information from documents, forms, conversations and events.</w:t>
      </w:r>
    </w:p>
    <w:p w:rsidR="00730586" w:rsidRDefault="00951727">
      <w:pPr>
        <w:spacing w:after="40"/>
        <w:ind w:left="360" w:hanging="259"/>
      </w:pPr>
      <w:r>
        <w:t>• Executes approved workflow steps such as routing, case creation, reconciliation and exception escalation.</w:t>
      </w:r>
    </w:p>
    <w:p w:rsidR="00730586" w:rsidRDefault="00951727">
      <w:pPr>
        <w:spacing w:after="40"/>
        <w:ind w:left="360" w:hanging="259"/>
      </w:pPr>
      <w:r>
        <w:t>• Maintains audit trails, reconciliation state, approvals an</w:t>
      </w:r>
      <w:r>
        <w:t>d outcome records.</w:t>
      </w:r>
    </w:p>
    <w:p w:rsidR="00730586" w:rsidRDefault="00951727">
      <w:pPr>
        <w:pStyle w:val="Heading2"/>
        <w:spacing w:after="120"/>
      </w:pPr>
      <w:r>
        <w:rPr>
          <w:rFonts w:ascii="Calibri" w:hAnsi="Calibri"/>
          <w:sz w:val="22"/>
        </w:rPr>
        <w:t>3.2.2 — Durable artifacts of System B</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Artifact</w:t>
            </w:r>
          </w:p>
        </w:tc>
        <w:tc>
          <w:tcPr>
            <w:tcW w:w="3360" w:type="dxa"/>
            <w:shd w:val="clear" w:color="auto" w:fill="1F4E79"/>
          </w:tcPr>
          <w:p w:rsidR="00730586" w:rsidRDefault="00951727">
            <w:r>
              <w:rPr>
                <w:b/>
                <w:color w:val="FFFFFF"/>
                <w:sz w:val="21"/>
              </w:rPr>
              <w:t>Examples</w:t>
            </w:r>
          </w:p>
        </w:tc>
        <w:tc>
          <w:tcPr>
            <w:tcW w:w="3360" w:type="dxa"/>
            <w:shd w:val="clear" w:color="auto" w:fill="1F4E79"/>
          </w:tcPr>
          <w:p w:rsidR="00730586" w:rsidRDefault="00951727">
            <w:r>
              <w:rPr>
                <w:b/>
                <w:color w:val="FFFFFF"/>
                <w:sz w:val="21"/>
              </w:rPr>
              <w:t>Operational significance</w:t>
            </w:r>
          </w:p>
        </w:tc>
      </w:tr>
      <w:tr w:rsidR="00730586">
        <w:trPr>
          <w:jc w:val="center"/>
        </w:trPr>
        <w:tc>
          <w:tcPr>
            <w:tcW w:w="3360" w:type="dxa"/>
          </w:tcPr>
          <w:p w:rsidR="00730586" w:rsidRDefault="00951727">
            <w:r>
              <w:rPr>
                <w:sz w:val="20"/>
              </w:rPr>
              <w:t>Process definitions</w:t>
            </w:r>
          </w:p>
        </w:tc>
        <w:tc>
          <w:tcPr>
            <w:tcW w:w="3360" w:type="dxa"/>
          </w:tcPr>
          <w:p w:rsidR="00730586" w:rsidRDefault="00951727">
            <w:r>
              <w:rPr>
                <w:sz w:val="20"/>
              </w:rPr>
              <w:t>BPMN flow, approval policy, exception states</w:t>
            </w:r>
          </w:p>
        </w:tc>
        <w:tc>
          <w:tcPr>
            <w:tcW w:w="3360" w:type="dxa"/>
          </w:tcPr>
          <w:p w:rsidR="00730586" w:rsidRDefault="00951727">
            <w:r>
              <w:rPr>
                <w:sz w:val="20"/>
              </w:rPr>
              <w:t>Defines how work is supposed to proceed</w:t>
            </w:r>
          </w:p>
        </w:tc>
      </w:tr>
      <w:tr w:rsidR="00730586">
        <w:trPr>
          <w:jc w:val="center"/>
        </w:trPr>
        <w:tc>
          <w:tcPr>
            <w:tcW w:w="3360" w:type="dxa"/>
          </w:tcPr>
          <w:p w:rsidR="00730586" w:rsidRDefault="00951727">
            <w:r>
              <w:rPr>
                <w:sz w:val="20"/>
              </w:rPr>
              <w:t>Case records</w:t>
            </w:r>
          </w:p>
        </w:tc>
        <w:tc>
          <w:tcPr>
            <w:tcW w:w="3360" w:type="dxa"/>
          </w:tcPr>
          <w:p w:rsidR="00730586" w:rsidRDefault="00951727">
            <w:r>
              <w:rPr>
                <w:sz w:val="20"/>
              </w:rPr>
              <w:t xml:space="preserve">Invoice case, onboarding case, </w:t>
            </w:r>
            <w:r>
              <w:rPr>
                <w:sz w:val="20"/>
              </w:rPr>
              <w:t>support case</w:t>
            </w:r>
          </w:p>
        </w:tc>
        <w:tc>
          <w:tcPr>
            <w:tcW w:w="3360" w:type="dxa"/>
          </w:tcPr>
          <w:p w:rsidR="00730586" w:rsidRDefault="00951727">
            <w:r>
              <w:rPr>
                <w:sz w:val="20"/>
              </w:rPr>
              <w:t>Durable unit of work across time</w:t>
            </w:r>
          </w:p>
        </w:tc>
      </w:tr>
      <w:tr w:rsidR="00730586">
        <w:trPr>
          <w:jc w:val="center"/>
        </w:trPr>
        <w:tc>
          <w:tcPr>
            <w:tcW w:w="3360" w:type="dxa"/>
          </w:tcPr>
          <w:p w:rsidR="00730586" w:rsidRDefault="00951727">
            <w:r>
              <w:rPr>
                <w:sz w:val="20"/>
              </w:rPr>
              <w:t>Transactions</w:t>
            </w:r>
          </w:p>
        </w:tc>
        <w:tc>
          <w:tcPr>
            <w:tcW w:w="3360" w:type="dxa"/>
          </w:tcPr>
          <w:p w:rsidR="00730586" w:rsidRDefault="00951727">
            <w:r>
              <w:rPr>
                <w:sz w:val="20"/>
              </w:rPr>
              <w:t>ERP posting, payment instruction, CRM status update</w:t>
            </w:r>
          </w:p>
        </w:tc>
        <w:tc>
          <w:tcPr>
            <w:tcW w:w="3360" w:type="dxa"/>
          </w:tcPr>
          <w:p w:rsidR="00730586" w:rsidRDefault="00951727">
            <w:r>
              <w:rPr>
                <w:sz w:val="20"/>
              </w:rPr>
              <w:t>External business action requiring control</w:t>
            </w:r>
          </w:p>
        </w:tc>
      </w:tr>
      <w:tr w:rsidR="00730586">
        <w:trPr>
          <w:jc w:val="center"/>
        </w:trPr>
        <w:tc>
          <w:tcPr>
            <w:tcW w:w="3360" w:type="dxa"/>
          </w:tcPr>
          <w:p w:rsidR="00730586" w:rsidRDefault="00951727">
            <w:r>
              <w:rPr>
                <w:sz w:val="20"/>
              </w:rPr>
              <w:t>Reconciliation results</w:t>
            </w:r>
          </w:p>
        </w:tc>
        <w:tc>
          <w:tcPr>
            <w:tcW w:w="3360" w:type="dxa"/>
          </w:tcPr>
          <w:p w:rsidR="00730586" w:rsidRDefault="00951727">
            <w:r>
              <w:rPr>
                <w:sz w:val="20"/>
              </w:rPr>
              <w:t>Match/no-match, tolerance calculation, duplicate detection</w:t>
            </w:r>
          </w:p>
        </w:tc>
        <w:tc>
          <w:tcPr>
            <w:tcW w:w="3360" w:type="dxa"/>
          </w:tcPr>
          <w:p w:rsidR="00730586" w:rsidRDefault="00951727">
            <w:r>
              <w:rPr>
                <w:sz w:val="20"/>
              </w:rPr>
              <w:t xml:space="preserve">Evidence that the </w:t>
            </w:r>
            <w:r>
              <w:rPr>
                <w:sz w:val="20"/>
              </w:rPr>
              <w:t>process was correct</w:t>
            </w:r>
          </w:p>
        </w:tc>
      </w:tr>
      <w:tr w:rsidR="00730586">
        <w:trPr>
          <w:jc w:val="center"/>
        </w:trPr>
        <w:tc>
          <w:tcPr>
            <w:tcW w:w="3360" w:type="dxa"/>
          </w:tcPr>
          <w:p w:rsidR="00730586" w:rsidRDefault="00951727">
            <w:r>
              <w:rPr>
                <w:sz w:val="20"/>
              </w:rPr>
              <w:t>Audit logs</w:t>
            </w:r>
          </w:p>
        </w:tc>
        <w:tc>
          <w:tcPr>
            <w:tcW w:w="3360" w:type="dxa"/>
          </w:tcPr>
          <w:p w:rsidR="00730586" w:rsidRDefault="00951727">
            <w:r>
              <w:rPr>
                <w:sz w:val="20"/>
              </w:rPr>
              <w:t>Who/what acted, when, with which policy and outcome</w:t>
            </w:r>
          </w:p>
        </w:tc>
        <w:tc>
          <w:tcPr>
            <w:tcW w:w="3360" w:type="dxa"/>
          </w:tcPr>
          <w:p w:rsidR="00730586" w:rsidRDefault="00951727">
            <w:r>
              <w:rPr>
                <w:sz w:val="20"/>
              </w:rPr>
              <w:t>Regulatory and operational accountability</w:t>
            </w:r>
          </w:p>
        </w:tc>
      </w:tr>
    </w:tbl>
    <w:p w:rsidR="00730586" w:rsidRDefault="00730586"/>
    <w:p w:rsidR="00730586" w:rsidRDefault="00951727">
      <w:pPr>
        <w:pStyle w:val="Heading2"/>
        <w:spacing w:after="120"/>
      </w:pPr>
      <w:r>
        <w:rPr>
          <w:rFonts w:ascii="Calibri" w:hAnsi="Calibri"/>
          <w:sz w:val="22"/>
        </w:rPr>
        <w:t>3.2.3 — Example: client invoice automation</w:t>
      </w:r>
    </w:p>
    <w:p w:rsidR="00730586" w:rsidRDefault="00951727">
      <w:pPr>
        <w:spacing w:after="120"/>
      </w:pPr>
      <w:r>
        <w:t xml:space="preserve">Assume a client wants RedDust to process supplier invoices. A suitable System B </w:t>
      </w:r>
      <w:r>
        <w:t>workflow may do the following:</w:t>
      </w:r>
    </w:p>
    <w:p w:rsidR="00730586" w:rsidRDefault="00951727">
      <w:pPr>
        <w:spacing w:after="40"/>
        <w:ind w:left="360" w:hanging="259"/>
      </w:pPr>
      <w:r>
        <w:t>• Receive invoice document and metadata.</w:t>
      </w:r>
    </w:p>
    <w:p w:rsidR="00730586" w:rsidRDefault="00951727">
      <w:pPr>
        <w:spacing w:after="40"/>
        <w:ind w:left="360" w:hanging="259"/>
      </w:pPr>
      <w:r>
        <w:t>• Use an LLM or document AI component to extract structured fields.</w:t>
      </w:r>
    </w:p>
    <w:p w:rsidR="00730586" w:rsidRDefault="00951727">
      <w:pPr>
        <w:spacing w:after="40"/>
        <w:ind w:left="360" w:hanging="259"/>
      </w:pPr>
      <w:r>
        <w:t>• Validate supplier, invoice number, amount and tax calculations.</w:t>
      </w:r>
    </w:p>
    <w:p w:rsidR="00730586" w:rsidRDefault="00951727">
      <w:pPr>
        <w:spacing w:after="40"/>
        <w:ind w:left="360" w:hanging="259"/>
      </w:pPr>
      <w:r>
        <w:t xml:space="preserve">• Match the invoice to a purchase order and goods </w:t>
      </w:r>
      <w:r>
        <w:t>receipt record.</w:t>
      </w:r>
    </w:p>
    <w:p w:rsidR="00730586" w:rsidRDefault="00951727">
      <w:pPr>
        <w:spacing w:after="40"/>
        <w:ind w:left="360" w:hanging="259"/>
      </w:pPr>
      <w:r>
        <w:t>• Apply deterministic approval thresholds and tolerance rules.</w:t>
      </w:r>
    </w:p>
    <w:p w:rsidR="00730586" w:rsidRDefault="00951727">
      <w:pPr>
        <w:spacing w:after="40"/>
        <w:ind w:left="360" w:hanging="259"/>
      </w:pPr>
      <w:r>
        <w:t>• Escalate exceptions to a human approver and record all outcomes.</w:t>
      </w:r>
    </w:p>
    <w:p w:rsidR="00730586" w:rsidRDefault="00951727">
      <w:pPr>
        <w:spacing w:after="120"/>
      </w:pPr>
      <w:r>
        <w:t xml:space="preserve">Here, the AI helps interpret ambiguous inputs. Deterministic software enforces the client’s policies. This is </w:t>
      </w:r>
      <w:r>
        <w:t>the right balance for enterprise automation: model assistance where ambiguity exists, explicit business control where obligations must be exact.</w:t>
      </w:r>
    </w:p>
    <w:p w:rsidR="00730586" w:rsidRDefault="00951727">
      <w:pPr>
        <w:pStyle w:val="Heading2"/>
        <w:spacing w:after="120"/>
      </w:pPr>
      <w:r>
        <w:rPr>
          <w:rFonts w:ascii="Calibri" w:hAnsi="Calibri"/>
          <w:sz w:val="22"/>
        </w:rPr>
        <w:t>3.2.4 — Why multi-tenancy changes everything</w:t>
      </w:r>
    </w:p>
    <w:p w:rsidR="00730586" w:rsidRDefault="00951727">
      <w:pPr>
        <w:spacing w:after="120"/>
      </w:pPr>
      <w:r>
        <w:t xml:space="preserve">System B may be reused across multiple clients, but client data </w:t>
      </w:r>
      <w:r>
        <w:t>and authority must not be shared. A request from Client A never justifies access to Client B’s data, workflows or credentials. This is a hard architectural rule, not a prompt instruction.</w:t>
      </w:r>
    </w:p>
    <w:p w:rsidR="00730586" w:rsidRDefault="00951727">
      <w:pPr>
        <w:spacing w:after="40"/>
        <w:ind w:left="360" w:hanging="259"/>
      </w:pPr>
      <w:r>
        <w:t>• Use separate principals or service accounts per tenant or tenant e</w:t>
      </w:r>
      <w:r>
        <w:t>nvironment.</w:t>
      </w:r>
    </w:p>
    <w:p w:rsidR="00730586" w:rsidRDefault="00951727">
      <w:pPr>
        <w:spacing w:after="40"/>
        <w:ind w:left="360" w:hanging="259"/>
      </w:pPr>
      <w:r>
        <w:t>• Separate storage buckets, database schemas or databases where appropriate.</w:t>
      </w:r>
    </w:p>
    <w:p w:rsidR="00730586" w:rsidRDefault="00951727">
      <w:pPr>
        <w:spacing w:after="40"/>
        <w:ind w:left="360" w:hanging="259"/>
      </w:pPr>
      <w:r>
        <w:t>• Use distinct encryption keys or key versions for tenant-segmented data.</w:t>
      </w:r>
    </w:p>
    <w:p w:rsidR="00730586" w:rsidRDefault="00951727">
      <w:pPr>
        <w:spacing w:after="40"/>
        <w:ind w:left="360" w:hanging="259"/>
      </w:pPr>
      <w:r>
        <w:t>• Segment retrieval indices and embeddings by tenant and environment.</w:t>
      </w:r>
    </w:p>
    <w:p w:rsidR="00730586" w:rsidRDefault="00951727">
      <w:pPr>
        <w:spacing w:after="40"/>
        <w:ind w:left="360" w:hanging="259"/>
      </w:pPr>
      <w:r>
        <w:t xml:space="preserve">• Enforce tenant-aware </w:t>
      </w:r>
      <w:r>
        <w:t>application policy checks before any transaction is executed.</w:t>
      </w:r>
    </w:p>
    <w:p w:rsidR="00730586" w:rsidRDefault="00951727">
      <w:pPr>
        <w:pStyle w:val="Heading2"/>
        <w:spacing w:after="120"/>
      </w:pPr>
      <w:r>
        <w:rPr>
          <w:rFonts w:ascii="Calibri" w:hAnsi="Calibri"/>
          <w:sz w:val="22"/>
        </w:rPr>
        <w:t>3.2.5 — Human governance is part of the product</w:t>
      </w:r>
    </w:p>
    <w:p w:rsidR="00730586" w:rsidRDefault="00951727">
      <w:pPr>
        <w:spacing w:after="120"/>
      </w:pPr>
      <w:r>
        <w:t xml:space="preserve">Some client workflows can proceed straight through. Others require approval for legal, financial or compliance reasons. System B should treat </w:t>
      </w:r>
      <w:r>
        <w:t xml:space="preserve">human review as a first-class feature: review queues, approval UIs, trace </w:t>
      </w:r>
      <w:r>
        <w:lastRenderedPageBreak/>
        <w:t>identifiers, evidence bundles and service-level expectations for exception handling are part of the platform, not afterthoughts.</w:t>
      </w:r>
    </w:p>
    <w:p w:rsidR="00730586" w:rsidRDefault="00951727">
      <w:pPr>
        <w:pStyle w:val="Heading3"/>
      </w:pPr>
      <w:r>
        <w:rPr>
          <w:rFonts w:ascii="Calibri" w:hAnsi="Calibri"/>
          <w:sz w:val="22"/>
        </w:rPr>
        <w:t>DIAGRAM PLACEHOLDER — RD-AI-03-B: System B business a</w:t>
      </w:r>
      <w:r>
        <w:rPr>
          <w:rFonts w:ascii="Calibri" w:hAnsi="Calibri"/>
          <w:sz w:val="22"/>
        </w:rPr>
        <w:t>utomation mission and durable case flow</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RESERVED SPACE FOR FUTURE PRESENTATION-READY DIAGRAM</w:t>
            </w:r>
          </w:p>
        </w:tc>
      </w:tr>
      <w:tr w:rsidR="00730586">
        <w:trPr>
          <w:jc w:val="center"/>
        </w:trPr>
        <w:tc>
          <w:tcPr>
            <w:tcW w:w="10080" w:type="dxa"/>
            <w:shd w:val="clear" w:color="auto" w:fill="F8FBFD"/>
          </w:tcPr>
          <w:p w:rsidR="00730586" w:rsidRDefault="00951727">
            <w:r>
              <w:rPr>
                <w:sz w:val="21"/>
              </w:rPr>
              <w:t>Insert the finished diagram here in a later revision. Keep enough vertical space for a landscape figure with caption and figure number.</w:t>
            </w:r>
          </w:p>
        </w:tc>
      </w:tr>
    </w:tbl>
    <w:p w:rsidR="00730586" w:rsidRDefault="00730586"/>
    <w:p w:rsidR="00730586" w:rsidRDefault="00951727">
      <w:r>
        <w:rPr>
          <w:b/>
        </w:rPr>
        <w:t>Future ChatGPT image-gen</w:t>
      </w:r>
      <w:r>
        <w:rPr>
          <w:b/>
        </w:rPr>
        <w:t xml:space="preserve">eration prompt: </w:t>
      </w:r>
      <w:r>
        <w:t>Create a clean landscape educational architecture diagram titled “RD-AI-03-B: System B — Business Automation Mission and Durable Case Flow”. Use a white background, dark-navy headings and readable labels. Show a client invoice-processing ex</w:t>
      </w:r>
      <w:r>
        <w:t>ample from document intake to extraction, validation, matching, approval, execution and audit logging. Highlight where the model helps interpret data and where deterministic rules control outcomes. Show durable artifacts such as process definitions, case r</w:t>
      </w:r>
      <w:r>
        <w:t>ecords, transactions, reconciliation results and audit logs. Add clear tenant boundaries and a note that one client request never justifies access to another client’s data.</w:t>
      </w:r>
    </w:p>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p w:rsidR="00730586" w:rsidRDefault="00951727">
      <w:pPr>
        <w:pStyle w:val="Heading1"/>
        <w:spacing w:after="120"/>
      </w:pPr>
      <w:r>
        <w:rPr>
          <w:rFonts w:ascii="Calibri" w:hAnsi="Calibri"/>
          <w:sz w:val="22"/>
        </w:rPr>
        <w:t>3.3 — Share infrastructure, not authority</w:t>
      </w:r>
    </w:p>
    <w:p w:rsidR="00730586" w:rsidRDefault="00951727">
      <w:pPr>
        <w:pStyle w:val="Heading2"/>
        <w:spacing w:after="120"/>
      </w:pPr>
      <w:r>
        <w:rPr>
          <w:rFonts w:ascii="Calibri" w:hAnsi="Calibri"/>
          <w:sz w:val="22"/>
        </w:rPr>
        <w:t xml:space="preserve">What this section does and why it </w:t>
      </w:r>
      <w:r>
        <w:rPr>
          <w:rFonts w:ascii="Calibri" w:hAnsi="Calibri"/>
          <w:sz w:val="22"/>
        </w:rPr>
        <w:t>matters</w:t>
      </w:r>
    </w:p>
    <w:p w:rsidR="00730586" w:rsidRDefault="00951727">
      <w:pPr>
        <w:spacing w:after="120"/>
      </w:pPr>
      <w:r>
        <w:t>System A and System B can share a significant amount of technical infrastructure. In fact, sharing some platform services often makes operational sense. However, sharing infrastructure must never collapse authority boundaries. The same platform may</w:t>
      </w:r>
      <w:r>
        <w:t xml:space="preserve"> route model calls for both systems, but that does not mean both systems should have the same principals, secrets, data stores, network privileges or policy decisions.</w:t>
      </w:r>
    </w:p>
    <w:p w:rsidR="00730586" w:rsidRDefault="00951727">
      <w:pPr>
        <w:pStyle w:val="Heading2"/>
        <w:spacing w:after="120"/>
      </w:pPr>
      <w:r>
        <w:rPr>
          <w:rFonts w:ascii="Calibri" w:hAnsi="Calibri"/>
          <w:sz w:val="22"/>
        </w:rPr>
        <w:t>3.3.1 — Shared services that are often reasonable</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Shared service</w:t>
            </w:r>
          </w:p>
        </w:tc>
        <w:tc>
          <w:tcPr>
            <w:tcW w:w="3360" w:type="dxa"/>
            <w:shd w:val="clear" w:color="auto" w:fill="1F4E79"/>
          </w:tcPr>
          <w:p w:rsidR="00730586" w:rsidRDefault="00951727">
            <w:r>
              <w:rPr>
                <w:b/>
                <w:color w:val="FFFFFF"/>
                <w:sz w:val="21"/>
              </w:rPr>
              <w:t>Purpose</w:t>
            </w:r>
          </w:p>
        </w:tc>
        <w:tc>
          <w:tcPr>
            <w:tcW w:w="3360" w:type="dxa"/>
            <w:shd w:val="clear" w:color="auto" w:fill="1F4E79"/>
          </w:tcPr>
          <w:p w:rsidR="00730586" w:rsidRDefault="00951727">
            <w:r>
              <w:rPr>
                <w:b/>
                <w:color w:val="FFFFFF"/>
                <w:sz w:val="21"/>
              </w:rPr>
              <w:t>Why sharing may</w:t>
            </w:r>
            <w:r>
              <w:rPr>
                <w:b/>
                <w:color w:val="FFFFFF"/>
                <w:sz w:val="21"/>
              </w:rPr>
              <w:t xml:space="preserve"> be acceptable</w:t>
            </w:r>
          </w:p>
        </w:tc>
      </w:tr>
      <w:tr w:rsidR="00730586">
        <w:trPr>
          <w:jc w:val="center"/>
        </w:trPr>
        <w:tc>
          <w:tcPr>
            <w:tcW w:w="3360" w:type="dxa"/>
          </w:tcPr>
          <w:p w:rsidR="00730586" w:rsidRDefault="00951727">
            <w:r>
              <w:rPr>
                <w:sz w:val="20"/>
              </w:rPr>
              <w:t>Model router / gateway</w:t>
            </w:r>
          </w:p>
        </w:tc>
        <w:tc>
          <w:tcPr>
            <w:tcW w:w="3360" w:type="dxa"/>
          </w:tcPr>
          <w:p w:rsidR="00730586" w:rsidRDefault="00951727">
            <w:r>
              <w:rPr>
                <w:sz w:val="20"/>
              </w:rPr>
              <w:t>Routes prompts and tool calls to approved models</w:t>
            </w:r>
          </w:p>
        </w:tc>
        <w:tc>
          <w:tcPr>
            <w:tcW w:w="3360" w:type="dxa"/>
          </w:tcPr>
          <w:p w:rsidR="00730586" w:rsidRDefault="00951727">
            <w:r>
              <w:rPr>
                <w:sz w:val="20"/>
              </w:rPr>
              <w:t>Centralizes cost, policy and observability</w:t>
            </w:r>
          </w:p>
        </w:tc>
      </w:tr>
      <w:tr w:rsidR="00730586">
        <w:trPr>
          <w:jc w:val="center"/>
        </w:trPr>
        <w:tc>
          <w:tcPr>
            <w:tcW w:w="3360" w:type="dxa"/>
          </w:tcPr>
          <w:p w:rsidR="00730586" w:rsidRDefault="00951727">
            <w:r>
              <w:rPr>
                <w:sz w:val="20"/>
              </w:rPr>
              <w:t>Registry</w:t>
            </w:r>
          </w:p>
        </w:tc>
        <w:tc>
          <w:tcPr>
            <w:tcW w:w="3360" w:type="dxa"/>
          </w:tcPr>
          <w:p w:rsidR="00730586" w:rsidRDefault="00951727">
            <w:r>
              <w:rPr>
                <w:sz w:val="20"/>
              </w:rPr>
              <w:t>Tracks agent versions, tools and capability metadata</w:t>
            </w:r>
          </w:p>
        </w:tc>
        <w:tc>
          <w:tcPr>
            <w:tcW w:w="3360" w:type="dxa"/>
          </w:tcPr>
          <w:p w:rsidR="00730586" w:rsidRDefault="00951727">
            <w:r>
              <w:rPr>
                <w:sz w:val="20"/>
              </w:rPr>
              <w:t>Avoids duplication and improves governance</w:t>
            </w:r>
          </w:p>
        </w:tc>
      </w:tr>
      <w:tr w:rsidR="00730586">
        <w:trPr>
          <w:jc w:val="center"/>
        </w:trPr>
        <w:tc>
          <w:tcPr>
            <w:tcW w:w="3360" w:type="dxa"/>
          </w:tcPr>
          <w:p w:rsidR="00730586" w:rsidRDefault="00951727">
            <w:r>
              <w:rPr>
                <w:sz w:val="20"/>
              </w:rPr>
              <w:t xml:space="preserve">Tracing / </w:t>
            </w:r>
            <w:r>
              <w:rPr>
                <w:sz w:val="20"/>
              </w:rPr>
              <w:t>observability</w:t>
            </w:r>
          </w:p>
        </w:tc>
        <w:tc>
          <w:tcPr>
            <w:tcW w:w="3360" w:type="dxa"/>
          </w:tcPr>
          <w:p w:rsidR="00730586" w:rsidRDefault="00951727">
            <w:r>
              <w:rPr>
                <w:sz w:val="20"/>
              </w:rPr>
              <w:t>Captures execution traces, latency, cost and failures</w:t>
            </w:r>
          </w:p>
        </w:tc>
        <w:tc>
          <w:tcPr>
            <w:tcW w:w="3360" w:type="dxa"/>
          </w:tcPr>
          <w:p w:rsidR="00730586" w:rsidRDefault="00951727">
            <w:r>
              <w:rPr>
                <w:sz w:val="20"/>
              </w:rPr>
              <w:t>Essential for operations across both systems</w:t>
            </w:r>
          </w:p>
        </w:tc>
      </w:tr>
      <w:tr w:rsidR="00730586">
        <w:trPr>
          <w:jc w:val="center"/>
        </w:trPr>
        <w:tc>
          <w:tcPr>
            <w:tcW w:w="3360" w:type="dxa"/>
          </w:tcPr>
          <w:p w:rsidR="00730586" w:rsidRDefault="00951727">
            <w:r>
              <w:rPr>
                <w:sz w:val="20"/>
              </w:rPr>
              <w:t>Evaluation harness</w:t>
            </w:r>
          </w:p>
        </w:tc>
        <w:tc>
          <w:tcPr>
            <w:tcW w:w="3360" w:type="dxa"/>
          </w:tcPr>
          <w:p w:rsidR="00730586" w:rsidRDefault="00951727">
            <w:r>
              <w:rPr>
                <w:sz w:val="20"/>
              </w:rPr>
              <w:t>Runs benchmark tasks and quality checks</w:t>
            </w:r>
          </w:p>
        </w:tc>
        <w:tc>
          <w:tcPr>
            <w:tcW w:w="3360" w:type="dxa"/>
          </w:tcPr>
          <w:p w:rsidR="00730586" w:rsidRDefault="00951727">
            <w:r>
              <w:rPr>
                <w:sz w:val="20"/>
              </w:rPr>
              <w:t>Supports comparable standards</w:t>
            </w:r>
          </w:p>
        </w:tc>
      </w:tr>
      <w:tr w:rsidR="00730586">
        <w:trPr>
          <w:jc w:val="center"/>
        </w:trPr>
        <w:tc>
          <w:tcPr>
            <w:tcW w:w="3360" w:type="dxa"/>
          </w:tcPr>
          <w:p w:rsidR="00730586" w:rsidRDefault="00951727">
            <w:r>
              <w:rPr>
                <w:sz w:val="20"/>
              </w:rPr>
              <w:t>Identity broker</w:t>
            </w:r>
          </w:p>
        </w:tc>
        <w:tc>
          <w:tcPr>
            <w:tcW w:w="3360" w:type="dxa"/>
          </w:tcPr>
          <w:p w:rsidR="00730586" w:rsidRDefault="00951727">
            <w:r>
              <w:rPr>
                <w:sz w:val="20"/>
              </w:rPr>
              <w:t>Issues short-lived credentials to ag</w:t>
            </w:r>
            <w:r>
              <w:rPr>
                <w:sz w:val="20"/>
              </w:rPr>
              <w:t>ents and tools</w:t>
            </w:r>
          </w:p>
        </w:tc>
        <w:tc>
          <w:tcPr>
            <w:tcW w:w="3360" w:type="dxa"/>
          </w:tcPr>
          <w:p w:rsidR="00730586" w:rsidRDefault="00951727">
            <w:r>
              <w:rPr>
                <w:sz w:val="20"/>
              </w:rPr>
              <w:t>Reduces secret sprawl</w:t>
            </w:r>
          </w:p>
        </w:tc>
      </w:tr>
      <w:tr w:rsidR="00730586">
        <w:trPr>
          <w:jc w:val="center"/>
        </w:trPr>
        <w:tc>
          <w:tcPr>
            <w:tcW w:w="3360" w:type="dxa"/>
          </w:tcPr>
          <w:p w:rsidR="00730586" w:rsidRDefault="00951727">
            <w:r>
              <w:rPr>
                <w:sz w:val="20"/>
              </w:rPr>
              <w:t>Scheduler / queue</w:t>
            </w:r>
          </w:p>
        </w:tc>
        <w:tc>
          <w:tcPr>
            <w:tcW w:w="3360" w:type="dxa"/>
          </w:tcPr>
          <w:p w:rsidR="00730586" w:rsidRDefault="00951727">
            <w:r>
              <w:rPr>
                <w:sz w:val="20"/>
              </w:rPr>
              <w:t>Executes asynchronous tasks with quotas and priorities</w:t>
            </w:r>
          </w:p>
        </w:tc>
        <w:tc>
          <w:tcPr>
            <w:tcW w:w="3360" w:type="dxa"/>
          </w:tcPr>
          <w:p w:rsidR="00730586" w:rsidRDefault="00951727">
            <w:r>
              <w:rPr>
                <w:sz w:val="20"/>
              </w:rPr>
              <w:t>Central platform capability</w:t>
            </w:r>
          </w:p>
        </w:tc>
      </w:tr>
      <w:tr w:rsidR="00730586">
        <w:trPr>
          <w:jc w:val="center"/>
        </w:trPr>
        <w:tc>
          <w:tcPr>
            <w:tcW w:w="3360" w:type="dxa"/>
          </w:tcPr>
          <w:p w:rsidR="00730586" w:rsidRDefault="00951727">
            <w:r>
              <w:rPr>
                <w:sz w:val="20"/>
              </w:rPr>
              <w:lastRenderedPageBreak/>
              <w:t>Policy decision service</w:t>
            </w:r>
          </w:p>
        </w:tc>
        <w:tc>
          <w:tcPr>
            <w:tcW w:w="3360" w:type="dxa"/>
          </w:tcPr>
          <w:p w:rsidR="00730586" w:rsidRDefault="00951727">
            <w:r>
              <w:rPr>
                <w:sz w:val="20"/>
              </w:rPr>
              <w:t>Evaluates permissions and contextual rules</w:t>
            </w:r>
          </w:p>
        </w:tc>
        <w:tc>
          <w:tcPr>
            <w:tcW w:w="3360" w:type="dxa"/>
          </w:tcPr>
          <w:p w:rsidR="00730586" w:rsidRDefault="00951727">
            <w:r>
              <w:rPr>
                <w:sz w:val="20"/>
              </w:rPr>
              <w:t xml:space="preserve">Better consistency, if policies remain </w:t>
            </w:r>
            <w:r>
              <w:rPr>
                <w:sz w:val="20"/>
              </w:rPr>
              <w:t>system-specific</w:t>
            </w:r>
          </w:p>
        </w:tc>
      </w:tr>
    </w:tbl>
    <w:p w:rsidR="00730586" w:rsidRDefault="00730586"/>
    <w:p w:rsidR="00730586" w:rsidRDefault="00951727">
      <w:pPr>
        <w:pStyle w:val="Heading2"/>
        <w:spacing w:after="120"/>
      </w:pPr>
      <w:r>
        <w:rPr>
          <w:rFonts w:ascii="Calibri" w:hAnsi="Calibri"/>
          <w:sz w:val="22"/>
        </w:rPr>
        <w:t>3.3.2 — Isolation layers that must still be enforced</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Isolation layer</w:t>
            </w:r>
          </w:p>
        </w:tc>
        <w:tc>
          <w:tcPr>
            <w:tcW w:w="3360" w:type="dxa"/>
            <w:shd w:val="clear" w:color="auto" w:fill="1F4E79"/>
          </w:tcPr>
          <w:p w:rsidR="00730586" w:rsidRDefault="00951727">
            <w:r>
              <w:rPr>
                <w:b/>
                <w:color w:val="FFFFFF"/>
                <w:sz w:val="21"/>
              </w:rPr>
              <w:t>What must be separated</w:t>
            </w:r>
          </w:p>
        </w:tc>
        <w:tc>
          <w:tcPr>
            <w:tcW w:w="3360" w:type="dxa"/>
            <w:shd w:val="clear" w:color="auto" w:fill="1F4E79"/>
          </w:tcPr>
          <w:p w:rsidR="00730586" w:rsidRDefault="00951727">
            <w:r>
              <w:rPr>
                <w:b/>
                <w:color w:val="FFFFFF"/>
                <w:sz w:val="21"/>
              </w:rPr>
              <w:t>Example for RedDust</w:t>
            </w:r>
          </w:p>
        </w:tc>
      </w:tr>
      <w:tr w:rsidR="00730586">
        <w:trPr>
          <w:jc w:val="center"/>
        </w:trPr>
        <w:tc>
          <w:tcPr>
            <w:tcW w:w="3360" w:type="dxa"/>
          </w:tcPr>
          <w:p w:rsidR="00730586" w:rsidRDefault="00951727">
            <w:r>
              <w:rPr>
                <w:sz w:val="20"/>
              </w:rPr>
              <w:t>Principal / identity</w:t>
            </w:r>
          </w:p>
        </w:tc>
        <w:tc>
          <w:tcPr>
            <w:tcW w:w="3360" w:type="dxa"/>
          </w:tcPr>
          <w:p w:rsidR="00730586" w:rsidRDefault="00951727">
            <w:r>
              <w:rPr>
                <w:sz w:val="20"/>
              </w:rPr>
              <w:t>Distinct service identities and roles</w:t>
            </w:r>
          </w:p>
        </w:tc>
        <w:tc>
          <w:tcPr>
            <w:tcW w:w="3360" w:type="dxa"/>
          </w:tcPr>
          <w:p w:rsidR="00730586" w:rsidRDefault="00951727">
            <w:r>
              <w:rPr>
                <w:sz w:val="20"/>
              </w:rPr>
              <w:t>System A engineering SA vs System B tenant workflow SA</w:t>
            </w:r>
          </w:p>
        </w:tc>
      </w:tr>
      <w:tr w:rsidR="00730586">
        <w:trPr>
          <w:jc w:val="center"/>
        </w:trPr>
        <w:tc>
          <w:tcPr>
            <w:tcW w:w="3360" w:type="dxa"/>
          </w:tcPr>
          <w:p w:rsidR="00730586" w:rsidRDefault="00951727">
            <w:r>
              <w:rPr>
                <w:sz w:val="20"/>
              </w:rPr>
              <w:t>Network</w:t>
            </w:r>
          </w:p>
        </w:tc>
        <w:tc>
          <w:tcPr>
            <w:tcW w:w="3360" w:type="dxa"/>
          </w:tcPr>
          <w:p w:rsidR="00730586" w:rsidRDefault="00951727">
            <w:r>
              <w:rPr>
                <w:sz w:val="20"/>
              </w:rPr>
              <w:t>Segmentation and egress policies</w:t>
            </w:r>
          </w:p>
        </w:tc>
        <w:tc>
          <w:tcPr>
            <w:tcW w:w="3360" w:type="dxa"/>
          </w:tcPr>
          <w:p w:rsidR="00730586" w:rsidRDefault="00951727">
            <w:r>
              <w:rPr>
                <w:sz w:val="20"/>
              </w:rPr>
              <w:t>Engineering sandbox cannot reach client ERP by default</w:t>
            </w:r>
          </w:p>
        </w:tc>
      </w:tr>
      <w:tr w:rsidR="00730586">
        <w:trPr>
          <w:jc w:val="center"/>
        </w:trPr>
        <w:tc>
          <w:tcPr>
            <w:tcW w:w="3360" w:type="dxa"/>
          </w:tcPr>
          <w:p w:rsidR="00730586" w:rsidRDefault="00951727">
            <w:r>
              <w:rPr>
                <w:sz w:val="20"/>
              </w:rPr>
              <w:t>Storage</w:t>
            </w:r>
          </w:p>
        </w:tc>
        <w:tc>
          <w:tcPr>
            <w:tcW w:w="3360" w:type="dxa"/>
          </w:tcPr>
          <w:p w:rsidR="00730586" w:rsidRDefault="00951727">
            <w:r>
              <w:rPr>
                <w:sz w:val="20"/>
              </w:rPr>
              <w:t>Buckets, databases, schemas or namespaces</w:t>
            </w:r>
          </w:p>
        </w:tc>
        <w:tc>
          <w:tcPr>
            <w:tcW w:w="3360" w:type="dxa"/>
          </w:tcPr>
          <w:p w:rsidR="00730586" w:rsidRDefault="00951727">
            <w:r>
              <w:rPr>
                <w:sz w:val="20"/>
              </w:rPr>
              <w:t>Engineering logs separate from client case data</w:t>
            </w:r>
          </w:p>
        </w:tc>
      </w:tr>
      <w:tr w:rsidR="00730586">
        <w:trPr>
          <w:jc w:val="center"/>
        </w:trPr>
        <w:tc>
          <w:tcPr>
            <w:tcW w:w="3360" w:type="dxa"/>
          </w:tcPr>
          <w:p w:rsidR="00730586" w:rsidRDefault="00951727">
            <w:r>
              <w:rPr>
                <w:sz w:val="20"/>
              </w:rPr>
              <w:t>Encryption keys</w:t>
            </w:r>
          </w:p>
        </w:tc>
        <w:tc>
          <w:tcPr>
            <w:tcW w:w="3360" w:type="dxa"/>
          </w:tcPr>
          <w:p w:rsidR="00730586" w:rsidRDefault="00951727">
            <w:r>
              <w:rPr>
                <w:sz w:val="20"/>
              </w:rPr>
              <w:t>Key rings, keys or key versions</w:t>
            </w:r>
          </w:p>
        </w:tc>
        <w:tc>
          <w:tcPr>
            <w:tcW w:w="3360" w:type="dxa"/>
          </w:tcPr>
          <w:p w:rsidR="00730586" w:rsidRDefault="00951727">
            <w:r>
              <w:rPr>
                <w:sz w:val="20"/>
              </w:rPr>
              <w:t xml:space="preserve">Tenant-specific key </w:t>
            </w:r>
            <w:r>
              <w:rPr>
                <w:sz w:val="20"/>
              </w:rPr>
              <w:t>material for client data</w:t>
            </w:r>
          </w:p>
        </w:tc>
      </w:tr>
      <w:tr w:rsidR="00730586">
        <w:trPr>
          <w:jc w:val="center"/>
        </w:trPr>
        <w:tc>
          <w:tcPr>
            <w:tcW w:w="3360" w:type="dxa"/>
          </w:tcPr>
          <w:p w:rsidR="00730586" w:rsidRDefault="00951727">
            <w:r>
              <w:rPr>
                <w:sz w:val="20"/>
              </w:rPr>
              <w:t>Retrieval index</w:t>
            </w:r>
          </w:p>
        </w:tc>
        <w:tc>
          <w:tcPr>
            <w:tcW w:w="3360" w:type="dxa"/>
          </w:tcPr>
          <w:p w:rsidR="00730586" w:rsidRDefault="00951727">
            <w:r>
              <w:rPr>
                <w:sz w:val="20"/>
              </w:rPr>
              <w:t>Separate vector collections or search scopes</w:t>
            </w:r>
          </w:p>
        </w:tc>
        <w:tc>
          <w:tcPr>
            <w:tcW w:w="3360" w:type="dxa"/>
          </w:tcPr>
          <w:p w:rsidR="00730586" w:rsidRDefault="00951727">
            <w:r>
              <w:rPr>
                <w:sz w:val="20"/>
              </w:rPr>
              <w:t>Client A knowledge base isolated from Client B</w:t>
            </w:r>
          </w:p>
        </w:tc>
      </w:tr>
      <w:tr w:rsidR="00730586">
        <w:trPr>
          <w:jc w:val="center"/>
        </w:trPr>
        <w:tc>
          <w:tcPr>
            <w:tcW w:w="3360" w:type="dxa"/>
          </w:tcPr>
          <w:p w:rsidR="00730586" w:rsidRDefault="00951727">
            <w:r>
              <w:rPr>
                <w:sz w:val="20"/>
              </w:rPr>
              <w:t>Application policy</w:t>
            </w:r>
          </w:p>
        </w:tc>
        <w:tc>
          <w:tcPr>
            <w:tcW w:w="3360" w:type="dxa"/>
          </w:tcPr>
          <w:p w:rsidR="00730586" w:rsidRDefault="00951727">
            <w:r>
              <w:rPr>
                <w:sz w:val="20"/>
              </w:rPr>
              <w:t>Context-aware allow/deny decisions</w:t>
            </w:r>
          </w:p>
        </w:tc>
        <w:tc>
          <w:tcPr>
            <w:tcW w:w="3360" w:type="dxa"/>
          </w:tcPr>
          <w:p w:rsidR="00730586" w:rsidRDefault="00951727">
            <w:r>
              <w:rPr>
                <w:sz w:val="20"/>
              </w:rPr>
              <w:t>Client workflow policy different from coding policy</w:t>
            </w:r>
          </w:p>
        </w:tc>
      </w:tr>
      <w:tr w:rsidR="00730586">
        <w:trPr>
          <w:jc w:val="center"/>
        </w:trPr>
        <w:tc>
          <w:tcPr>
            <w:tcW w:w="3360" w:type="dxa"/>
          </w:tcPr>
          <w:p w:rsidR="00730586" w:rsidRDefault="00951727">
            <w:r>
              <w:rPr>
                <w:sz w:val="20"/>
              </w:rPr>
              <w:t>Failure domain</w:t>
            </w:r>
          </w:p>
        </w:tc>
        <w:tc>
          <w:tcPr>
            <w:tcW w:w="3360" w:type="dxa"/>
          </w:tcPr>
          <w:p w:rsidR="00730586" w:rsidRDefault="00951727">
            <w:r>
              <w:rPr>
                <w:sz w:val="20"/>
              </w:rPr>
              <w:t>Independent task isolation and resilience controls</w:t>
            </w:r>
          </w:p>
        </w:tc>
        <w:tc>
          <w:tcPr>
            <w:tcW w:w="3360" w:type="dxa"/>
          </w:tcPr>
          <w:p w:rsidR="00730586" w:rsidRDefault="00951727">
            <w:r>
              <w:rPr>
                <w:sz w:val="20"/>
              </w:rPr>
              <w:t>Engineering test storm must not block live invoice processing</w:t>
            </w:r>
          </w:p>
        </w:tc>
      </w:tr>
      <w:tr w:rsidR="00730586">
        <w:trPr>
          <w:jc w:val="center"/>
        </w:trPr>
        <w:tc>
          <w:tcPr>
            <w:tcW w:w="3360" w:type="dxa"/>
          </w:tcPr>
          <w:p w:rsidR="00730586" w:rsidRDefault="00951727">
            <w:r>
              <w:rPr>
                <w:sz w:val="20"/>
              </w:rPr>
              <w:t>Quota / scheduling</w:t>
            </w:r>
          </w:p>
        </w:tc>
        <w:tc>
          <w:tcPr>
            <w:tcW w:w="3360" w:type="dxa"/>
          </w:tcPr>
          <w:p w:rsidR="00730586" w:rsidRDefault="00951727">
            <w:r>
              <w:rPr>
                <w:sz w:val="20"/>
              </w:rPr>
              <w:t>Capacity controls and priority queues</w:t>
            </w:r>
          </w:p>
        </w:tc>
        <w:tc>
          <w:tcPr>
            <w:tcW w:w="3360" w:type="dxa"/>
          </w:tcPr>
          <w:p w:rsidR="00730586" w:rsidRDefault="00951727">
            <w:r>
              <w:rPr>
                <w:sz w:val="20"/>
              </w:rPr>
              <w:t>Time-sensitive client workflows get reserved headroom</w:t>
            </w:r>
          </w:p>
        </w:tc>
      </w:tr>
    </w:tbl>
    <w:p w:rsidR="00730586" w:rsidRDefault="00730586"/>
    <w:p w:rsidR="00730586" w:rsidRDefault="00951727">
      <w:pPr>
        <w:pStyle w:val="Heading2"/>
        <w:spacing w:after="120"/>
      </w:pPr>
      <w:r>
        <w:rPr>
          <w:rFonts w:ascii="Calibri" w:hAnsi="Calibri"/>
          <w:sz w:val="22"/>
        </w:rPr>
        <w:t xml:space="preserve">3.3.3 — Cross-system flows: </w:t>
      </w:r>
      <w:r>
        <w:rPr>
          <w:rFonts w:ascii="Calibri" w:hAnsi="Calibri"/>
          <w:sz w:val="22"/>
        </w:rPr>
        <w:t>what is acceptable and what is not</w:t>
      </w:r>
    </w:p>
    <w:p w:rsidR="00730586" w:rsidRDefault="00951727">
      <w:pPr>
        <w:spacing w:after="120"/>
      </w:pPr>
      <w:r>
        <w:t xml:space="preserve">Some cross-system flows are legitimate. For example, System A may maintain the codebase and test harness used to deploy System B. System B may send anonymized operational telemetry to a shared observability platform. But </w:t>
      </w:r>
      <w:r>
        <w:t>dangerous shortcuts must be prohibited.</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Cross-system flow</w:t>
            </w:r>
          </w:p>
        </w:tc>
        <w:tc>
          <w:tcPr>
            <w:tcW w:w="3360" w:type="dxa"/>
            <w:shd w:val="clear" w:color="auto" w:fill="1F4E79"/>
          </w:tcPr>
          <w:p w:rsidR="00730586" w:rsidRDefault="00951727">
            <w:r>
              <w:rPr>
                <w:b/>
                <w:color w:val="FFFFFF"/>
                <w:sz w:val="21"/>
              </w:rPr>
              <w:t>Usually acceptable?</w:t>
            </w:r>
          </w:p>
        </w:tc>
        <w:tc>
          <w:tcPr>
            <w:tcW w:w="3360" w:type="dxa"/>
            <w:shd w:val="clear" w:color="auto" w:fill="1F4E79"/>
          </w:tcPr>
          <w:p w:rsidR="00730586" w:rsidRDefault="00951727">
            <w:r>
              <w:rPr>
                <w:b/>
                <w:color w:val="FFFFFF"/>
                <w:sz w:val="21"/>
              </w:rPr>
              <w:t>Reasoning</w:t>
            </w:r>
          </w:p>
        </w:tc>
      </w:tr>
      <w:tr w:rsidR="00730586">
        <w:trPr>
          <w:jc w:val="center"/>
        </w:trPr>
        <w:tc>
          <w:tcPr>
            <w:tcW w:w="3360" w:type="dxa"/>
          </w:tcPr>
          <w:p w:rsidR="00730586" w:rsidRDefault="00951727">
            <w:r>
              <w:rPr>
                <w:sz w:val="20"/>
              </w:rPr>
              <w:t>System A uses shared model gateway</w:t>
            </w:r>
          </w:p>
        </w:tc>
        <w:tc>
          <w:tcPr>
            <w:tcW w:w="3360" w:type="dxa"/>
          </w:tcPr>
          <w:p w:rsidR="00730586" w:rsidRDefault="00951727">
            <w:r>
              <w:rPr>
                <w:sz w:val="20"/>
              </w:rPr>
              <w:t>Yes</w:t>
            </w:r>
          </w:p>
        </w:tc>
        <w:tc>
          <w:tcPr>
            <w:tcW w:w="3360" w:type="dxa"/>
          </w:tcPr>
          <w:p w:rsidR="00730586" w:rsidRDefault="00951727">
            <w:r>
              <w:rPr>
                <w:sz w:val="20"/>
              </w:rPr>
              <w:t>Shared infrastructure, not shared data authority</w:t>
            </w:r>
          </w:p>
        </w:tc>
      </w:tr>
      <w:tr w:rsidR="00730586">
        <w:trPr>
          <w:jc w:val="center"/>
        </w:trPr>
        <w:tc>
          <w:tcPr>
            <w:tcW w:w="3360" w:type="dxa"/>
          </w:tcPr>
          <w:p w:rsidR="00730586" w:rsidRDefault="00951727">
            <w:r>
              <w:rPr>
                <w:sz w:val="20"/>
              </w:rPr>
              <w:t>System B sends metrics to shared tracing service</w:t>
            </w:r>
          </w:p>
        </w:tc>
        <w:tc>
          <w:tcPr>
            <w:tcW w:w="3360" w:type="dxa"/>
          </w:tcPr>
          <w:p w:rsidR="00730586" w:rsidRDefault="00951727">
            <w:r>
              <w:rPr>
                <w:sz w:val="20"/>
              </w:rPr>
              <w:t>Yes</w:t>
            </w:r>
          </w:p>
        </w:tc>
        <w:tc>
          <w:tcPr>
            <w:tcW w:w="3360" w:type="dxa"/>
          </w:tcPr>
          <w:p w:rsidR="00730586" w:rsidRDefault="00951727">
            <w:r>
              <w:rPr>
                <w:sz w:val="20"/>
              </w:rPr>
              <w:t>Operational observability</w:t>
            </w:r>
            <w:r>
              <w:rPr>
                <w:sz w:val="20"/>
              </w:rPr>
              <w:t xml:space="preserve"> is a platform concern</w:t>
            </w:r>
          </w:p>
        </w:tc>
      </w:tr>
      <w:tr w:rsidR="00730586">
        <w:trPr>
          <w:jc w:val="center"/>
        </w:trPr>
        <w:tc>
          <w:tcPr>
            <w:tcW w:w="3360" w:type="dxa"/>
          </w:tcPr>
          <w:p w:rsidR="00730586" w:rsidRDefault="00951727">
            <w:r>
              <w:rPr>
                <w:sz w:val="20"/>
              </w:rPr>
              <w:t>System A directly reads tenant case data “for debugging”</w:t>
            </w:r>
          </w:p>
        </w:tc>
        <w:tc>
          <w:tcPr>
            <w:tcW w:w="3360" w:type="dxa"/>
          </w:tcPr>
          <w:p w:rsidR="00730586" w:rsidRDefault="00951727">
            <w:r>
              <w:rPr>
                <w:sz w:val="20"/>
              </w:rPr>
              <w:t>No by default</w:t>
            </w:r>
          </w:p>
        </w:tc>
        <w:tc>
          <w:tcPr>
            <w:tcW w:w="3360" w:type="dxa"/>
          </w:tcPr>
          <w:p w:rsidR="00730586" w:rsidRDefault="00951727">
            <w:r>
              <w:rPr>
                <w:sz w:val="20"/>
              </w:rPr>
              <w:t>Breaks data minimization and tenant boundary</w:t>
            </w:r>
          </w:p>
        </w:tc>
      </w:tr>
      <w:tr w:rsidR="00730586">
        <w:trPr>
          <w:jc w:val="center"/>
        </w:trPr>
        <w:tc>
          <w:tcPr>
            <w:tcW w:w="3360" w:type="dxa"/>
          </w:tcPr>
          <w:p w:rsidR="00730586" w:rsidRDefault="00951727">
            <w:r>
              <w:rPr>
                <w:sz w:val="20"/>
              </w:rPr>
              <w:t>System B uses engineering repository credentials</w:t>
            </w:r>
          </w:p>
        </w:tc>
        <w:tc>
          <w:tcPr>
            <w:tcW w:w="3360" w:type="dxa"/>
          </w:tcPr>
          <w:p w:rsidR="00730586" w:rsidRDefault="00951727">
            <w:r>
              <w:rPr>
                <w:sz w:val="20"/>
              </w:rPr>
              <w:t>No</w:t>
            </w:r>
          </w:p>
        </w:tc>
        <w:tc>
          <w:tcPr>
            <w:tcW w:w="3360" w:type="dxa"/>
          </w:tcPr>
          <w:p w:rsidR="00730586" w:rsidRDefault="00951727">
            <w:r>
              <w:rPr>
                <w:sz w:val="20"/>
              </w:rPr>
              <w:t>Wrong trust domain and excessive privilege</w:t>
            </w:r>
          </w:p>
        </w:tc>
      </w:tr>
      <w:tr w:rsidR="00730586">
        <w:trPr>
          <w:jc w:val="center"/>
        </w:trPr>
        <w:tc>
          <w:tcPr>
            <w:tcW w:w="3360" w:type="dxa"/>
          </w:tcPr>
          <w:p w:rsidR="00730586" w:rsidRDefault="00951727">
            <w:r>
              <w:rPr>
                <w:sz w:val="20"/>
              </w:rPr>
              <w:t xml:space="preserve">System A updates </w:t>
            </w:r>
            <w:r>
              <w:rPr>
                <w:sz w:val="20"/>
              </w:rPr>
              <w:t>System B deployment manifests through CI with approval</w:t>
            </w:r>
          </w:p>
        </w:tc>
        <w:tc>
          <w:tcPr>
            <w:tcW w:w="3360" w:type="dxa"/>
          </w:tcPr>
          <w:p w:rsidR="00730586" w:rsidRDefault="00951727">
            <w:r>
              <w:rPr>
                <w:sz w:val="20"/>
              </w:rPr>
              <w:t>Yes, with controls</w:t>
            </w:r>
          </w:p>
        </w:tc>
        <w:tc>
          <w:tcPr>
            <w:tcW w:w="3360" w:type="dxa"/>
          </w:tcPr>
          <w:p w:rsidR="00730586" w:rsidRDefault="00951727">
            <w:r>
              <w:rPr>
                <w:sz w:val="20"/>
              </w:rPr>
              <w:t>Engineering authority over platform code, not over tenant data</w:t>
            </w:r>
          </w:p>
        </w:tc>
      </w:tr>
      <w:tr w:rsidR="00730586">
        <w:trPr>
          <w:jc w:val="center"/>
        </w:trPr>
        <w:tc>
          <w:tcPr>
            <w:tcW w:w="3360" w:type="dxa"/>
          </w:tcPr>
          <w:p w:rsidR="00730586" w:rsidRDefault="00951727">
            <w:r>
              <w:rPr>
                <w:sz w:val="20"/>
              </w:rPr>
              <w:t>System B calls a shared policy engine with tenant context</w:t>
            </w:r>
          </w:p>
        </w:tc>
        <w:tc>
          <w:tcPr>
            <w:tcW w:w="3360" w:type="dxa"/>
          </w:tcPr>
          <w:p w:rsidR="00730586" w:rsidRDefault="00951727">
            <w:r>
              <w:rPr>
                <w:sz w:val="20"/>
              </w:rPr>
              <w:t>Yes</w:t>
            </w:r>
          </w:p>
        </w:tc>
        <w:tc>
          <w:tcPr>
            <w:tcW w:w="3360" w:type="dxa"/>
          </w:tcPr>
          <w:p w:rsidR="00730586" w:rsidRDefault="00951727">
            <w:r>
              <w:rPr>
                <w:sz w:val="20"/>
              </w:rPr>
              <w:t>Central engine is acceptable if contextual separation is</w:t>
            </w:r>
            <w:r>
              <w:rPr>
                <w:sz w:val="20"/>
              </w:rPr>
              <w:t xml:space="preserve"> enforced</w:t>
            </w:r>
          </w:p>
        </w:tc>
      </w:tr>
    </w:tbl>
    <w:p w:rsidR="00730586" w:rsidRDefault="00730586"/>
    <w:p w:rsidR="00730586" w:rsidRDefault="00951727">
      <w:pPr>
        <w:pStyle w:val="Heading2"/>
        <w:spacing w:after="120"/>
      </w:pPr>
      <w:r>
        <w:rPr>
          <w:rFonts w:ascii="Calibri" w:hAnsi="Calibri"/>
          <w:sz w:val="22"/>
        </w:rPr>
        <w:t>3.3.4 — Separate failure domains and quotas</w:t>
      </w:r>
    </w:p>
    <w:p w:rsidR="00730586" w:rsidRDefault="00951727">
      <w:pPr>
        <w:spacing w:after="120"/>
      </w:pPr>
      <w:r>
        <w:t>This point is easy to underestimate. If an engineering swarm launches thousands of repository-analysis jobs, it can saturate queues, model throughput or execution workers. If those same workers also h</w:t>
      </w:r>
      <w:r>
        <w:t>andle urgent client processes, critical business work may be delayed. Therefore:</w:t>
      </w:r>
    </w:p>
    <w:p w:rsidR="00730586" w:rsidRDefault="00951727">
      <w:pPr>
        <w:spacing w:after="40"/>
        <w:ind w:left="360" w:hanging="259"/>
      </w:pPr>
      <w:r>
        <w:t>• Use separate task queues or queue priorities for System A and System B.</w:t>
      </w:r>
    </w:p>
    <w:p w:rsidR="00730586" w:rsidRDefault="00951727">
      <w:pPr>
        <w:spacing w:after="40"/>
        <w:ind w:left="360" w:hanging="259"/>
      </w:pPr>
      <w:r>
        <w:t>• Reserve model throughput or worker capacity for time-sensitive client workflows.</w:t>
      </w:r>
    </w:p>
    <w:p w:rsidR="00730586" w:rsidRDefault="00951727">
      <w:pPr>
        <w:spacing w:after="40"/>
        <w:ind w:left="360" w:hanging="259"/>
      </w:pPr>
      <w:r>
        <w:lastRenderedPageBreak/>
        <w:t xml:space="preserve">• Set independent </w:t>
      </w:r>
      <w:r>
        <w:t>cost budgets and rate limits.</w:t>
      </w:r>
    </w:p>
    <w:p w:rsidR="00730586" w:rsidRDefault="00951727">
      <w:pPr>
        <w:spacing w:after="40"/>
        <w:ind w:left="360" w:hanging="259"/>
      </w:pPr>
      <w:r>
        <w:t>• Track system-specific service level objectives and error budgets.</w:t>
      </w:r>
    </w:p>
    <w:p w:rsidR="00730586" w:rsidRDefault="00951727">
      <w:pPr>
        <w:spacing w:after="40"/>
        <w:ind w:left="360" w:hanging="259"/>
      </w:pPr>
      <w:r>
        <w:t>• Design incident runbooks that isolate faults rather than spreading them.</w:t>
      </w:r>
    </w:p>
    <w:p w:rsidR="00730586" w:rsidRDefault="00951727">
      <w:pPr>
        <w:pStyle w:val="Heading2"/>
        <w:spacing w:after="120"/>
      </w:pPr>
      <w:r>
        <w:rPr>
          <w:rFonts w:ascii="Calibri" w:hAnsi="Calibri"/>
          <w:sz w:val="22"/>
        </w:rPr>
        <w:t>3.3.5 — Threat modeling by mission, not by generic “AI risk” labels</w:t>
      </w:r>
    </w:p>
    <w:p w:rsidR="00730586" w:rsidRDefault="00951727">
      <w:pPr>
        <w:spacing w:after="120"/>
      </w:pPr>
      <w:r>
        <w:t>System A and Sy</w:t>
      </w:r>
      <w:r>
        <w:t xml:space="preserve">stem B both use AI, but their threat models differ. System A is more exposed to source tampering, prompt injection through documentation, malicious patches and CI/CD compromise. System B is more exposed to data leakage, transaction abuse, approval bypass, </w:t>
      </w:r>
      <w:r>
        <w:t>tenant crossover and compliance failures. You should therefore maintain separate threat models, controls and incident playbooks.</w:t>
      </w:r>
    </w:p>
    <w:p w:rsidR="00730586" w:rsidRDefault="00951727">
      <w:pPr>
        <w:pStyle w:val="Heading3"/>
      </w:pPr>
      <w:r>
        <w:rPr>
          <w:rFonts w:ascii="Calibri" w:hAnsi="Calibri"/>
          <w:sz w:val="22"/>
        </w:rPr>
        <w:t>DIAGRAM PLACEHOLDER — RD-AI-03: System A versus System B above shared platform services</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RESERVED SPACE FOR FUTURE PRESENTATION-</w:t>
            </w:r>
            <w:r>
              <w:rPr>
                <w:b/>
                <w:color w:val="0F2B5B"/>
              </w:rPr>
              <w:t>READY DIAGRAM</w:t>
            </w:r>
          </w:p>
        </w:tc>
      </w:tr>
      <w:tr w:rsidR="00730586">
        <w:trPr>
          <w:jc w:val="center"/>
        </w:trPr>
        <w:tc>
          <w:tcPr>
            <w:tcW w:w="10080" w:type="dxa"/>
            <w:shd w:val="clear" w:color="auto" w:fill="F8FBFD"/>
          </w:tcPr>
          <w:p w:rsidR="00730586" w:rsidRDefault="00951727">
            <w:r>
              <w:rPr>
                <w:sz w:val="21"/>
              </w:rPr>
              <w:t>Insert the finished diagram here in a later revision. Keep enough vertical space for a landscape figure with caption and figure number.</w:t>
            </w:r>
          </w:p>
        </w:tc>
      </w:tr>
    </w:tbl>
    <w:p w:rsidR="00730586" w:rsidRDefault="00730586"/>
    <w:p w:rsidR="00730586" w:rsidRDefault="00951727">
      <w:r>
        <w:rPr>
          <w:b/>
        </w:rPr>
        <w:t xml:space="preserve">Future ChatGPT image-generation prompt: </w:t>
      </w:r>
      <w:r>
        <w:t xml:space="preserve">Create a presentation-ready landscape architecture diagram </w:t>
      </w:r>
      <w:r>
        <w:t>titled “RD-AI-03: System A versus System B”. Use a white background, dark-navy section headers, restrained enterprise styling and clear icons. Show two top zones: System A Engineering Swarm and System B Client Automation Swarm. Under both, show shared plat</w:t>
      </w:r>
      <w:r>
        <w:t>form services such as model router, agent registry, tracing, evaluation harness, identity broker, scheduler and policy decision service. Use thick tenant and permission boundaries. Show distinct credential vault paths, separate queues, separate failure dom</w:t>
      </w:r>
      <w:r>
        <w:t>ains and approval gates. Label natural artifacts for each system. Emphasize “Share infrastructure, not authority.”</w:t>
      </w:r>
    </w:p>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p w:rsidR="00730586" w:rsidRDefault="00951727">
      <w:pPr>
        <w:pStyle w:val="Heading3"/>
      </w:pPr>
      <w:r>
        <w:rPr>
          <w:rFonts w:ascii="Calibri" w:hAnsi="Calibri"/>
          <w:sz w:val="22"/>
        </w:rPr>
        <w:t>DIAGRAM PLACEHOLDER — RD-AI-03-C: Isolation layers and permissible cross-system flows</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RESERVED SPACE FOR FUTURE PRESENTATION-READY DIAG</w:t>
            </w:r>
            <w:r>
              <w:rPr>
                <w:b/>
                <w:color w:val="0F2B5B"/>
              </w:rPr>
              <w:t>RAM</w:t>
            </w:r>
          </w:p>
        </w:tc>
      </w:tr>
      <w:tr w:rsidR="00730586">
        <w:trPr>
          <w:jc w:val="center"/>
        </w:trPr>
        <w:tc>
          <w:tcPr>
            <w:tcW w:w="10080" w:type="dxa"/>
            <w:shd w:val="clear" w:color="auto" w:fill="F8FBFD"/>
          </w:tcPr>
          <w:p w:rsidR="00730586" w:rsidRDefault="00951727">
            <w:r>
              <w:rPr>
                <w:sz w:val="21"/>
              </w:rPr>
              <w:t>Insert the finished diagram here in a later revision. Keep enough vertical space for a landscape figure with caption and figure number.</w:t>
            </w:r>
          </w:p>
        </w:tc>
      </w:tr>
    </w:tbl>
    <w:p w:rsidR="00730586" w:rsidRDefault="00730586"/>
    <w:p w:rsidR="00730586" w:rsidRDefault="00951727">
      <w:r>
        <w:rPr>
          <w:b/>
        </w:rPr>
        <w:t xml:space="preserve">Future ChatGPT image-generation prompt: </w:t>
      </w:r>
      <w:r>
        <w:t xml:space="preserve">Create a clean landscape educational infographic titled “RD-AI-03-C: </w:t>
      </w:r>
      <w:r>
        <w:t xml:space="preserve">Isolation Layers and Permissible Cross-System Flows”. White background, dark-navy headings and readable labels. Show layered isolation categories: identity, network, storage, encryption keys, retrieval index, application policy, failure domain and quotas. </w:t>
      </w:r>
      <w:r>
        <w:t>On the side, depict allowed flows in green and prohibited flows in red between System A, System B and shared services. Include notes that engineering tasks must not starve live client workflows and that client data never crosses tenant boundaries without e</w:t>
      </w:r>
      <w:r>
        <w:t>xplicit authorized design.</w:t>
      </w:r>
    </w:p>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p w:rsidR="00730586" w:rsidRDefault="00951727">
      <w:pPr>
        <w:pStyle w:val="Heading1"/>
        <w:spacing w:after="120"/>
      </w:pPr>
      <w:r>
        <w:rPr>
          <w:rFonts w:ascii="Calibri" w:hAnsi="Calibri"/>
          <w:sz w:val="22"/>
        </w:rPr>
        <w:t>3.L — Hands-on laboratory and acceptance criteria</w:t>
      </w:r>
    </w:p>
    <w:p w:rsidR="00730586" w:rsidRDefault="00951727">
      <w:pPr>
        <w:pStyle w:val="Heading2"/>
        <w:spacing w:after="120"/>
      </w:pPr>
      <w:r>
        <w:rPr>
          <w:rFonts w:ascii="Calibri" w:hAnsi="Calibri"/>
          <w:sz w:val="22"/>
        </w:rPr>
        <w:t>What this laboratory does and why it matters</w:t>
      </w:r>
    </w:p>
    <w:p w:rsidR="00730586" w:rsidRDefault="00951727">
      <w:pPr>
        <w:spacing w:after="120"/>
      </w:pPr>
      <w:r>
        <w:t xml:space="preserve">The purpose of this lab is to force a concrete separation between engineering automation and client-process execution. Many </w:t>
      </w:r>
      <w:r>
        <w:t>learners can repeat the theory but still design an unsafe architecture that shares too much authority. These exercises make the separation explicit and test whether the proposed boundaries are understandable, defensible and evidenced.</w:t>
      </w:r>
    </w:p>
    <w:p w:rsidR="00730586" w:rsidRDefault="00951727">
      <w:pPr>
        <w:pStyle w:val="Heading2"/>
        <w:spacing w:after="120"/>
      </w:pPr>
      <w:r>
        <w:rPr>
          <w:rFonts w:ascii="Calibri" w:hAnsi="Calibri"/>
          <w:sz w:val="22"/>
        </w:rPr>
        <w:t>3.L.1 — Laboratory ou</w:t>
      </w:r>
      <w:r>
        <w:rPr>
          <w:rFonts w:ascii="Calibri" w:hAnsi="Calibri"/>
          <w:sz w:val="22"/>
        </w:rPr>
        <w:t>tcomes</w:t>
      </w:r>
    </w:p>
    <w:p w:rsidR="00730586" w:rsidRDefault="00951727">
      <w:pPr>
        <w:spacing w:after="40"/>
        <w:ind w:left="360" w:hanging="259"/>
      </w:pPr>
      <w:r>
        <w:t>• Produce one threat model for System A and a separate threat model for System B.</w:t>
      </w:r>
    </w:p>
    <w:p w:rsidR="00730586" w:rsidRDefault="00951727">
      <w:pPr>
        <w:spacing w:after="40"/>
        <w:ind w:left="360" w:hanging="259"/>
      </w:pPr>
      <w:r>
        <w:t>• Create a shared-services inventory with permissible and prohibited cross-system flows.</w:t>
      </w:r>
    </w:p>
    <w:p w:rsidR="00730586" w:rsidRDefault="00951727">
      <w:pPr>
        <w:spacing w:after="40"/>
        <w:ind w:left="360" w:hanging="259"/>
      </w:pPr>
      <w:r>
        <w:t>• Define objective evidence for completion, rather than relying on a plausible</w:t>
      </w:r>
      <w:r>
        <w:t xml:space="preserve"> model narrative.</w:t>
      </w:r>
    </w:p>
    <w:p w:rsidR="00730586" w:rsidRDefault="00951727">
      <w:pPr>
        <w:spacing w:after="40"/>
        <w:ind w:left="360" w:hanging="259"/>
      </w:pPr>
      <w:r>
        <w:t>• Demonstrate that the learner understands why shared infrastructure does not imply shared authority.</w:t>
      </w:r>
    </w:p>
    <w:p w:rsidR="00730586" w:rsidRDefault="00951727">
      <w:pPr>
        <w:pStyle w:val="Heading2"/>
        <w:spacing w:after="120"/>
      </w:pPr>
      <w:r>
        <w:rPr>
          <w:rFonts w:ascii="Calibri" w:hAnsi="Calibri"/>
          <w:sz w:val="22"/>
        </w:rPr>
        <w:t>3.L.2 — Exercise 1: Create separate threat models</w:t>
      </w:r>
    </w:p>
    <w:p w:rsidR="00730586" w:rsidRDefault="00951727">
      <w:pPr>
        <w:pStyle w:val="Heading3"/>
        <w:spacing w:after="120"/>
      </w:pPr>
      <w:r>
        <w:rPr>
          <w:rFonts w:ascii="Calibri" w:hAnsi="Calibri"/>
          <w:sz w:val="22"/>
        </w:rPr>
        <w:t>Task requirement</w:t>
      </w:r>
    </w:p>
    <w:p w:rsidR="00730586" w:rsidRDefault="00951727">
      <w:pPr>
        <w:spacing w:after="120"/>
      </w:pPr>
      <w:r>
        <w:t>Create two concise but explicit threat models: one for System A and o</w:t>
      </w:r>
      <w:r>
        <w:t>ne for System B. For each system, list assets, actors, trust boundaries, entry points, credible threats, mitigations and residual risks.</w:t>
      </w:r>
    </w:p>
    <w:p w:rsidR="00730586" w:rsidRDefault="00951727">
      <w:pPr>
        <w:pStyle w:val="Heading3"/>
        <w:spacing w:after="120"/>
      </w:pPr>
      <w:r>
        <w:rPr>
          <w:rFonts w:ascii="Calibri" w:hAnsi="Calibri"/>
          <w:sz w:val="22"/>
        </w:rPr>
        <w:t>Suggested process</w:t>
      </w:r>
    </w:p>
    <w:p w:rsidR="00730586" w:rsidRDefault="00951727">
      <w:pPr>
        <w:spacing w:after="40"/>
        <w:ind w:left="360" w:hanging="259"/>
      </w:pPr>
      <w:r>
        <w:t>• Identify the mission of the system and its most sensitive assets.</w:t>
      </w:r>
    </w:p>
    <w:p w:rsidR="00730586" w:rsidRDefault="00951727">
      <w:pPr>
        <w:spacing w:after="40"/>
        <w:ind w:left="360" w:hanging="259"/>
      </w:pPr>
      <w:r>
        <w:t>• List the principals or identiti</w:t>
      </w:r>
      <w:r>
        <w:t>es involved, including human reviewers and service accounts.</w:t>
      </w:r>
    </w:p>
    <w:p w:rsidR="00730586" w:rsidRDefault="00951727">
      <w:pPr>
        <w:spacing w:after="40"/>
        <w:ind w:left="360" w:hanging="259"/>
      </w:pPr>
      <w:r>
        <w:t>• Mark trust boundaries such as repository access, sandbox execution, tenant data stores and external integrations.</w:t>
      </w:r>
    </w:p>
    <w:p w:rsidR="00730586" w:rsidRDefault="00951727">
      <w:pPr>
        <w:spacing w:after="40"/>
        <w:ind w:left="360" w:hanging="259"/>
      </w:pPr>
      <w:r>
        <w:t>• Enumerate at least five concrete threats per system.</w:t>
      </w:r>
    </w:p>
    <w:p w:rsidR="00730586" w:rsidRDefault="00951727">
      <w:pPr>
        <w:spacing w:after="40"/>
        <w:ind w:left="360" w:hanging="259"/>
      </w:pPr>
      <w:r>
        <w:t xml:space="preserve">• Map at least one </w:t>
      </w:r>
      <w:r>
        <w:t>mitigation to each threat.</w:t>
      </w:r>
    </w:p>
    <w:p w:rsidR="00730586" w:rsidRDefault="00951727">
      <w:pPr>
        <w:spacing w:after="40"/>
        <w:ind w:left="360" w:hanging="259"/>
      </w:pPr>
      <w:r>
        <w:t>• Record at least one residual risk that still requires monitoring or governance.</w:t>
      </w:r>
    </w:p>
    <w:p w:rsidR="00730586" w:rsidRDefault="00951727">
      <w:pPr>
        <w:pStyle w:val="Heading3"/>
        <w:spacing w:after="120"/>
      </w:pPr>
      <w:r>
        <w:rPr>
          <w:rFonts w:ascii="Calibri" w:hAnsi="Calibri"/>
          <w:sz w:val="22"/>
        </w:rPr>
        <w:t>Example threat categories</w:t>
      </w:r>
    </w:p>
    <w:tbl>
      <w:tblPr>
        <w:tblStyle w:val="TableGrid"/>
        <w:tblW w:w="0" w:type="auto"/>
        <w:jc w:val="center"/>
        <w:tblLook w:val="04A0" w:firstRow="1" w:lastRow="0" w:firstColumn="1" w:lastColumn="0" w:noHBand="0" w:noVBand="1"/>
      </w:tblPr>
      <w:tblGrid>
        <w:gridCol w:w="5040"/>
        <w:gridCol w:w="5040"/>
      </w:tblGrid>
      <w:tr w:rsidR="00730586">
        <w:trPr>
          <w:jc w:val="center"/>
        </w:trPr>
        <w:tc>
          <w:tcPr>
            <w:tcW w:w="5040" w:type="dxa"/>
            <w:shd w:val="clear" w:color="auto" w:fill="1F4E79"/>
          </w:tcPr>
          <w:p w:rsidR="00730586" w:rsidRDefault="00951727">
            <w:r>
              <w:rPr>
                <w:b/>
                <w:color w:val="FFFFFF"/>
                <w:sz w:val="21"/>
              </w:rPr>
              <w:t>System</w:t>
            </w:r>
          </w:p>
        </w:tc>
        <w:tc>
          <w:tcPr>
            <w:tcW w:w="5040" w:type="dxa"/>
            <w:shd w:val="clear" w:color="auto" w:fill="1F4E79"/>
          </w:tcPr>
          <w:p w:rsidR="00730586" w:rsidRDefault="00951727">
            <w:r>
              <w:rPr>
                <w:b/>
                <w:color w:val="FFFFFF"/>
                <w:sz w:val="21"/>
              </w:rPr>
              <w:t>Example threats</w:t>
            </w:r>
          </w:p>
        </w:tc>
      </w:tr>
      <w:tr w:rsidR="00730586">
        <w:trPr>
          <w:jc w:val="center"/>
        </w:trPr>
        <w:tc>
          <w:tcPr>
            <w:tcW w:w="5040" w:type="dxa"/>
          </w:tcPr>
          <w:p w:rsidR="00730586" w:rsidRDefault="00951727">
            <w:r>
              <w:rPr>
                <w:sz w:val="20"/>
              </w:rPr>
              <w:t>System A</w:t>
            </w:r>
          </w:p>
        </w:tc>
        <w:tc>
          <w:tcPr>
            <w:tcW w:w="5040" w:type="dxa"/>
          </w:tcPr>
          <w:p w:rsidR="00730586" w:rsidRDefault="00951727">
            <w:r>
              <w:rPr>
                <w:sz w:val="20"/>
              </w:rPr>
              <w:t>malicious prompt injection in documentation, CI compromise, over-privileged repo access,</w:t>
            </w:r>
            <w:r>
              <w:rPr>
                <w:sz w:val="20"/>
              </w:rPr>
              <w:t xml:space="preserve"> unsafe patch generation, excessive model cost or looping</w:t>
            </w:r>
          </w:p>
        </w:tc>
      </w:tr>
      <w:tr w:rsidR="00730586">
        <w:trPr>
          <w:jc w:val="center"/>
        </w:trPr>
        <w:tc>
          <w:tcPr>
            <w:tcW w:w="5040" w:type="dxa"/>
          </w:tcPr>
          <w:p w:rsidR="00730586" w:rsidRDefault="00951727">
            <w:r>
              <w:rPr>
                <w:sz w:val="20"/>
              </w:rPr>
              <w:t>System B</w:t>
            </w:r>
          </w:p>
        </w:tc>
        <w:tc>
          <w:tcPr>
            <w:tcW w:w="5040" w:type="dxa"/>
          </w:tcPr>
          <w:p w:rsidR="00730586" w:rsidRDefault="00951727">
            <w:r>
              <w:rPr>
                <w:sz w:val="20"/>
              </w:rPr>
              <w:t>tenant data leakage, approval bypass, fraudulent transaction execution, connector credential abuse, document-extraction error leading to financial loss</w:t>
            </w:r>
          </w:p>
        </w:tc>
      </w:tr>
    </w:tbl>
    <w:p w:rsidR="00730586" w:rsidRDefault="00730586"/>
    <w:p w:rsidR="00730586" w:rsidRDefault="00951727">
      <w:pPr>
        <w:pStyle w:val="Heading2"/>
        <w:spacing w:after="120"/>
      </w:pPr>
      <w:r>
        <w:rPr>
          <w:rFonts w:ascii="Calibri" w:hAnsi="Calibri"/>
          <w:sz w:val="22"/>
        </w:rPr>
        <w:t>3.L.3 — Exercise 2: Shared-service</w:t>
      </w:r>
      <w:r>
        <w:rPr>
          <w:rFonts w:ascii="Calibri" w:hAnsi="Calibri"/>
          <w:sz w:val="22"/>
        </w:rPr>
        <w:t>s inventory and permissible flows</w:t>
      </w:r>
    </w:p>
    <w:p w:rsidR="00730586" w:rsidRDefault="00951727">
      <w:pPr>
        <w:pStyle w:val="Heading3"/>
        <w:spacing w:after="120"/>
      </w:pPr>
      <w:r>
        <w:rPr>
          <w:rFonts w:ascii="Calibri" w:hAnsi="Calibri"/>
          <w:sz w:val="22"/>
        </w:rPr>
        <w:t>Task requirement</w:t>
      </w:r>
    </w:p>
    <w:p w:rsidR="00730586" w:rsidRDefault="00951727">
      <w:pPr>
        <w:spacing w:after="120"/>
      </w:pPr>
      <w:r>
        <w:t>Write an inventory of platform services that may be shared by System A and System B. Then annotate, for each service, what information or authority may flow through it and what must not.</w:t>
      </w:r>
    </w:p>
    <w:p w:rsidR="00730586" w:rsidRDefault="00951727">
      <w:pPr>
        <w:pStyle w:val="Heading3"/>
        <w:spacing w:after="120"/>
      </w:pPr>
      <w:r>
        <w:rPr>
          <w:rFonts w:ascii="Calibri" w:hAnsi="Calibri"/>
          <w:sz w:val="22"/>
        </w:rPr>
        <w:t>Suggested inventor</w:t>
      </w:r>
      <w:r>
        <w:rPr>
          <w:rFonts w:ascii="Calibri" w:hAnsi="Calibri"/>
          <w:sz w:val="22"/>
        </w:rPr>
        <w:t>y headings</w:t>
      </w:r>
    </w:p>
    <w:p w:rsidR="00730586" w:rsidRDefault="00951727">
      <w:pPr>
        <w:spacing w:after="40"/>
        <w:ind w:left="360" w:hanging="259"/>
      </w:pPr>
      <w:r>
        <w:t>• Service name</w:t>
      </w:r>
    </w:p>
    <w:p w:rsidR="00730586" w:rsidRDefault="00951727">
      <w:pPr>
        <w:spacing w:after="40"/>
        <w:ind w:left="360" w:hanging="259"/>
      </w:pPr>
      <w:r>
        <w:t>• Purpose</w:t>
      </w:r>
    </w:p>
    <w:p w:rsidR="00730586" w:rsidRDefault="00951727">
      <w:pPr>
        <w:spacing w:after="40"/>
        <w:ind w:left="360" w:hanging="259"/>
      </w:pPr>
      <w:r>
        <w:t>• Consumers</w:t>
      </w:r>
    </w:p>
    <w:p w:rsidR="00730586" w:rsidRDefault="00951727">
      <w:pPr>
        <w:spacing w:after="40"/>
        <w:ind w:left="360" w:hanging="259"/>
      </w:pPr>
      <w:r>
        <w:t>• Inputs</w:t>
      </w:r>
    </w:p>
    <w:p w:rsidR="00730586" w:rsidRDefault="00951727">
      <w:pPr>
        <w:spacing w:after="40"/>
        <w:ind w:left="360" w:hanging="259"/>
      </w:pPr>
      <w:r>
        <w:t>• Outputs</w:t>
      </w:r>
    </w:p>
    <w:p w:rsidR="00730586" w:rsidRDefault="00951727">
      <w:pPr>
        <w:spacing w:after="40"/>
        <w:ind w:left="360" w:hanging="259"/>
      </w:pPr>
      <w:r>
        <w:t>• Allowed data classes</w:t>
      </w:r>
    </w:p>
    <w:p w:rsidR="00730586" w:rsidRDefault="00951727">
      <w:pPr>
        <w:spacing w:after="40"/>
        <w:ind w:left="360" w:hanging="259"/>
      </w:pPr>
      <w:r>
        <w:t>• Disallowed data classes</w:t>
      </w:r>
    </w:p>
    <w:p w:rsidR="00730586" w:rsidRDefault="00951727">
      <w:pPr>
        <w:spacing w:after="40"/>
        <w:ind w:left="360" w:hanging="259"/>
      </w:pPr>
      <w:r>
        <w:t>• Authentication method</w:t>
      </w:r>
    </w:p>
    <w:p w:rsidR="00730586" w:rsidRDefault="00951727">
      <w:pPr>
        <w:spacing w:after="40"/>
        <w:ind w:left="360" w:hanging="259"/>
      </w:pPr>
      <w:r>
        <w:t>• Approval requirements</w:t>
      </w:r>
    </w:p>
    <w:p w:rsidR="00730586" w:rsidRDefault="00951727">
      <w:pPr>
        <w:spacing w:after="40"/>
        <w:ind w:left="360" w:hanging="259"/>
      </w:pPr>
      <w:r>
        <w:t>• Logging / trace identifiers</w:t>
      </w:r>
    </w:p>
    <w:p w:rsidR="00730586" w:rsidRDefault="00951727">
      <w:pPr>
        <w:spacing w:after="40"/>
        <w:ind w:left="360" w:hanging="259"/>
      </w:pPr>
      <w:r>
        <w:t>• Quota or rate-limit notes</w:t>
      </w:r>
    </w:p>
    <w:p w:rsidR="00730586" w:rsidRDefault="00951727">
      <w:pPr>
        <w:pStyle w:val="Heading3"/>
        <w:spacing w:after="120"/>
      </w:pPr>
      <w:r>
        <w:rPr>
          <w:rFonts w:ascii="Calibri" w:hAnsi="Calibri"/>
          <w:sz w:val="22"/>
        </w:rPr>
        <w:t>Minimum required analysis</w:t>
      </w:r>
    </w:p>
    <w:p w:rsidR="00730586" w:rsidRDefault="00951727">
      <w:pPr>
        <w:spacing w:after="40"/>
        <w:ind w:left="360" w:hanging="259"/>
      </w:pPr>
      <w:r>
        <w:t xml:space="preserve">• At </w:t>
      </w:r>
      <w:r>
        <w:t>least six shared services must be inventoried.</w:t>
      </w:r>
    </w:p>
    <w:p w:rsidR="00730586" w:rsidRDefault="00951727">
      <w:pPr>
        <w:spacing w:after="40"/>
        <w:ind w:left="360" w:hanging="259"/>
      </w:pPr>
      <w:r>
        <w:t>• At least four allowed flows and four prohibited flows must be identified.</w:t>
      </w:r>
    </w:p>
    <w:p w:rsidR="00730586" w:rsidRDefault="00951727">
      <w:pPr>
        <w:spacing w:after="40"/>
        <w:ind w:left="360" w:hanging="259"/>
      </w:pPr>
      <w:r>
        <w:t>• At least one service must include a note on noisy-neighbor risk and capacity protection.</w:t>
      </w:r>
    </w:p>
    <w:p w:rsidR="00730586" w:rsidRDefault="00951727">
      <w:pPr>
        <w:spacing w:after="40"/>
        <w:ind w:left="360" w:hanging="259"/>
      </w:pPr>
      <w:r>
        <w:t>• At least one service must include a note</w:t>
      </w:r>
      <w:r>
        <w:t xml:space="preserve"> on tenant or environment isolation.</w:t>
      </w:r>
    </w:p>
    <w:p w:rsidR="00730586" w:rsidRDefault="00951727">
      <w:pPr>
        <w:pStyle w:val="Heading2"/>
        <w:spacing w:after="120"/>
      </w:pPr>
      <w:r>
        <w:rPr>
          <w:rFonts w:ascii="Calibri" w:hAnsi="Calibri"/>
          <w:sz w:val="22"/>
        </w:rPr>
        <w:t>3.L.4 — Example deliverable template</w:t>
      </w:r>
    </w:p>
    <w:tbl>
      <w:tblPr>
        <w:tblStyle w:val="TableGrid"/>
        <w:tblW w:w="0" w:type="auto"/>
        <w:jc w:val="center"/>
        <w:tblLook w:val="04A0" w:firstRow="1" w:lastRow="0" w:firstColumn="1" w:lastColumn="0" w:noHBand="0" w:noVBand="1"/>
      </w:tblPr>
      <w:tblGrid>
        <w:gridCol w:w="3360"/>
        <w:gridCol w:w="3360"/>
        <w:gridCol w:w="3360"/>
      </w:tblGrid>
      <w:tr w:rsidR="00730586">
        <w:trPr>
          <w:jc w:val="center"/>
        </w:trPr>
        <w:tc>
          <w:tcPr>
            <w:tcW w:w="3360" w:type="dxa"/>
            <w:shd w:val="clear" w:color="auto" w:fill="1F4E79"/>
          </w:tcPr>
          <w:p w:rsidR="00730586" w:rsidRDefault="00951727">
            <w:r>
              <w:rPr>
                <w:b/>
                <w:color w:val="FFFFFF"/>
                <w:sz w:val="21"/>
              </w:rPr>
              <w:t>Deliverable</w:t>
            </w:r>
          </w:p>
        </w:tc>
        <w:tc>
          <w:tcPr>
            <w:tcW w:w="3360" w:type="dxa"/>
            <w:shd w:val="clear" w:color="auto" w:fill="1F4E79"/>
          </w:tcPr>
          <w:p w:rsidR="00730586" w:rsidRDefault="00951727">
            <w:r>
              <w:rPr>
                <w:b/>
                <w:color w:val="FFFFFF"/>
                <w:sz w:val="21"/>
              </w:rPr>
              <w:t>Minimum content</w:t>
            </w:r>
          </w:p>
        </w:tc>
        <w:tc>
          <w:tcPr>
            <w:tcW w:w="3360" w:type="dxa"/>
            <w:shd w:val="clear" w:color="auto" w:fill="1F4E79"/>
          </w:tcPr>
          <w:p w:rsidR="00730586" w:rsidRDefault="00951727">
            <w:r>
              <w:rPr>
                <w:b/>
                <w:color w:val="FFFFFF"/>
                <w:sz w:val="21"/>
              </w:rPr>
              <w:t>Evidence to attach</w:t>
            </w:r>
          </w:p>
        </w:tc>
      </w:tr>
      <w:tr w:rsidR="00730586">
        <w:trPr>
          <w:jc w:val="center"/>
        </w:trPr>
        <w:tc>
          <w:tcPr>
            <w:tcW w:w="3360" w:type="dxa"/>
          </w:tcPr>
          <w:p w:rsidR="00730586" w:rsidRDefault="00951727">
            <w:r>
              <w:rPr>
                <w:sz w:val="20"/>
              </w:rPr>
              <w:t>Threat model A</w:t>
            </w:r>
          </w:p>
        </w:tc>
        <w:tc>
          <w:tcPr>
            <w:tcW w:w="3360" w:type="dxa"/>
          </w:tcPr>
          <w:p w:rsidR="00730586" w:rsidRDefault="00951727">
            <w:r>
              <w:rPr>
                <w:sz w:val="20"/>
              </w:rPr>
              <w:t>assets, actors, boundaries, threats, mitigations, residual risks</w:t>
            </w:r>
          </w:p>
        </w:tc>
        <w:tc>
          <w:tcPr>
            <w:tcW w:w="3360" w:type="dxa"/>
          </w:tcPr>
          <w:p w:rsidR="00730586" w:rsidRDefault="00951727">
            <w:r>
              <w:rPr>
                <w:sz w:val="20"/>
              </w:rPr>
              <w:t>diagram image or table, file hash, trace ID if produce</w:t>
            </w:r>
            <w:r>
              <w:rPr>
                <w:sz w:val="20"/>
              </w:rPr>
              <w:t>d by a tool</w:t>
            </w:r>
          </w:p>
        </w:tc>
      </w:tr>
      <w:tr w:rsidR="00730586">
        <w:trPr>
          <w:jc w:val="center"/>
        </w:trPr>
        <w:tc>
          <w:tcPr>
            <w:tcW w:w="3360" w:type="dxa"/>
          </w:tcPr>
          <w:p w:rsidR="00730586" w:rsidRDefault="00951727">
            <w:r>
              <w:rPr>
                <w:sz w:val="20"/>
              </w:rPr>
              <w:t>Threat model B</w:t>
            </w:r>
          </w:p>
        </w:tc>
        <w:tc>
          <w:tcPr>
            <w:tcW w:w="3360" w:type="dxa"/>
          </w:tcPr>
          <w:p w:rsidR="00730586" w:rsidRDefault="00951727">
            <w:r>
              <w:rPr>
                <w:sz w:val="20"/>
              </w:rPr>
              <w:t>assets, actors, boundaries, threats, mitigations, residual risks</w:t>
            </w:r>
          </w:p>
        </w:tc>
        <w:tc>
          <w:tcPr>
            <w:tcW w:w="3360" w:type="dxa"/>
          </w:tcPr>
          <w:p w:rsidR="00730586" w:rsidRDefault="00951727">
            <w:r>
              <w:rPr>
                <w:sz w:val="20"/>
              </w:rPr>
              <w:t>diagram image or table, file hash, trace ID if produced by a tool</w:t>
            </w:r>
          </w:p>
        </w:tc>
      </w:tr>
      <w:tr w:rsidR="00730586">
        <w:trPr>
          <w:jc w:val="center"/>
        </w:trPr>
        <w:tc>
          <w:tcPr>
            <w:tcW w:w="3360" w:type="dxa"/>
          </w:tcPr>
          <w:p w:rsidR="00730586" w:rsidRDefault="00951727">
            <w:r>
              <w:rPr>
                <w:sz w:val="20"/>
              </w:rPr>
              <w:t>Shared-services inventory</w:t>
            </w:r>
          </w:p>
        </w:tc>
        <w:tc>
          <w:tcPr>
            <w:tcW w:w="3360" w:type="dxa"/>
          </w:tcPr>
          <w:p w:rsidR="00730586" w:rsidRDefault="00951727">
            <w:r>
              <w:rPr>
                <w:sz w:val="20"/>
              </w:rPr>
              <w:t>service list plus allowed/prohibited flows</w:t>
            </w:r>
          </w:p>
        </w:tc>
        <w:tc>
          <w:tcPr>
            <w:tcW w:w="3360" w:type="dxa"/>
          </w:tcPr>
          <w:p w:rsidR="00730586" w:rsidRDefault="00951727">
            <w:r>
              <w:rPr>
                <w:sz w:val="20"/>
              </w:rPr>
              <w:t xml:space="preserve">CSV, spreadsheet or </w:t>
            </w:r>
            <w:r>
              <w:rPr>
                <w:sz w:val="20"/>
              </w:rPr>
              <w:t>markdown export</w:t>
            </w:r>
          </w:p>
        </w:tc>
      </w:tr>
      <w:tr w:rsidR="00730586">
        <w:trPr>
          <w:jc w:val="center"/>
        </w:trPr>
        <w:tc>
          <w:tcPr>
            <w:tcW w:w="3360" w:type="dxa"/>
          </w:tcPr>
          <w:p w:rsidR="00730586" w:rsidRDefault="00951727">
            <w:r>
              <w:rPr>
                <w:sz w:val="20"/>
              </w:rPr>
              <w:t>Completion note</w:t>
            </w:r>
          </w:p>
        </w:tc>
        <w:tc>
          <w:tcPr>
            <w:tcW w:w="3360" w:type="dxa"/>
          </w:tcPr>
          <w:p w:rsidR="00730586" w:rsidRDefault="00951727">
            <w:r>
              <w:rPr>
                <w:sz w:val="20"/>
              </w:rPr>
              <w:t>summary of what passed and what requires revision</w:t>
            </w:r>
          </w:p>
        </w:tc>
        <w:tc>
          <w:tcPr>
            <w:tcW w:w="3360" w:type="dxa"/>
          </w:tcPr>
          <w:p w:rsidR="00730586" w:rsidRDefault="00951727">
            <w:r>
              <w:rPr>
                <w:sz w:val="20"/>
              </w:rPr>
              <w:t>review checklist and sign-off</w:t>
            </w:r>
          </w:p>
        </w:tc>
      </w:tr>
    </w:tbl>
    <w:p w:rsidR="00730586" w:rsidRDefault="00730586"/>
    <w:p w:rsidR="00730586" w:rsidRDefault="00951727">
      <w:pPr>
        <w:pStyle w:val="Heading2"/>
        <w:spacing w:after="120"/>
      </w:pPr>
      <w:r>
        <w:rPr>
          <w:rFonts w:ascii="Calibri" w:hAnsi="Calibri"/>
          <w:sz w:val="22"/>
        </w:rPr>
        <w:t>3.L.5 — Objective evidence requirements</w:t>
      </w:r>
    </w:p>
    <w:p w:rsidR="00730586" w:rsidRDefault="00951727">
      <w:pPr>
        <w:spacing w:after="120"/>
      </w:pPr>
      <w:r>
        <w:t xml:space="preserve">Completion gate. Record objective evidence (commands, test reports, diffs or trace identifiers). A </w:t>
      </w:r>
      <w:r>
        <w:t>plausible model response alone is not proof of success.</w:t>
      </w:r>
    </w:p>
    <w:p w:rsidR="00730586" w:rsidRDefault="00951727">
      <w:pPr>
        <w:spacing w:after="120"/>
      </w:pPr>
      <w:r>
        <w:t>Examples of acceptable evidence include:</w:t>
      </w:r>
    </w:p>
    <w:p w:rsidR="00730586" w:rsidRDefault="00951727">
      <w:pPr>
        <w:spacing w:after="40"/>
        <w:ind w:left="360" w:hanging="259"/>
      </w:pPr>
      <w:r>
        <w:t>• Command transcript showing how the deliverable files were generated or validated.</w:t>
      </w:r>
    </w:p>
    <w:p w:rsidR="00730586" w:rsidRDefault="00951727">
      <w:pPr>
        <w:spacing w:after="40"/>
        <w:ind w:left="360" w:hanging="259"/>
      </w:pPr>
      <w:r>
        <w:lastRenderedPageBreak/>
        <w:t>• Version-controlled diffs or commit identifiers.</w:t>
      </w:r>
    </w:p>
    <w:p w:rsidR="00730586" w:rsidRDefault="00951727">
      <w:pPr>
        <w:spacing w:after="40"/>
        <w:ind w:left="360" w:hanging="259"/>
      </w:pPr>
      <w:r>
        <w:t>• Test report or linter o</w:t>
      </w:r>
      <w:r>
        <w:t>utput proving the artifact passed basic validation.</w:t>
      </w:r>
    </w:p>
    <w:p w:rsidR="00730586" w:rsidRDefault="00951727">
      <w:pPr>
        <w:spacing w:after="40"/>
        <w:ind w:left="360" w:hanging="259"/>
      </w:pPr>
      <w:r>
        <w:t>• A trace identifier from an agent run, linked to stored execution details.</w:t>
      </w:r>
    </w:p>
    <w:p w:rsidR="00730586" w:rsidRDefault="00951727">
      <w:pPr>
        <w:spacing w:after="40"/>
        <w:ind w:left="360" w:hanging="259"/>
      </w:pPr>
      <w:r>
        <w:t>• Checksums or hashes of submitted files to prove immutability at review time.</w:t>
      </w:r>
    </w:p>
    <w:p w:rsidR="00730586" w:rsidRDefault="00951727">
      <w:pPr>
        <w:pStyle w:val="Heading2"/>
        <w:spacing w:after="120"/>
      </w:pPr>
      <w:r>
        <w:rPr>
          <w:rFonts w:ascii="Calibri" w:hAnsi="Calibri"/>
          <w:sz w:val="22"/>
        </w:rPr>
        <w:t>3.L.6 — Suggested command examples</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F6F8FA"/>
          </w:tcPr>
          <w:p w:rsidR="00730586" w:rsidRDefault="00951727">
            <w:r>
              <w:rPr>
                <w:rFonts w:ascii="Courier New" w:hAnsi="Courier New"/>
                <w:sz w:val="19"/>
              </w:rPr>
              <w:t xml:space="preserve"># Example </w:t>
            </w:r>
            <w:r>
              <w:rPr>
                <w:rFonts w:ascii="Courier New" w:hAnsi="Courier New"/>
                <w:sz w:val="19"/>
              </w:rPr>
              <w:t>evidence capture commands (PowerShell)</w:t>
            </w:r>
            <w:r>
              <w:rPr>
                <w:rFonts w:ascii="Courier New" w:hAnsi="Courier New"/>
                <w:sz w:val="19"/>
              </w:rPr>
              <w:br/>
              <w:t>Get-FileHash .\system_a_threat_model.md</w:t>
            </w:r>
            <w:r>
              <w:rPr>
                <w:rFonts w:ascii="Courier New" w:hAnsi="Courier New"/>
                <w:sz w:val="19"/>
              </w:rPr>
              <w:br/>
              <w:t>Get-FileHash .\system_b_threat_model.md</w:t>
            </w:r>
            <w:r>
              <w:rPr>
                <w:rFonts w:ascii="Courier New" w:hAnsi="Courier New"/>
                <w:sz w:val="19"/>
              </w:rPr>
              <w:br/>
              <w:t>Get-FileHash .\shared_services_inventory.xlsx</w:t>
            </w:r>
            <w:r>
              <w:rPr>
                <w:rFonts w:ascii="Courier New" w:hAnsi="Courier New"/>
                <w:sz w:val="19"/>
              </w:rPr>
              <w:br/>
            </w:r>
            <w:r>
              <w:rPr>
                <w:rFonts w:ascii="Courier New" w:hAnsi="Courier New"/>
                <w:sz w:val="19"/>
              </w:rPr>
              <w:br/>
              <w:t>git status</w:t>
            </w:r>
            <w:r>
              <w:rPr>
                <w:rFonts w:ascii="Courier New" w:hAnsi="Courier New"/>
                <w:sz w:val="19"/>
              </w:rPr>
              <w:br/>
              <w:t>git diff -- .\system_a_threat_model.md .\system_b_threat_model.md .\shared_serv</w:t>
            </w:r>
            <w:r>
              <w:rPr>
                <w:rFonts w:ascii="Courier New" w:hAnsi="Courier New"/>
                <w:sz w:val="19"/>
              </w:rPr>
              <w:t>ices_inventory.xlsx</w:t>
            </w:r>
            <w:r>
              <w:rPr>
                <w:rFonts w:ascii="Courier New" w:hAnsi="Courier New"/>
                <w:sz w:val="19"/>
              </w:rPr>
              <w:br/>
            </w:r>
            <w:r>
              <w:rPr>
                <w:rFonts w:ascii="Courier New" w:hAnsi="Courier New"/>
                <w:sz w:val="19"/>
              </w:rPr>
              <w:br/>
              <w:t># If using tests or linting for structured deliverables</w:t>
            </w:r>
            <w:r>
              <w:rPr>
                <w:rFonts w:ascii="Courier New" w:hAnsi="Courier New"/>
                <w:sz w:val="19"/>
              </w:rPr>
              <w:br/>
              <w:t>python -m pytest tests</w:t>
            </w:r>
            <w:r>
              <w:rPr>
                <w:rFonts w:ascii="Courier New" w:hAnsi="Courier New"/>
                <w:sz w:val="19"/>
              </w:rPr>
              <w:tab/>
              <w:t>est_inventory_rules.py -q</w:t>
            </w:r>
          </w:p>
        </w:tc>
      </w:tr>
    </w:tbl>
    <w:p w:rsidR="00730586" w:rsidRDefault="00730586"/>
    <w:p w:rsidR="00730586" w:rsidRDefault="00951727">
      <w:pPr>
        <w:pStyle w:val="Heading2"/>
        <w:spacing w:after="120"/>
      </w:pPr>
      <w:r>
        <w:rPr>
          <w:rFonts w:ascii="Calibri" w:hAnsi="Calibri"/>
          <w:sz w:val="22"/>
        </w:rPr>
        <w:t>3.L.7 — Acceptance criteria</w:t>
      </w:r>
    </w:p>
    <w:tbl>
      <w:tblPr>
        <w:tblStyle w:val="TableGrid"/>
        <w:tblW w:w="0" w:type="auto"/>
        <w:jc w:val="center"/>
        <w:tblLook w:val="04A0" w:firstRow="1" w:lastRow="0" w:firstColumn="1" w:lastColumn="0" w:noHBand="0" w:noVBand="1"/>
      </w:tblPr>
      <w:tblGrid>
        <w:gridCol w:w="5040"/>
        <w:gridCol w:w="5040"/>
      </w:tblGrid>
      <w:tr w:rsidR="00730586">
        <w:trPr>
          <w:jc w:val="center"/>
        </w:trPr>
        <w:tc>
          <w:tcPr>
            <w:tcW w:w="5040" w:type="dxa"/>
            <w:shd w:val="clear" w:color="auto" w:fill="1F4E79"/>
          </w:tcPr>
          <w:p w:rsidR="00730586" w:rsidRDefault="00951727">
            <w:r>
              <w:rPr>
                <w:b/>
                <w:color w:val="FFFFFF"/>
                <w:sz w:val="21"/>
              </w:rPr>
              <w:t>Criterion</w:t>
            </w:r>
          </w:p>
        </w:tc>
        <w:tc>
          <w:tcPr>
            <w:tcW w:w="5040" w:type="dxa"/>
            <w:shd w:val="clear" w:color="auto" w:fill="1F4E79"/>
          </w:tcPr>
          <w:p w:rsidR="00730586" w:rsidRDefault="00951727">
            <w:r>
              <w:rPr>
                <w:b/>
                <w:color w:val="FFFFFF"/>
                <w:sz w:val="21"/>
              </w:rPr>
              <w:t>Pass condition</w:t>
            </w:r>
          </w:p>
        </w:tc>
      </w:tr>
      <w:tr w:rsidR="00730586">
        <w:trPr>
          <w:jc w:val="center"/>
        </w:trPr>
        <w:tc>
          <w:tcPr>
            <w:tcW w:w="5040" w:type="dxa"/>
          </w:tcPr>
          <w:p w:rsidR="00730586" w:rsidRDefault="00951727">
            <w:r>
              <w:rPr>
                <w:sz w:val="20"/>
              </w:rPr>
              <w:t>Mission separation</w:t>
            </w:r>
          </w:p>
        </w:tc>
        <w:tc>
          <w:tcPr>
            <w:tcW w:w="5040" w:type="dxa"/>
          </w:tcPr>
          <w:p w:rsidR="00730586" w:rsidRDefault="00951727">
            <w:r>
              <w:rPr>
                <w:sz w:val="20"/>
              </w:rPr>
              <w:t>System A and System B have clearly different goals, art</w:t>
            </w:r>
            <w:r>
              <w:rPr>
                <w:sz w:val="20"/>
              </w:rPr>
              <w:t>ifacts and identities</w:t>
            </w:r>
          </w:p>
        </w:tc>
      </w:tr>
      <w:tr w:rsidR="00730586">
        <w:trPr>
          <w:jc w:val="center"/>
        </w:trPr>
        <w:tc>
          <w:tcPr>
            <w:tcW w:w="5040" w:type="dxa"/>
          </w:tcPr>
          <w:p w:rsidR="00730586" w:rsidRDefault="00951727">
            <w:r>
              <w:rPr>
                <w:sz w:val="20"/>
              </w:rPr>
              <w:t>Threat coverage</w:t>
            </w:r>
          </w:p>
        </w:tc>
        <w:tc>
          <w:tcPr>
            <w:tcW w:w="5040" w:type="dxa"/>
          </w:tcPr>
          <w:p w:rsidR="00730586" w:rsidRDefault="00951727">
            <w:r>
              <w:rPr>
                <w:sz w:val="20"/>
              </w:rPr>
              <w:t>Each system has at least five meaningful threats and mapped mitigations</w:t>
            </w:r>
          </w:p>
        </w:tc>
      </w:tr>
      <w:tr w:rsidR="00730586">
        <w:trPr>
          <w:jc w:val="center"/>
        </w:trPr>
        <w:tc>
          <w:tcPr>
            <w:tcW w:w="5040" w:type="dxa"/>
          </w:tcPr>
          <w:p w:rsidR="00730586" w:rsidRDefault="00951727">
            <w:r>
              <w:rPr>
                <w:sz w:val="20"/>
              </w:rPr>
              <w:t>Boundary clarity</w:t>
            </w:r>
          </w:p>
        </w:tc>
        <w:tc>
          <w:tcPr>
            <w:tcW w:w="5040" w:type="dxa"/>
          </w:tcPr>
          <w:p w:rsidR="00730586" w:rsidRDefault="00951727">
            <w:r>
              <w:rPr>
                <w:sz w:val="20"/>
              </w:rPr>
              <w:t>Trust boundaries and shared-service boundaries are explicitly labeled</w:t>
            </w:r>
          </w:p>
        </w:tc>
      </w:tr>
      <w:tr w:rsidR="00730586">
        <w:trPr>
          <w:jc w:val="center"/>
        </w:trPr>
        <w:tc>
          <w:tcPr>
            <w:tcW w:w="5040" w:type="dxa"/>
          </w:tcPr>
          <w:p w:rsidR="00730586" w:rsidRDefault="00951727">
            <w:r>
              <w:rPr>
                <w:sz w:val="20"/>
              </w:rPr>
              <w:t>Flow control</w:t>
            </w:r>
          </w:p>
        </w:tc>
        <w:tc>
          <w:tcPr>
            <w:tcW w:w="5040" w:type="dxa"/>
          </w:tcPr>
          <w:p w:rsidR="00730586" w:rsidRDefault="00951727">
            <w:r>
              <w:rPr>
                <w:sz w:val="20"/>
              </w:rPr>
              <w:t xml:space="preserve">Allowed and prohibited cross-system flows </w:t>
            </w:r>
            <w:r>
              <w:rPr>
                <w:sz w:val="20"/>
              </w:rPr>
              <w:t>are explicitly listed</w:t>
            </w:r>
          </w:p>
        </w:tc>
      </w:tr>
      <w:tr w:rsidR="00730586">
        <w:trPr>
          <w:jc w:val="center"/>
        </w:trPr>
        <w:tc>
          <w:tcPr>
            <w:tcW w:w="5040" w:type="dxa"/>
          </w:tcPr>
          <w:p w:rsidR="00730586" w:rsidRDefault="00951727">
            <w:r>
              <w:rPr>
                <w:sz w:val="20"/>
              </w:rPr>
              <w:t>Evidence quality</w:t>
            </w:r>
          </w:p>
        </w:tc>
        <w:tc>
          <w:tcPr>
            <w:tcW w:w="5040" w:type="dxa"/>
          </w:tcPr>
          <w:p w:rsidR="00730586" w:rsidRDefault="00951727">
            <w:r>
              <w:rPr>
                <w:sz w:val="20"/>
              </w:rPr>
              <w:t>Objective evidence is attached and reproducible</w:t>
            </w:r>
          </w:p>
        </w:tc>
      </w:tr>
      <w:tr w:rsidR="00730586">
        <w:trPr>
          <w:jc w:val="center"/>
        </w:trPr>
        <w:tc>
          <w:tcPr>
            <w:tcW w:w="5040" w:type="dxa"/>
          </w:tcPr>
          <w:p w:rsidR="00730586" w:rsidRDefault="00951727">
            <w:r>
              <w:rPr>
                <w:sz w:val="20"/>
              </w:rPr>
              <w:t>Reviewer confidence</w:t>
            </w:r>
          </w:p>
        </w:tc>
        <w:tc>
          <w:tcPr>
            <w:tcW w:w="5040" w:type="dxa"/>
          </w:tcPr>
          <w:p w:rsidR="00730586" w:rsidRDefault="00951727">
            <w:r>
              <w:rPr>
                <w:sz w:val="20"/>
              </w:rPr>
              <w:t>A reviewer can tell what is shared, what is isolated and why</w:t>
            </w:r>
          </w:p>
        </w:tc>
      </w:tr>
    </w:tbl>
    <w:p w:rsidR="00730586" w:rsidRDefault="00730586"/>
    <w:p w:rsidR="00730586" w:rsidRDefault="00951727">
      <w:pPr>
        <w:pStyle w:val="Heading2"/>
        <w:spacing w:after="120"/>
      </w:pPr>
      <w:r>
        <w:rPr>
          <w:rFonts w:ascii="Calibri" w:hAnsi="Calibri"/>
          <w:sz w:val="22"/>
        </w:rPr>
        <w:t>3.L.8 — Common failure patterns</w:t>
      </w:r>
    </w:p>
    <w:p w:rsidR="00730586" w:rsidRDefault="00951727">
      <w:pPr>
        <w:spacing w:after="40"/>
        <w:ind w:left="360" w:hanging="259"/>
      </w:pPr>
      <w:r>
        <w:t xml:space="preserve">• Using the same service account or credentials for </w:t>
      </w:r>
      <w:r>
        <w:t>both systems “for convenience”.</w:t>
      </w:r>
    </w:p>
    <w:p w:rsidR="00730586" w:rsidRDefault="00951727">
      <w:pPr>
        <w:spacing w:after="40"/>
        <w:ind w:left="360" w:hanging="259"/>
      </w:pPr>
      <w:r>
        <w:t>• Treating “shared model gateway” as permission to mix tenant data in prompts or retrieval.</w:t>
      </w:r>
    </w:p>
    <w:p w:rsidR="00730586" w:rsidRDefault="00951727">
      <w:pPr>
        <w:spacing w:after="40"/>
        <w:ind w:left="360" w:hanging="259"/>
      </w:pPr>
      <w:r>
        <w:t>• Failing to distinguish engineering artifacts from business transactions.</w:t>
      </w:r>
    </w:p>
    <w:p w:rsidR="00730586" w:rsidRDefault="00951727">
      <w:pPr>
        <w:spacing w:after="40"/>
        <w:ind w:left="360" w:hanging="259"/>
      </w:pPr>
      <w:r>
        <w:t>• Assuming human review exists, but not specifying where,</w:t>
      </w:r>
      <w:r>
        <w:t xml:space="preserve"> how or with what evidence.</w:t>
      </w:r>
    </w:p>
    <w:p w:rsidR="00730586" w:rsidRDefault="00951727">
      <w:pPr>
        <w:spacing w:after="40"/>
        <w:ind w:left="360" w:hanging="259"/>
      </w:pPr>
      <w:r>
        <w:t>• Listing generic AI risks without mapping them to actual RedDust architecture components.</w:t>
      </w:r>
    </w:p>
    <w:p w:rsidR="00730586" w:rsidRDefault="00951727">
      <w:pPr>
        <w:pStyle w:val="Heading2"/>
        <w:spacing w:after="120"/>
      </w:pPr>
      <w:r>
        <w:rPr>
          <w:rFonts w:ascii="Calibri" w:hAnsi="Calibri"/>
          <w:sz w:val="22"/>
        </w:rPr>
        <w:t>3.L.9 — Optional extension task</w:t>
      </w:r>
    </w:p>
    <w:p w:rsidR="00730586" w:rsidRDefault="00951727">
      <w:pPr>
        <w:spacing w:after="120"/>
      </w:pPr>
      <w:r>
        <w:t xml:space="preserve">Create a one-page decision memo arguing whether a hypothetical new service—for example a document </w:t>
      </w:r>
      <w:r>
        <w:t>retrieval service or execution scheduler—should be shared between System A and System B. Your memo should state the benefits of sharing, the risks of sharing and the controls required if sharing is approved.</w:t>
      </w:r>
    </w:p>
    <w:p w:rsidR="00730586" w:rsidRDefault="00951727">
      <w:pPr>
        <w:pStyle w:val="Heading3"/>
      </w:pPr>
      <w:r>
        <w:rPr>
          <w:rFonts w:ascii="Calibri" w:hAnsi="Calibri"/>
          <w:sz w:val="22"/>
        </w:rPr>
        <w:lastRenderedPageBreak/>
        <w:t xml:space="preserve">DIAGRAM PLACEHOLDER — RD-AI-03-L1: Threat model </w:t>
      </w:r>
      <w:r>
        <w:rPr>
          <w:rFonts w:ascii="Calibri" w:hAnsi="Calibri"/>
          <w:sz w:val="22"/>
        </w:rPr>
        <w:t>comparison: System A and System B</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RESERVED SPACE FOR FUTURE PRESENTATION-READY DIAGRAM</w:t>
            </w:r>
          </w:p>
        </w:tc>
      </w:tr>
      <w:tr w:rsidR="00730586">
        <w:trPr>
          <w:jc w:val="center"/>
        </w:trPr>
        <w:tc>
          <w:tcPr>
            <w:tcW w:w="10080" w:type="dxa"/>
            <w:shd w:val="clear" w:color="auto" w:fill="F8FBFD"/>
          </w:tcPr>
          <w:p w:rsidR="00730586" w:rsidRDefault="00951727">
            <w:r>
              <w:rPr>
                <w:sz w:val="21"/>
              </w:rPr>
              <w:t>Insert the finished diagram here in a later revision. Keep enough vertical space for a landscape figure with caption and figure number.</w:t>
            </w:r>
          </w:p>
        </w:tc>
      </w:tr>
    </w:tbl>
    <w:p w:rsidR="00730586" w:rsidRDefault="00730586"/>
    <w:p w:rsidR="00730586" w:rsidRDefault="00951727">
      <w:r>
        <w:rPr>
          <w:b/>
        </w:rPr>
        <w:t xml:space="preserve">Future ChatGPT image-generation prompt: </w:t>
      </w:r>
      <w:r>
        <w:t>Create a clean landscape educational diagram titled “RD-AI-03-L1: Threat Model Comparison — System A and System B”. Use a white background, dark-navy headings and readable labels. Show two side-by-side threat model p</w:t>
      </w:r>
      <w:r>
        <w:t>anels. For System A, show assets such as repositories, CI pipelines and release artifacts, plus threats such as prompt injection, unsafe patches and CI compromise. For System B, show assets such as tenant case data, workflow transactions and connector cred</w:t>
      </w:r>
      <w:r>
        <w:t>entials, plus threats such as tenant leakage, approval bypass and fraudulent transactions. Mark trust boundaries and mitigations for each.</w:t>
      </w:r>
    </w:p>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p w:rsidR="00730586" w:rsidRDefault="00951727">
      <w:pPr>
        <w:pStyle w:val="Heading3"/>
      </w:pPr>
      <w:r>
        <w:rPr>
          <w:rFonts w:ascii="Calibri" w:hAnsi="Calibri"/>
          <w:sz w:val="22"/>
        </w:rPr>
        <w:t>DIAGRAM PLACEHOLDER — RD-AI-03-L2: Shared-services inventory with allowed and prohibited flows</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 xml:space="preserve">RESERVED SPACE </w:t>
            </w:r>
            <w:r>
              <w:rPr>
                <w:b/>
                <w:color w:val="0F2B5B"/>
              </w:rPr>
              <w:t>FOR FUTURE PRESENTATION-READY DIAGRAM</w:t>
            </w:r>
          </w:p>
        </w:tc>
      </w:tr>
      <w:tr w:rsidR="00730586">
        <w:trPr>
          <w:jc w:val="center"/>
        </w:trPr>
        <w:tc>
          <w:tcPr>
            <w:tcW w:w="10080" w:type="dxa"/>
            <w:shd w:val="clear" w:color="auto" w:fill="F8FBFD"/>
          </w:tcPr>
          <w:p w:rsidR="00730586" w:rsidRDefault="00951727">
            <w:r>
              <w:rPr>
                <w:sz w:val="21"/>
              </w:rPr>
              <w:t>Insert the finished diagram here in a later revision. Keep enough vertical space for a landscape figure with caption and figure number.</w:t>
            </w:r>
          </w:p>
        </w:tc>
      </w:tr>
    </w:tbl>
    <w:p w:rsidR="00730586" w:rsidRDefault="00730586"/>
    <w:p w:rsidR="00730586" w:rsidRDefault="00951727">
      <w:r>
        <w:rPr>
          <w:b/>
        </w:rPr>
        <w:t xml:space="preserve">Future ChatGPT image-generation prompt: </w:t>
      </w:r>
      <w:r>
        <w:t>Create a clean landscape matrix diagram</w:t>
      </w:r>
      <w:r>
        <w:t xml:space="preserve"> titled “RD-AI-03-L2: Shared-Services Inventory and Cross-System Flows”. White background, dark-navy headings and a professional workbook style. Show shared services in rows and two systems in columns, with icons for allowed flows in green, prohibited flow</w:t>
      </w:r>
      <w:r>
        <w:t>s in red and conditional flows in amber. Include notes for tenant isolation, approval gates, quotas and evidence logging.</w:t>
      </w:r>
    </w:p>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tbl>
      <w:tblPr>
        <w:tblW w:w="0" w:type="auto"/>
        <w:tblLook w:val="04A0" w:firstRow="1" w:lastRow="0" w:firstColumn="1" w:lastColumn="0" w:noHBand="0" w:noVBand="1"/>
      </w:tblPr>
      <w:tblGrid>
        <w:gridCol w:w="10080"/>
      </w:tblGrid>
      <w:tr w:rsidR="00730586">
        <w:tc>
          <w:tcPr>
            <w:tcW w:w="10080" w:type="dxa"/>
            <w:tcBorders>
              <w:top w:val="single" w:sz="6" w:space="0" w:color="B7C9E2"/>
              <w:left w:val="single" w:sz="6" w:space="0" w:color="B7C9E2"/>
              <w:bottom w:val="single" w:sz="6" w:space="0" w:color="B7C9E2"/>
              <w:right w:val="single" w:sz="6" w:space="0" w:color="B7C9E2"/>
            </w:tcBorders>
            <w:shd w:val="clear" w:color="auto" w:fill="FFFFFF"/>
          </w:tcPr>
          <w:p w:rsidR="00730586" w:rsidRDefault="00730586"/>
        </w:tc>
      </w:tr>
    </w:tbl>
    <w:p w:rsidR="00730586" w:rsidRDefault="00730586"/>
    <w:p w:rsidR="00730586" w:rsidRDefault="00951727">
      <w:pPr>
        <w:pStyle w:val="Heading2"/>
        <w:spacing w:after="120"/>
      </w:pPr>
      <w:r>
        <w:rPr>
          <w:rFonts w:ascii="Calibri" w:hAnsi="Calibri"/>
          <w:sz w:val="22"/>
        </w:rPr>
        <w:t>3.L.10 — Final takeaway</w:t>
      </w:r>
    </w:p>
    <w:p w:rsidR="00730586" w:rsidRDefault="00951727">
      <w:pPr>
        <w:spacing w:after="120"/>
      </w:pPr>
      <w:r>
        <w:t xml:space="preserve">The most dangerous mistake in early agentic architecture is to confuse common plumbing with common </w:t>
      </w:r>
      <w:r>
        <w:t xml:space="preserve">authority. RedDust should absolutely reuse platform capabilities where reuse is safe and operationally helpful. </w:t>
      </w:r>
      <w:r>
        <w:lastRenderedPageBreak/>
        <w:t>But engineering automation and client business execution live in different trust domains. The architectural task is therefore to share carefully</w:t>
      </w:r>
      <w:r>
        <w:t>, isolate rigorously and prove the boundaries with objective evidence.</w:t>
      </w:r>
    </w:p>
    <w:tbl>
      <w:tblPr>
        <w:tblW w:w="0" w:type="auto"/>
        <w:jc w:val="center"/>
        <w:tblLook w:val="04A0" w:firstRow="1" w:lastRow="0" w:firstColumn="1" w:lastColumn="0" w:noHBand="0" w:noVBand="1"/>
      </w:tblPr>
      <w:tblGrid>
        <w:gridCol w:w="10080"/>
      </w:tblGrid>
      <w:tr w:rsidR="00730586">
        <w:trPr>
          <w:jc w:val="center"/>
        </w:trPr>
        <w:tc>
          <w:tcPr>
            <w:tcW w:w="10080" w:type="dxa"/>
            <w:shd w:val="clear" w:color="auto" w:fill="D9EAF7"/>
          </w:tcPr>
          <w:p w:rsidR="00730586" w:rsidRDefault="00951727">
            <w:r>
              <w:rPr>
                <w:b/>
                <w:color w:val="0F2B5B"/>
              </w:rPr>
              <w:t>Quick reviewer checklist</w:t>
            </w:r>
          </w:p>
        </w:tc>
      </w:tr>
      <w:tr w:rsidR="00730586">
        <w:trPr>
          <w:jc w:val="center"/>
        </w:trPr>
        <w:tc>
          <w:tcPr>
            <w:tcW w:w="10080" w:type="dxa"/>
            <w:shd w:val="clear" w:color="auto" w:fill="F8FBFD"/>
          </w:tcPr>
          <w:p w:rsidR="00730586" w:rsidRDefault="00951727">
            <w:r>
              <w:rPr>
                <w:sz w:val="21"/>
              </w:rPr>
              <w:t xml:space="preserve">1) Are System A and System B described as separate missions?  2) Do they have separate identities and permissions?  3) Are shared services listed explicitly?  </w:t>
            </w:r>
            <w:r>
              <w:rPr>
                <w:sz w:val="21"/>
              </w:rPr>
              <w:t>4) Are prohibited cross-system flows written down, not just implied?  5) Is objective evidence attached?  6) Could a reviewer understand the architecture without trusting an LLM narrative?</w:t>
            </w:r>
          </w:p>
        </w:tc>
      </w:tr>
    </w:tbl>
    <w:p w:rsidR="00730586" w:rsidRDefault="00730586"/>
    <w:sectPr w:rsidR="0073058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30586"/>
    <w:rsid w:val="009517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F8EEF9B-8BF5-429A-8791-0313D212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B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B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2B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B0E61-69C5-4AB7-9D6A-A17993FEF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3865</Words>
  <Characters>22036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2026-10-18T00:28:00Z</dcterms:created>
  <dcterms:modified xsi:type="dcterms:W3CDTF">2026-10-18T00:28:00Z</dcterms:modified>
  <cp:category/>
</cp:coreProperties>
</file>