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360"/>
      </w:tblGrid>
      <w:tr>
        <w:tc>
          <w:tcPr>
            <w:tcW w:type="dxa" w:w="9360"/>
            <w:shd w:fill="1E3A8A"/>
            <w:tcMar>
              <w:top w:w="200" w:type="dxa"/>
              <w:bottom w:w="200" w:type="dxa"/>
              <w:left w:w="200" w:type="dxa"/>
              <w:right w:w="200" w:type="dxa"/>
            </w:tcMar>
          </w:tcPr>
          <w:p>
            <w:pPr>
              <w:spacing w:after="80"/>
            </w:pPr>
            <w:r>
              <w:rPr>
                <w:rFonts w:ascii="Arial" w:hAnsi="Arial"/>
                <w:b/>
                <w:color w:val="FFFFFF"/>
                <w:sz w:val="44"/>
              </w:rPr>
              <w:t>TECHNICAL VALIDATION REVIEW</w:t>
            </w:r>
          </w:p>
          <w:p>
            <w:pPr>
              <w:spacing w:after="0"/>
            </w:pPr>
            <w:r>
              <w:rPr>
                <w:rFonts w:ascii="Arial" w:hAnsi="Arial"/>
                <w:color w:val="93C5FD"/>
                <w:sz w:val="26"/>
              </w:rPr>
              <w:t>CelRevive Recommendation Architecture &amp; Transactional PostgreSQL Database</w:t>
            </w:r>
          </w:p>
        </w:tc>
      </w:tr>
    </w:tbl>
    <w:p>
      <w:pPr>
        <w:spacing w:after="240"/>
      </w:pPr>
    </w:p>
    <w:tbl>
      <w:tblPr>
        <w:tblW w:type="auto" w:w="0"/>
        <w:jc w:val="center"/>
        <w:tblLook w:firstColumn="1" w:firstRow="1" w:lastColumn="0" w:lastRow="0" w:noHBand="0" w:noVBand="1" w:val="04A0"/>
      </w:tblPr>
      <w:tblGrid>
        <w:gridCol w:w="9360"/>
      </w:tblGrid>
      <w:tr>
        <w:tc>
          <w:tcPr>
            <w:tcW w:type="dxa" w:w="9360"/>
            <w:shd w:fill="EFF6FF"/>
            <w:tcMar>
              <w:top w:w="120" w:type="dxa"/>
              <w:bottom w:w="120" w:type="dxa"/>
              <w:left w:w="180" w:type="dxa"/>
              <w:right w:w="180" w:type="dxa"/>
            </w:tcMar>
            <w:tcBorders>
              <w:top w:val="none"/>
              <w:left w:val="single" w:sz="24" w:space="0" w:color="1E3A8A"/>
              <w:bottom w:val="none"/>
              <w:right w:val="none"/>
            </w:tcBorders>
          </w:tcPr>
          <w:p>
            <w:pPr>
              <w:spacing w:before="0" w:after="80"/>
            </w:pPr>
            <w:r>
              <w:rPr>
                <w:rFonts w:ascii="Arial" w:hAnsi="Arial"/>
                <w:b/>
                <w:color w:val="1E3A8A"/>
                <w:sz w:val="22"/>
              </w:rPr>
              <w:t>Executive Summary &amp; Final Decision</w:t>
            </w:r>
          </w:p>
          <w:p>
            <w:pPr>
              <w:spacing w:before="0" w:after="40" w:line="276" w:lineRule="auto"/>
            </w:pPr>
            <w:r>
              <w:rPr>
                <w:rFonts w:ascii="Arial" w:hAnsi="Arial"/>
                <w:color w:val="334155"/>
                <w:sz w:val="20"/>
              </w:rPr>
              <w:t>Status: PASSED WITH TECHNICAL RECOMMENDATIONS</w:t>
            </w:r>
          </w:p>
          <w:p>
            <w:pPr>
              <w:spacing w:before="0" w:after="40" w:line="276" w:lineRule="auto"/>
            </w:pPr>
            <w:r>
              <w:rPr>
                <w:rFonts w:ascii="Arial" w:hAnsi="Arial"/>
                <w:color w:val="334155"/>
                <w:sz w:val="20"/>
              </w:rPr>
              <w:t>Target Audience: Lead Architect, Backend Engineering Team, Database Administrators.</w:t>
            </w:r>
          </w:p>
          <w:p>
            <w:pPr>
              <w:spacing w:before="0" w:after="40" w:line="276" w:lineRule="auto"/>
            </w:pPr>
            <w:r>
              <w:rPr>
                <w:rFonts w:ascii="Arial" w:hAnsi="Arial"/>
                <w:color w:val="334155"/>
                <w:sz w:val="20"/>
              </w:rPr>
              <w:t>Summary: The CelRevive technical design artifacts—comprising the ER Diagram, PostgreSQL DDL schema, and DML seed data—have undergone comprehensive automated static analysis, mathematical validation, and architectural verification against the core Top15ActiveDatabase master workbook.</w:t>
            </w:r>
          </w:p>
          <w:p>
            <w:pPr>
              <w:spacing w:before="0" w:after="40" w:line="276" w:lineRule="auto"/>
            </w:pPr>
            <w:r>
              <w:rPr>
                <w:rFonts w:ascii="Arial" w:hAnsi="Arial"/>
                <w:color w:val="334155"/>
                <w:sz w:val="20"/>
              </w:rPr>
              <w:t>Outcome: The architectural decoupling of active scoring via benefit dimensions is robust, all 32 skin concern weight matrices equal exactly 1.00000, and transaction logging structures are sound. Deployment is approved subject to minor extension configuration adjustments.</w:t>
            </w:r>
          </w:p>
        </w:tc>
      </w:tr>
    </w:tbl>
    <w:p>
      <w:pPr>
        <w:spacing w:before="0" w:after="120"/>
      </w:pPr>
    </w:p>
    <w:p>
      <w:pPr>
        <w:keepNext/>
        <w:spacing w:before="360" w:after="120"/>
      </w:pPr>
      <w:r>
        <w:rPr>
          <w:rFonts w:ascii="Arial" w:hAnsi="Arial"/>
          <w:b/>
          <w:color w:val="1E3A8A"/>
          <w:sz w:val="32"/>
        </w:rPr>
        <w:t>1. Assessment Overview &amp; Methodology</w:t>
      </w:r>
    </w:p>
    <w:p>
      <w:pPr>
        <w:spacing w:before="0" w:after="120" w:line="276" w:lineRule="auto"/>
      </w:pPr>
      <w:r>
        <w:rPr>
          <w:rFonts w:ascii="Arial" w:hAnsi="Arial"/>
          <w:color w:val="334155"/>
          <w:sz w:val="21"/>
        </w:rPr>
        <w:t>This validation report provides a detailed technical assessment of the CelRevive transactional database schema and recommendation engine architecture. The purpose is to ensure that the relational models, relational integrity constraints, deferred calculation triggers, and statistical weighting scripts perfectly align with business rules and clinical formulations.</w:t>
      </w:r>
    </w:p>
    <w:p>
      <w:pPr>
        <w:spacing w:before="0" w:after="120" w:line="276" w:lineRule="auto"/>
      </w:pPr>
      <w:r>
        <w:rPr>
          <w:rFonts w:ascii="Arial" w:hAnsi="Arial"/>
          <w:color w:val="334155"/>
          <w:sz w:val="21"/>
        </w:rPr>
        <w:t>The technical validation process evaluated four core design components:</w:t>
      </w:r>
    </w:p>
    <w:p>
      <w:pPr>
        <w:pStyle w:val="ListBullet"/>
        <w:spacing w:before="0" w:after="60" w:line="276" w:lineRule="auto"/>
      </w:pPr>
      <w:r>
        <w:rPr>
          <w:rFonts w:ascii="Arial" w:hAnsi="Arial"/>
          <w:b/>
          <w:color w:val="334155"/>
          <w:sz w:val="20"/>
        </w:rPr>
        <w:t xml:space="preserve">ER Diagram (celrevive_er_diagram.png): </w:t>
      </w:r>
      <w:r>
        <w:rPr>
          <w:rFonts w:ascii="Arial" w:hAnsi="Arial"/>
          <w:color w:val="334155"/>
          <w:sz w:val="20"/>
        </w:rPr>
        <w:t>Architectural layout, foreign key relations, and entity-relationship mapping.</w:t>
      </w:r>
    </w:p>
    <w:p>
      <w:pPr>
        <w:pStyle w:val="ListBullet"/>
        <w:spacing w:before="0" w:after="60" w:line="276" w:lineRule="auto"/>
      </w:pPr>
      <w:r>
        <w:rPr>
          <w:rFonts w:ascii="Arial" w:hAnsi="Arial"/>
          <w:b/>
          <w:color w:val="334155"/>
          <w:sz w:val="20"/>
        </w:rPr>
        <w:t xml:space="preserve">DDL Schema Script (CelRevive_DDL.sql): </w:t>
      </w:r>
      <w:r>
        <w:rPr>
          <w:rFonts w:ascii="Arial" w:hAnsi="Arial"/>
          <w:color w:val="334155"/>
          <w:sz w:val="20"/>
        </w:rPr>
        <w:t>Table structures, enum types, deferred constraint triggers, and automated dynamic views.</w:t>
      </w:r>
    </w:p>
    <w:p>
      <w:pPr>
        <w:pStyle w:val="ListBullet"/>
        <w:spacing w:before="0" w:after="60" w:line="276" w:lineRule="auto"/>
      </w:pPr>
      <w:r>
        <w:rPr>
          <w:rFonts w:ascii="Arial" w:hAnsi="Arial"/>
          <w:b/>
          <w:color w:val="334155"/>
          <w:sz w:val="20"/>
        </w:rPr>
        <w:t xml:space="preserve">DML Seed Script (CelRevive_DML_Primary_Insert.sql): </w:t>
      </w:r>
      <w:r>
        <w:rPr>
          <w:rFonts w:ascii="Arial" w:hAnsi="Arial"/>
          <w:color w:val="334155"/>
          <w:sz w:val="20"/>
        </w:rPr>
        <w:t>Seed data integrity across 15 active ingredients, 5 base formats, 20 benefits, and 32 skin concerns.</w:t>
      </w:r>
    </w:p>
    <w:p>
      <w:pPr>
        <w:pStyle w:val="ListBullet"/>
        <w:spacing w:before="0" w:after="60" w:line="276" w:lineRule="auto"/>
      </w:pPr>
      <w:r>
        <w:rPr>
          <w:rFonts w:ascii="Arial" w:hAnsi="Arial"/>
          <w:b/>
          <w:color w:val="334155"/>
          <w:sz w:val="20"/>
        </w:rPr>
        <w:t xml:space="preserve">Excel Master Data (Top15ActiveDatabase.xlsx): </w:t>
      </w:r>
      <w:r>
        <w:rPr>
          <w:rFonts w:ascii="Arial" w:hAnsi="Arial"/>
          <w:color w:val="334155"/>
          <w:sz w:val="20"/>
        </w:rPr>
        <w:t>Direct numerical verification against master active database, compatibility matrices, and taxonomy.</w:t>
      </w:r>
    </w:p>
    <w:tbl>
      <w:tblPr>
        <w:tblW w:type="auto" w:w="0"/>
        <w:jc w:val="center"/>
        <w:tblLook w:firstColumn="1" w:firstRow="1" w:lastColumn="0" w:lastRow="0" w:noHBand="0" w:noVBand="1" w:val="04A0"/>
        <w:tblBorders>
          <w:top w:val="single" w:sz="4" w:space="0" w:color="E2E8F0"/>
          <w:bottom w:val="single" w:sz="4" w:space="0" w:color="E2E8F0"/>
          <w:insideH w:val="single" w:sz="4" w:space="0" w:color="E2E8F0"/>
          <w:insideV w:val="none"/>
          <w:left w:val="none"/>
          <w:right w:val="none"/>
        </w:tblBorders>
      </w:tblPr>
      <w:tblGrid>
        <w:gridCol w:w="4680"/>
        <w:gridCol w:w="4680"/>
      </w:tblGrid>
      <w:tr>
        <w:tc>
          <w:tcPr>
            <w:tcW w:type="dxa" w:w="3600"/>
            <w:tcMar>
              <w:top w:w="80" w:type="dxa"/>
              <w:bottom w:w="80" w:type="dxa"/>
              <w:left w:w="100" w:type="dxa"/>
              <w:right w:w="100" w:type="dxa"/>
            </w:tcMar>
            <w:shd w:fill="1E3A8A"/>
          </w:tcPr>
          <w:p>
            <w:r>
              <w:rPr>
                <w:b/>
                <w:color w:val="FFFFFF"/>
              </w:rPr>
              <w:t>Component Evaluated</w:t>
            </w:r>
          </w:p>
        </w:tc>
        <w:tc>
          <w:tcPr>
            <w:tcW w:type="dxa" w:w="5760"/>
            <w:tcMar>
              <w:top w:w="80" w:type="dxa"/>
              <w:bottom w:w="80" w:type="dxa"/>
              <w:left w:w="100" w:type="dxa"/>
              <w:right w:w="100" w:type="dxa"/>
            </w:tcMar>
            <w:shd w:fill="1E3A8A"/>
          </w:tcPr>
          <w:p>
            <w:r>
              <w:rPr>
                <w:b/>
                <w:color w:val="FFFFFF"/>
              </w:rPr>
              <w:t>Validation Result</w:t>
            </w:r>
          </w:p>
        </w:tc>
      </w:tr>
      <w:tr>
        <w:tc>
          <w:tcPr>
            <w:tcW w:type="dxa" w:w="3600"/>
            <w:tcMar>
              <w:top w:w="80" w:type="dxa"/>
              <w:bottom w:w="80" w:type="dxa"/>
              <w:left w:w="100" w:type="dxa"/>
              <w:right w:w="100" w:type="dxa"/>
            </w:tcMar>
            <w:shd w:fill="F8FAFC"/>
          </w:tcPr>
          <w:p>
            <w:r>
              <w:rPr>
                <w:b/>
                <w:color w:val="334155"/>
              </w:rPr>
              <w:t>ER Diagram &amp; Domain Model</w:t>
            </w:r>
          </w:p>
        </w:tc>
        <w:tc>
          <w:tcPr>
            <w:tcW w:type="dxa" w:w="5760"/>
            <w:tcMar>
              <w:top w:w="80" w:type="dxa"/>
              <w:bottom w:w="80" w:type="dxa"/>
              <w:left w:w="100" w:type="dxa"/>
              <w:right w:w="100" w:type="dxa"/>
            </w:tcMar>
            <w:shd w:fill="F8FAFC"/>
          </w:tcPr>
          <w:p>
            <w:r>
              <w:rPr>
                <w:color w:val="334155"/>
              </w:rPr>
              <w:t>PASS - Strong decoupled design pattern</w:t>
            </w:r>
          </w:p>
        </w:tc>
      </w:tr>
      <w:tr>
        <w:tc>
          <w:tcPr>
            <w:tcW w:type="dxa" w:w="3600"/>
            <w:tcMar>
              <w:top w:w="80" w:type="dxa"/>
              <w:bottom w:w="80" w:type="dxa"/>
              <w:left w:w="100" w:type="dxa"/>
              <w:right w:w="100" w:type="dxa"/>
            </w:tcMar>
          </w:tcPr>
          <w:p>
            <w:r>
              <w:rPr>
                <w:b/>
                <w:color w:val="334155"/>
              </w:rPr>
              <w:t>DDL Schema &amp; Trigger Logic</w:t>
            </w:r>
          </w:p>
        </w:tc>
        <w:tc>
          <w:tcPr>
            <w:tcW w:type="dxa" w:w="5760"/>
            <w:tcMar>
              <w:top w:w="80" w:type="dxa"/>
              <w:bottom w:w="80" w:type="dxa"/>
              <w:left w:w="100" w:type="dxa"/>
              <w:right w:w="100" w:type="dxa"/>
            </w:tcMar>
          </w:tcPr>
          <w:p>
            <w:r>
              <w:rPr>
                <w:color w:val="334155"/>
              </w:rPr>
              <w:t>PASS - Deferred constraints operate as expected</w:t>
            </w:r>
          </w:p>
        </w:tc>
      </w:tr>
      <w:tr>
        <w:tc>
          <w:tcPr>
            <w:tcW w:type="dxa" w:w="3600"/>
            <w:tcMar>
              <w:top w:w="80" w:type="dxa"/>
              <w:bottom w:w="80" w:type="dxa"/>
              <w:left w:w="100" w:type="dxa"/>
              <w:right w:w="100" w:type="dxa"/>
            </w:tcMar>
            <w:shd w:fill="F8FAFC"/>
          </w:tcPr>
          <w:p>
            <w:r>
              <w:rPr>
                <w:b/>
                <w:color w:val="334155"/>
              </w:rPr>
              <w:t>DML Seed Data &amp; Mathematical Precision</w:t>
            </w:r>
          </w:p>
        </w:tc>
        <w:tc>
          <w:tcPr>
            <w:tcW w:type="dxa" w:w="5760"/>
            <w:tcMar>
              <w:top w:w="80" w:type="dxa"/>
              <w:bottom w:w="80" w:type="dxa"/>
              <w:left w:w="100" w:type="dxa"/>
              <w:right w:w="100" w:type="dxa"/>
            </w:tcMar>
            <w:shd w:fill="F8FAFC"/>
          </w:tcPr>
          <w:p>
            <w:r>
              <w:rPr>
                <w:color w:val="334155"/>
              </w:rPr>
              <w:t>PASS - All 32 concern weight sums equal exactly 1.00000</w:t>
            </w:r>
          </w:p>
        </w:tc>
      </w:tr>
      <w:tr>
        <w:tc>
          <w:tcPr>
            <w:tcW w:type="dxa" w:w="3600"/>
            <w:tcMar>
              <w:top w:w="80" w:type="dxa"/>
              <w:bottom w:w="80" w:type="dxa"/>
              <w:left w:w="100" w:type="dxa"/>
              <w:right w:w="100" w:type="dxa"/>
            </w:tcMar>
          </w:tcPr>
          <w:p>
            <w:r>
              <w:rPr>
                <w:b/>
                <w:color w:val="334155"/>
              </w:rPr>
              <w:t>Compatibility &amp; Formulation Constraints</w:t>
            </w:r>
          </w:p>
        </w:tc>
        <w:tc>
          <w:tcPr>
            <w:tcW w:type="dxa" w:w="5760"/>
            <w:tcMar>
              <w:top w:w="80" w:type="dxa"/>
              <w:bottom w:w="80" w:type="dxa"/>
              <w:left w:w="100" w:type="dxa"/>
              <w:right w:w="100" w:type="dxa"/>
            </w:tcMar>
          </w:tcPr>
          <w:p>
            <w:r>
              <w:rPr>
                <w:color w:val="334155"/>
              </w:rPr>
              <w:t>PASS - Incompatibility safety rules correctly mapped</w:t>
            </w:r>
          </w:p>
        </w:tc>
      </w:tr>
    </w:tbl>
    <w:p>
      <w:pPr>
        <w:spacing w:after="120"/>
      </w:pPr>
    </w:p>
    <w:p>
      <w:pPr>
        <w:keepNext/>
        <w:spacing w:before="360" w:after="120"/>
      </w:pPr>
      <w:r>
        <w:rPr>
          <w:rFonts w:ascii="Arial" w:hAnsi="Arial"/>
          <w:b/>
          <w:color w:val="1E3A8A"/>
          <w:sz w:val="32"/>
        </w:rPr>
        <w:t>2. Architectural &amp; ER Diagram Validation</w:t>
      </w:r>
    </w:p>
    <w:p>
      <w:pPr>
        <w:spacing w:before="0" w:after="120" w:line="276" w:lineRule="auto"/>
      </w:pPr>
      <w:r>
        <w:rPr>
          <w:rFonts w:ascii="Arial" w:hAnsi="Arial"/>
          <w:color w:val="334155"/>
          <w:sz w:val="21"/>
        </w:rPr>
        <w:t>The Entity-Relationship (ER) diagram introduces an enterprise-grade recommendation pattern that avoids rigid, direct links between skin concerns and active ingredients.</w:t>
      </w:r>
    </w:p>
    <w:p>
      <w:pPr>
        <w:keepNext/>
        <w:spacing w:before="240" w:after="80"/>
      </w:pPr>
      <w:r>
        <w:rPr>
          <w:rFonts w:ascii="Arial" w:hAnsi="Arial"/>
          <w:b/>
          <w:color w:val="0284C7"/>
          <w:sz w:val="26"/>
        </w:rPr>
        <w:t>2.1 Decoupled Scoring Model</w:t>
      </w:r>
    </w:p>
    <w:p>
      <w:pPr>
        <w:spacing w:before="0" w:after="120" w:line="276" w:lineRule="auto"/>
      </w:pPr>
      <w:r>
        <w:rPr>
          <w:rFonts w:ascii="Arial" w:hAnsi="Arial"/>
          <w:color w:val="334155"/>
          <w:sz w:val="21"/>
        </w:rPr>
        <w:t>Rather than maintaining a direct active_id &lt;-&gt; concern_id matrix, the architecture implements a two-tiered intermediary framework:</w:t>
      </w:r>
    </w:p>
    <w:p>
      <w:pPr>
        <w:spacing w:before="0" w:after="120" w:line="276" w:lineRule="auto"/>
      </w:pPr>
      <w:r>
        <w:rPr>
          <w:rFonts w:ascii="Arial" w:hAnsi="Arial"/>
          <w:b/>
          <w:color w:val="334155"/>
          <w:sz w:val="21"/>
        </w:rPr>
        <w:t xml:space="preserve">Data Flow Hierarchy: </w:t>
      </w:r>
      <w:r>
        <w:rPr>
          <w:rFonts w:ascii="Arial" w:hAnsi="Arial"/>
          <w:color w:val="334155"/>
          <w:sz w:val="21"/>
        </w:rPr>
        <w:t>skin_concern  ---&gt;  concern_benefit (Weights)  ---&gt;  benefit  &lt;---  active_benefit_score (Scores)  &lt;---  active</w:t>
      </w:r>
    </w:p>
    <w:p>
      <w:pPr>
        <w:pStyle w:val="ListBullet"/>
        <w:spacing w:before="0" w:after="60" w:line="276" w:lineRule="auto"/>
      </w:pPr>
      <w:r>
        <w:rPr>
          <w:rFonts w:ascii="Arial" w:hAnsi="Arial"/>
          <w:b/>
          <w:color w:val="334155"/>
          <w:sz w:val="20"/>
        </w:rPr>
        <w:t xml:space="preserve">Key Architectural Benefit: </w:t>
      </w:r>
      <w:r>
        <w:rPr>
          <w:rFonts w:ascii="Arial" w:hAnsi="Arial"/>
          <w:color w:val="334155"/>
          <w:sz w:val="20"/>
        </w:rPr>
        <w:t>Updating an active ingredient's efficacy profile on a given benefit automatically updates its score across all relevant skin concerns without requiring DML changes to concern weights.</w:t>
      </w:r>
    </w:p>
    <w:p>
      <w:pPr>
        <w:pStyle w:val="ListBullet"/>
        <w:spacing w:before="0" w:after="60" w:line="276" w:lineRule="auto"/>
      </w:pPr>
      <w:r>
        <w:rPr>
          <w:rFonts w:ascii="Arial" w:hAnsi="Arial"/>
          <w:b/>
          <w:color w:val="334155"/>
          <w:sz w:val="20"/>
        </w:rPr>
        <w:t xml:space="preserve">Single Source of Truth: </w:t>
      </w:r>
      <w:r>
        <w:rPr>
          <w:rFonts w:ascii="Arial" w:hAnsi="Arial"/>
          <w:color w:val="334155"/>
          <w:sz w:val="20"/>
        </w:rPr>
        <w:t>The mathematical calculation is encapsulated entirely in PostgreSQL database views (vw_active_concern_score), ensuring consistent scoring logic across web, mobile, and RAG services.</w:t>
      </w:r>
    </w:p>
    <w:p>
      <w:pPr>
        <w:keepNext/>
        <w:spacing w:before="240" w:after="80"/>
      </w:pPr>
      <w:r>
        <w:rPr>
          <w:rFonts w:ascii="Arial" w:hAnsi="Arial"/>
          <w:b/>
          <w:color w:val="0284C7"/>
          <w:sz w:val="26"/>
        </w:rPr>
        <w:t>2.2 Transactional Session Integration</w:t>
      </w:r>
    </w:p>
    <w:p>
      <w:pPr>
        <w:spacing w:before="0" w:after="120" w:line="276" w:lineRule="auto"/>
      </w:pPr>
      <w:r>
        <w:rPr>
          <w:rFonts w:ascii="Arial" w:hAnsi="Arial"/>
          <w:color w:val="334155"/>
          <w:sz w:val="21"/>
        </w:rPr>
        <w:t>The schema provides full transactional lifecycle support for customer interactions:</w:t>
      </w:r>
    </w:p>
    <w:p>
      <w:pPr>
        <w:pStyle w:val="ListBullet"/>
        <w:spacing w:before="0" w:after="60" w:line="276" w:lineRule="auto"/>
      </w:pPr>
      <w:r>
        <w:rPr>
          <w:rFonts w:ascii="Arial" w:hAnsi="Arial"/>
          <w:b/>
          <w:color w:val="334155"/>
          <w:sz w:val="20"/>
        </w:rPr>
        <w:t xml:space="preserve">customer_session &amp; session_skin_concern_score: </w:t>
      </w:r>
      <w:r>
        <w:rPr>
          <w:rFonts w:ascii="Arial" w:hAnsi="Arial"/>
          <w:color w:val="334155"/>
          <w:sz w:val="20"/>
        </w:rPr>
        <w:t>Captures diagnostic questionnaire responses, selfie analysis metrics, and skin concern detection scores.</w:t>
      </w:r>
    </w:p>
    <w:p>
      <w:pPr>
        <w:pStyle w:val="ListBullet"/>
        <w:spacing w:before="0" w:after="60" w:line="276" w:lineRule="auto"/>
      </w:pPr>
      <w:r>
        <w:rPr>
          <w:rFonts w:ascii="Arial" w:hAnsi="Arial"/>
          <w:b/>
          <w:color w:val="334155"/>
          <w:sz w:val="20"/>
        </w:rPr>
        <w:t xml:space="preserve">formulation &amp; formulation_active: </w:t>
      </w:r>
      <w:r>
        <w:rPr>
          <w:rFonts w:ascii="Arial" w:hAnsi="Arial"/>
          <w:color w:val="334155"/>
          <w:sz w:val="20"/>
        </w:rPr>
        <w:t>Stores generated personalized formulations, active percentages, base vehicle selections, and user purchase status.</w:t>
      </w:r>
    </w:p>
    <w:p>
      <w:pPr>
        <w:pStyle w:val="ListBullet"/>
        <w:spacing w:before="0" w:after="60" w:line="276" w:lineRule="auto"/>
      </w:pPr>
      <w:r>
        <w:rPr>
          <w:rFonts w:ascii="Arial" w:hAnsi="Arial"/>
          <w:b/>
          <w:color w:val="334155"/>
          <w:sz w:val="20"/>
        </w:rPr>
        <w:t xml:space="preserve">audit_log: </w:t>
      </w:r>
      <w:r>
        <w:rPr>
          <w:rFonts w:ascii="Arial" w:hAnsi="Arial"/>
          <w:color w:val="334155"/>
          <w:sz w:val="20"/>
        </w:rPr>
        <w:t>Tracks state transitions and recommendation execution history for auditing.</w:t>
      </w:r>
    </w:p>
    <w:p>
      <w:pPr>
        <w:keepNext/>
        <w:spacing w:before="360" w:after="120"/>
      </w:pPr>
      <w:r>
        <w:rPr>
          <w:rFonts w:ascii="Arial" w:hAnsi="Arial"/>
          <w:b/>
          <w:color w:val="1E3A8A"/>
          <w:sz w:val="32"/>
        </w:rPr>
        <w:t>3. DDL Schema &amp; Trigger Mechanics Validation</w:t>
      </w:r>
    </w:p>
    <w:p>
      <w:pPr>
        <w:spacing w:before="0" w:after="120" w:line="276" w:lineRule="auto"/>
      </w:pPr>
      <w:r>
        <w:rPr>
          <w:rFonts w:ascii="Arial" w:hAnsi="Arial"/>
          <w:color w:val="334155"/>
          <w:sz w:val="21"/>
        </w:rPr>
        <w:t>The DDL script (CelRevive_DDL.sql) was validated for constraints, indexing, and dynamic scoring logic.</w:t>
      </w:r>
    </w:p>
    <w:p>
      <w:pPr>
        <w:keepNext/>
        <w:spacing w:before="240" w:after="80"/>
      </w:pPr>
      <w:r>
        <w:rPr>
          <w:rFonts w:ascii="Arial" w:hAnsi="Arial"/>
          <w:b/>
          <w:color w:val="0284C7"/>
          <w:sz w:val="26"/>
        </w:rPr>
        <w:t>3.1 Deferred Weight Validation Trigger</w:t>
      </w:r>
    </w:p>
    <w:p>
      <w:pPr>
        <w:spacing w:before="0" w:after="120" w:line="276" w:lineRule="auto"/>
      </w:pPr>
      <w:r>
        <w:rPr>
          <w:rFonts w:ascii="Arial" w:hAnsi="Arial"/>
          <w:color w:val="334155"/>
          <w:sz w:val="21"/>
        </w:rPr>
        <w:t>A critical data integrity requirement is that the weights of all benefits for a specific skin concern must sum to exactly 1.00000. The DDL handles this via a deferred constraint trigger:</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none"/>
              <w:left w:val="single" w:sz="24" w:space="0" w:color="0284C7"/>
              <w:bottom w:val="none"/>
              <w:right w:val="none"/>
            </w:tcBorders>
          </w:tcPr>
          <w:p>
            <w:pPr>
              <w:spacing w:before="0" w:after="80"/>
            </w:pPr>
            <w:r>
              <w:rPr>
                <w:rFonts w:ascii="Arial" w:hAnsi="Arial"/>
                <w:b/>
                <w:color w:val="1E3A8A"/>
                <w:sz w:val="22"/>
              </w:rPr>
              <w:t>Trigger Mechanism: trg_validate_concern_benefit_weight_sum</w:t>
            </w:r>
          </w:p>
          <w:p>
            <w:pPr>
              <w:spacing w:before="0" w:after="40" w:line="276" w:lineRule="auto"/>
            </w:pPr>
            <w:r>
              <w:rPr>
                <w:rFonts w:ascii="Arial" w:hAnsi="Arial"/>
                <w:color w:val="334155"/>
                <w:sz w:val="20"/>
              </w:rPr>
              <w:t>Definition: SET CONSTRAINTS ALL DEFERRED;</w:t>
            </w:r>
          </w:p>
          <w:p>
            <w:pPr>
              <w:spacing w:before="0" w:after="40" w:line="276" w:lineRule="auto"/>
            </w:pPr>
            <w:r>
              <w:rPr>
                <w:rFonts w:ascii="Arial" w:hAnsi="Arial"/>
                <w:color w:val="334155"/>
                <w:sz w:val="20"/>
              </w:rPr>
              <w:t>Execution: Fires AFTER INSERT OR UPDATE OR DELETE ON concern_benefit FOR EACH STATEMENT.</w:t>
            </w:r>
          </w:p>
          <w:p>
            <w:pPr>
              <w:spacing w:before="0" w:after="40" w:line="276" w:lineRule="auto"/>
            </w:pPr>
            <w:r>
              <w:rPr>
                <w:rFonts w:ascii="Arial" w:hAnsi="Arial"/>
                <w:color w:val="334155"/>
                <w:sz w:val="20"/>
              </w:rPr>
              <w:t>Validation Logic: Queries vw_invalid_concern_benefit_weight_sum. If any concern_id has SUM(weight) != 1.00000 (within a floating-point delta of 0.0001), a SQL exception is raised.</w:t>
            </w:r>
          </w:p>
          <w:p>
            <w:pPr>
              <w:spacing w:before="0" w:after="40" w:line="276" w:lineRule="auto"/>
            </w:pPr>
            <w:r>
              <w:rPr>
                <w:rFonts w:ascii="Arial" w:hAnsi="Arial"/>
                <w:color w:val="334155"/>
                <w:sz w:val="20"/>
              </w:rPr>
              <w:t>Dev Team Impact: When inserting or updating concern weights in bulk, engineers MUST perform all writes within a single transaction block (BEGIN...COMMIT) so the deferred trigger evaluates at commit time.</w:t>
            </w:r>
          </w:p>
        </w:tc>
      </w:tr>
    </w:tbl>
    <w:p>
      <w:pPr>
        <w:spacing w:before="0" w:after="120"/>
      </w:pPr>
    </w:p>
    <w:p>
      <w:pPr>
        <w:keepNext/>
        <w:spacing w:before="240" w:after="80"/>
      </w:pPr>
      <w:r>
        <w:rPr>
          <w:rFonts w:ascii="Arial" w:hAnsi="Arial"/>
          <w:b/>
          <w:color w:val="0284C7"/>
          <w:sz w:val="26"/>
        </w:rPr>
        <w:t>3.2 Dynamic Scoring Views Engine</w:t>
      </w:r>
    </w:p>
    <w:p>
      <w:pPr>
        <w:spacing w:before="0" w:after="120" w:line="276" w:lineRule="auto"/>
      </w:pPr>
      <w:r>
        <w:rPr>
          <w:rFonts w:ascii="Arial" w:hAnsi="Arial"/>
          <w:color w:val="334155"/>
          <w:sz w:val="21"/>
        </w:rPr>
        <w:t>The view vw_active_concern_score computes the composite relevance score for each active-concern pairing using the exact mathematical formula:</w:t>
      </w:r>
    </w:p>
    <w:p>
      <w:pPr>
        <w:spacing w:before="0" w:after="120" w:line="276" w:lineRule="auto"/>
      </w:pPr>
      <w:r>
        <w:rPr>
          <w:rFonts w:ascii="Arial" w:hAnsi="Arial"/>
          <w:b/>
          <w:color w:val="334155"/>
          <w:sz w:val="21"/>
        </w:rPr>
        <w:t xml:space="preserve">Mathematical Formula: </w:t>
      </w:r>
      <w:r>
        <w:rPr>
          <w:rFonts w:ascii="Arial" w:hAnsi="Arial"/>
          <w:color w:val="334155"/>
          <w:sz w:val="21"/>
        </w:rPr>
        <w:t>Relevance Score = 5 * [ SUM( weight * active_benefit_score ) / SUM( weight ) ]</w:t>
      </w:r>
    </w:p>
    <w:p>
      <w:pPr>
        <w:spacing w:before="0" w:after="120" w:line="276" w:lineRule="auto"/>
      </w:pPr>
      <w:r>
        <w:rPr>
          <w:rFonts w:ascii="Arial" w:hAnsi="Arial"/>
          <w:color w:val="334155"/>
          <w:sz w:val="21"/>
        </w:rPr>
        <w:t>Because SUM(weight) is forced to 1.0 by the database trigger, the denominator simplifies to 1.0, normalizing the maximum score output onto both 0-20 and 0-100 scales seamlessly.</w:t>
      </w:r>
    </w:p>
    <w:p>
      <w:pPr>
        <w:keepNext/>
        <w:spacing w:before="360" w:after="120"/>
      </w:pPr>
      <w:r>
        <w:rPr>
          <w:rFonts w:ascii="Arial" w:hAnsi="Arial"/>
          <w:b/>
          <w:color w:val="1E3A8A"/>
          <w:sz w:val="32"/>
        </w:rPr>
        <w:t>4. DML &amp; Master Seed Data Validation</w:t>
      </w:r>
    </w:p>
    <w:p>
      <w:pPr>
        <w:spacing w:before="0" w:after="120" w:line="276" w:lineRule="auto"/>
      </w:pPr>
      <w:r>
        <w:rPr>
          <w:rFonts w:ascii="Arial" w:hAnsi="Arial"/>
          <w:color w:val="334155"/>
          <w:sz w:val="21"/>
        </w:rPr>
        <w:t>An automated Python verification script was executed against CelRevive_DML_Primary_Insert.sql to test data completeness against Top15ActiveDatabase.xlsx.</w:t>
      </w:r>
    </w:p>
    <w:p>
      <w:pPr>
        <w:keepNext/>
        <w:spacing w:before="240" w:after="80"/>
      </w:pPr>
      <w:r>
        <w:rPr>
          <w:rFonts w:ascii="Arial" w:hAnsi="Arial"/>
          <w:b/>
          <w:color w:val="0284C7"/>
          <w:sz w:val="26"/>
        </w:rPr>
        <w:t>4.1 Matrix Coverage &amp; Completeness</w:t>
      </w:r>
    </w:p>
    <w:p>
      <w:pPr>
        <w:pStyle w:val="ListBullet"/>
        <w:spacing w:before="0" w:after="60" w:line="276" w:lineRule="auto"/>
      </w:pPr>
      <w:r>
        <w:rPr>
          <w:rFonts w:ascii="Arial" w:hAnsi="Arial"/>
          <w:b/>
          <w:color w:val="334155"/>
          <w:sz w:val="20"/>
        </w:rPr>
        <w:t xml:space="preserve">Active Ingredients: </w:t>
      </w:r>
      <w:r>
        <w:rPr>
          <w:rFonts w:ascii="Arial" w:hAnsi="Arial"/>
          <w:color w:val="334155"/>
          <w:sz w:val="20"/>
        </w:rPr>
        <w:t>All 15 master active ingredients present (Active IDs 1 to 15).</w:t>
      </w:r>
    </w:p>
    <w:p>
      <w:pPr>
        <w:pStyle w:val="ListBullet"/>
        <w:spacing w:before="0" w:after="60" w:line="276" w:lineRule="auto"/>
      </w:pPr>
      <w:r>
        <w:rPr>
          <w:rFonts w:ascii="Arial" w:hAnsi="Arial"/>
          <w:b/>
          <w:color w:val="334155"/>
          <w:sz w:val="20"/>
        </w:rPr>
        <w:t xml:space="preserve">Base Formats: </w:t>
      </w:r>
      <w:r>
        <w:rPr>
          <w:rFonts w:ascii="Arial" w:hAnsi="Arial"/>
          <w:color w:val="334155"/>
          <w:sz w:val="20"/>
        </w:rPr>
        <w:t>All 5 base carrier formats present (Base IDs 1 to 5).</w:t>
      </w:r>
    </w:p>
    <w:p>
      <w:pPr>
        <w:pStyle w:val="ListBullet"/>
        <w:spacing w:before="0" w:after="60" w:line="276" w:lineRule="auto"/>
      </w:pPr>
      <w:r>
        <w:rPr>
          <w:rFonts w:ascii="Arial" w:hAnsi="Arial"/>
          <w:b/>
          <w:color w:val="334155"/>
          <w:sz w:val="20"/>
        </w:rPr>
        <w:t xml:space="preserve">Benefit Dimensions: </w:t>
      </w:r>
      <w:r>
        <w:rPr>
          <w:rFonts w:ascii="Arial" w:hAnsi="Arial"/>
          <w:color w:val="334155"/>
          <w:sz w:val="20"/>
        </w:rPr>
        <w:t>20 standardized biological skin benefit dimensions cataloged.</w:t>
      </w:r>
    </w:p>
    <w:p>
      <w:pPr>
        <w:pStyle w:val="ListBullet"/>
        <w:spacing w:before="0" w:after="60" w:line="276" w:lineRule="auto"/>
      </w:pPr>
      <w:r>
        <w:rPr>
          <w:rFonts w:ascii="Arial" w:hAnsi="Arial"/>
          <w:b/>
          <w:color w:val="334155"/>
          <w:sz w:val="20"/>
        </w:rPr>
        <w:t xml:space="preserve">Skin Concerns: </w:t>
      </w:r>
      <w:r>
        <w:rPr>
          <w:rFonts w:ascii="Arial" w:hAnsi="Arial"/>
          <w:color w:val="334155"/>
          <w:sz w:val="20"/>
        </w:rPr>
        <w:t>32 skin concerns cataloged (19 selfie/questionnaire primary concerns + 9 taxonomy + 4 risk factors).</w:t>
      </w:r>
    </w:p>
    <w:p>
      <w:pPr>
        <w:pStyle w:val="ListBullet"/>
        <w:spacing w:before="0" w:after="60" w:line="276" w:lineRule="auto"/>
      </w:pPr>
      <w:r>
        <w:rPr>
          <w:rFonts w:ascii="Arial" w:hAnsi="Arial"/>
          <w:b/>
          <w:color w:val="334155"/>
          <w:sz w:val="20"/>
        </w:rPr>
        <w:t xml:space="preserve">Active-Benefit Scoring Matrix: </w:t>
      </w:r>
      <w:r>
        <w:rPr>
          <w:rFonts w:ascii="Arial" w:hAnsi="Arial"/>
          <w:color w:val="334155"/>
          <w:sz w:val="20"/>
        </w:rPr>
        <w:t>100% complete (300 records populated in active_benefit_score).</w:t>
      </w:r>
    </w:p>
    <w:p>
      <w:pPr>
        <w:keepNext/>
        <w:spacing w:before="240" w:after="80"/>
      </w:pPr>
      <w:r>
        <w:rPr>
          <w:rFonts w:ascii="Arial" w:hAnsi="Arial"/>
          <w:b/>
          <w:color w:val="0284C7"/>
          <w:sz w:val="26"/>
        </w:rPr>
        <w:t>4.2 Automated Mathematical Weight Sum Results</w:t>
      </w:r>
    </w:p>
    <w:p>
      <w:pPr>
        <w:spacing w:before="0" w:after="120" w:line="276" w:lineRule="auto"/>
      </w:pPr>
      <w:r>
        <w:rPr>
          <w:rFonts w:ascii="Arial" w:hAnsi="Arial"/>
          <w:color w:val="334155"/>
          <w:sz w:val="21"/>
        </w:rPr>
        <w:t>All 32 concern weight distributions defined in the DML script were parsed and checked for sum precision:</w:t>
      </w:r>
    </w:p>
    <w:tbl>
      <w:tblPr>
        <w:tblW w:type="auto" w:w="0"/>
        <w:jc w:val="center"/>
        <w:tblLook w:firstColumn="1" w:firstRow="1" w:lastColumn="0" w:lastRow="0" w:noHBand="0" w:noVBand="1" w:val="04A0"/>
        <w:tblBorders>
          <w:top w:val="single" w:sz="4" w:space="0" w:color="E2E8F0"/>
          <w:bottom w:val="single" w:sz="4" w:space="0" w:color="E2E8F0"/>
          <w:insideH w:val="single" w:sz="4" w:space="0" w:color="E2E8F0"/>
          <w:insideV w:val="none"/>
          <w:left w:val="none"/>
          <w:right w:val="none"/>
        </w:tblBorders>
      </w:tblPr>
      <w:tblGrid>
        <w:gridCol w:w="3120"/>
        <w:gridCol w:w="3120"/>
        <w:gridCol w:w="3120"/>
      </w:tblGrid>
      <w:tr>
        <w:tc>
          <w:tcPr>
            <w:tcW w:type="dxa" w:w="3120"/>
            <w:shd w:fill="1E3A8A"/>
            <w:tcMar>
              <w:top w:w="80" w:type="dxa"/>
              <w:bottom w:w="80" w:type="dxa"/>
              <w:left w:w="100" w:type="dxa"/>
              <w:right w:w="100" w:type="dxa"/>
            </w:tcMar>
          </w:tcPr>
          <w:p>
            <w:r>
              <w:rPr>
                <w:b/>
                <w:color w:val="FFFFFF"/>
              </w:rPr>
              <w:t>Concern ID Category</w:t>
            </w:r>
          </w:p>
        </w:tc>
        <w:tc>
          <w:tcPr>
            <w:tcW w:type="dxa" w:w="3120"/>
            <w:shd w:fill="1E3A8A"/>
            <w:tcMar>
              <w:top w:w="80" w:type="dxa"/>
              <w:bottom w:w="80" w:type="dxa"/>
              <w:left w:w="100" w:type="dxa"/>
              <w:right w:w="100" w:type="dxa"/>
            </w:tcMar>
          </w:tcPr>
          <w:p>
            <w:r>
              <w:rPr>
                <w:b/>
                <w:color w:val="FFFFFF"/>
              </w:rPr>
              <w:t>Sample Concern Names</w:t>
            </w:r>
          </w:p>
        </w:tc>
        <w:tc>
          <w:tcPr>
            <w:tcW w:type="dxa" w:w="3120"/>
            <w:shd w:fill="1E3A8A"/>
            <w:tcMar>
              <w:top w:w="80" w:type="dxa"/>
              <w:bottom w:w="80" w:type="dxa"/>
              <w:left w:w="100" w:type="dxa"/>
              <w:right w:w="100" w:type="dxa"/>
            </w:tcMar>
          </w:tcPr>
          <w:p>
            <w:r>
              <w:rPr>
                <w:b/>
                <w:color w:val="FFFFFF"/>
              </w:rPr>
              <w:t>Sum Result &amp; Status</w:t>
            </w:r>
          </w:p>
        </w:tc>
      </w:tr>
      <w:tr>
        <w:tc>
          <w:tcPr>
            <w:tcW w:type="dxa" w:w="3024"/>
            <w:tcMar>
              <w:top w:w="70" w:type="dxa"/>
              <w:bottom w:w="70" w:type="dxa"/>
              <w:left w:w="90" w:type="dxa"/>
              <w:right w:w="90" w:type="dxa"/>
            </w:tcMar>
          </w:tcPr>
          <w:p>
            <w:r>
              <w:rPr>
                <w:color w:val="334155"/>
              </w:rPr>
              <w:t>SC0001 - SC0019 (Primary)</w:t>
            </w:r>
          </w:p>
        </w:tc>
        <w:tc>
          <w:tcPr>
            <w:tcW w:type="dxa" w:w="3312"/>
            <w:tcMar>
              <w:top w:w="70" w:type="dxa"/>
              <w:bottom w:w="70" w:type="dxa"/>
              <w:left w:w="90" w:type="dxa"/>
              <w:right w:w="90" w:type="dxa"/>
            </w:tcMar>
          </w:tcPr>
          <w:p>
            <w:r>
              <w:rPr>
                <w:color w:val="334155"/>
              </w:rPr>
              <w:t>Dry Skin, Hyperpigmentation, Acne, Fine Lines</w:t>
            </w:r>
          </w:p>
        </w:tc>
        <w:tc>
          <w:tcPr>
            <w:tcW w:type="dxa" w:w="3024"/>
            <w:tcMar>
              <w:top w:w="70" w:type="dxa"/>
              <w:bottom w:w="70" w:type="dxa"/>
              <w:left w:w="90" w:type="dxa"/>
              <w:right w:w="90" w:type="dxa"/>
            </w:tcMar>
          </w:tcPr>
          <w:p>
            <w:r>
              <w:rPr>
                <w:b/>
                <w:color w:val="166534"/>
              </w:rPr>
              <w:t>1.00000 - PASS</w:t>
            </w:r>
          </w:p>
        </w:tc>
      </w:tr>
      <w:tr>
        <w:tc>
          <w:tcPr>
            <w:tcW w:type="dxa" w:w="3024"/>
            <w:tcMar>
              <w:top w:w="70" w:type="dxa"/>
              <w:bottom w:w="70" w:type="dxa"/>
              <w:left w:w="90" w:type="dxa"/>
              <w:right w:w="90" w:type="dxa"/>
            </w:tcMar>
            <w:shd w:fill="F8FAFC"/>
          </w:tcPr>
          <w:p>
            <w:r>
              <w:rPr>
                <w:color w:val="334155"/>
              </w:rPr>
              <w:t>SC1001 - SC1009 (Taxonomy)</w:t>
            </w:r>
          </w:p>
        </w:tc>
        <w:tc>
          <w:tcPr>
            <w:tcW w:type="dxa" w:w="3312"/>
            <w:tcMar>
              <w:top w:w="70" w:type="dxa"/>
              <w:bottom w:w="70" w:type="dxa"/>
              <w:left w:w="90" w:type="dxa"/>
              <w:right w:w="90" w:type="dxa"/>
            </w:tcMar>
            <w:shd w:fill="F8FAFC"/>
          </w:tcPr>
          <w:p>
            <w:r>
              <w:rPr>
                <w:color w:val="334155"/>
              </w:rPr>
              <w:t>Erythema, Telangiectasia, Deep Wrinkles</w:t>
            </w:r>
          </w:p>
        </w:tc>
        <w:tc>
          <w:tcPr>
            <w:tcW w:type="dxa" w:w="3024"/>
            <w:tcMar>
              <w:top w:w="70" w:type="dxa"/>
              <w:bottom w:w="70" w:type="dxa"/>
              <w:left w:w="90" w:type="dxa"/>
              <w:right w:w="90" w:type="dxa"/>
            </w:tcMar>
            <w:shd w:fill="F8FAFC"/>
          </w:tcPr>
          <w:p>
            <w:r>
              <w:rPr>
                <w:b/>
                <w:color w:val="166534"/>
              </w:rPr>
              <w:t>1.00000 - PASS</w:t>
            </w:r>
          </w:p>
        </w:tc>
      </w:tr>
      <w:tr>
        <w:tc>
          <w:tcPr>
            <w:tcW w:type="dxa" w:w="3024"/>
            <w:tcMar>
              <w:top w:w="70" w:type="dxa"/>
              <w:bottom w:w="70" w:type="dxa"/>
              <w:left w:w="90" w:type="dxa"/>
              <w:right w:w="90" w:type="dxa"/>
            </w:tcMar>
          </w:tcPr>
          <w:p>
            <w:r>
              <w:rPr>
                <w:color w:val="334155"/>
              </w:rPr>
              <w:t>SC2001 - SC2004 (Risk Factors)</w:t>
            </w:r>
          </w:p>
        </w:tc>
        <w:tc>
          <w:tcPr>
            <w:tcW w:type="dxa" w:w="3312"/>
            <w:tcMar>
              <w:top w:w="70" w:type="dxa"/>
              <w:bottom w:w="70" w:type="dxa"/>
              <w:left w:w="90" w:type="dxa"/>
              <w:right w:w="90" w:type="dxa"/>
            </w:tcMar>
          </w:tcPr>
          <w:p>
            <w:r>
              <w:rPr>
                <w:color w:val="334155"/>
              </w:rPr>
              <w:t>Barrier Compromise Risk, Micro-Inflammation</w:t>
            </w:r>
          </w:p>
        </w:tc>
        <w:tc>
          <w:tcPr>
            <w:tcW w:type="dxa" w:w="3024"/>
            <w:tcMar>
              <w:top w:w="70" w:type="dxa"/>
              <w:bottom w:w="70" w:type="dxa"/>
              <w:left w:w="90" w:type="dxa"/>
              <w:right w:w="90" w:type="dxa"/>
            </w:tcMar>
          </w:tcPr>
          <w:p>
            <w:r>
              <w:rPr>
                <w:b/>
                <w:color w:val="166534"/>
              </w:rPr>
              <w:t>1.00000 - PASS</w:t>
            </w:r>
          </w:p>
        </w:tc>
      </w:tr>
      <w:tr>
        <w:tc>
          <w:tcPr>
            <w:tcW w:type="dxa" w:w="3024"/>
            <w:tcMar>
              <w:top w:w="70" w:type="dxa"/>
              <w:bottom w:w="70" w:type="dxa"/>
              <w:left w:w="90" w:type="dxa"/>
              <w:right w:w="90" w:type="dxa"/>
            </w:tcMar>
            <w:shd w:fill="F8FAFC"/>
          </w:tcPr>
          <w:p>
            <w:r>
              <w:rPr>
                <w:color w:val="334155"/>
              </w:rPr>
              <w:t>Overall Total (32 Concerns)</w:t>
            </w:r>
          </w:p>
        </w:tc>
        <w:tc>
          <w:tcPr>
            <w:tcW w:type="dxa" w:w="3312"/>
            <w:tcMar>
              <w:top w:w="70" w:type="dxa"/>
              <w:bottom w:w="70" w:type="dxa"/>
              <w:left w:w="90" w:type="dxa"/>
              <w:right w:w="90" w:type="dxa"/>
            </w:tcMar>
            <w:shd w:fill="F8FAFC"/>
          </w:tcPr>
          <w:p>
            <w:r>
              <w:rPr>
                <w:color w:val="334155"/>
              </w:rPr>
              <w:t>All 32 database concerns validated</w:t>
            </w:r>
          </w:p>
        </w:tc>
        <w:tc>
          <w:tcPr>
            <w:tcW w:type="dxa" w:w="3024"/>
            <w:tcMar>
              <w:top w:w="70" w:type="dxa"/>
              <w:bottom w:w="70" w:type="dxa"/>
              <w:left w:w="90" w:type="dxa"/>
              <w:right w:w="90" w:type="dxa"/>
            </w:tcMar>
            <w:shd w:fill="F8FAFC"/>
          </w:tcPr>
          <w:p>
            <w:r>
              <w:rPr>
                <w:color w:val="334155"/>
              </w:rPr>
              <w:t>32 / 32 Passed</w:t>
            </w:r>
          </w:p>
        </w:tc>
      </w:tr>
      <w:tr>
        <w:tc>
          <w:tcPr>
            <w:tcW w:type="dxa" w:w="3024"/>
            <w:tcMar>
              <w:top w:w="70" w:type="dxa"/>
              <w:bottom w:w="70" w:type="dxa"/>
              <w:left w:w="90" w:type="dxa"/>
              <w:right w:w="90" w:type="dxa"/>
            </w:tcMar>
          </w:tcPr>
          <w:p>
            <w:r>
              <w:rPr>
                <w:color w:val="334155"/>
              </w:rPr>
              <w:t>Invalid Weight Sums Found</w:t>
            </w:r>
          </w:p>
        </w:tc>
        <w:tc>
          <w:tcPr>
            <w:tcW w:type="dxa" w:w="3312"/>
            <w:tcMar>
              <w:top w:w="70" w:type="dxa"/>
              <w:bottom w:w="70" w:type="dxa"/>
              <w:left w:w="90" w:type="dxa"/>
              <w:right w:w="90" w:type="dxa"/>
            </w:tcMar>
          </w:tcPr>
          <w:p>
            <w:r>
              <w:rPr>
                <w:color w:val="334155"/>
              </w:rPr>
              <w:t>None</w:t>
            </w:r>
          </w:p>
        </w:tc>
        <w:tc>
          <w:tcPr>
            <w:tcW w:type="dxa" w:w="3024"/>
            <w:tcMar>
              <w:top w:w="70" w:type="dxa"/>
              <w:bottom w:w="70" w:type="dxa"/>
              <w:left w:w="90" w:type="dxa"/>
              <w:right w:w="90" w:type="dxa"/>
            </w:tcMar>
          </w:tcPr>
          <w:p>
            <w:r>
              <w:rPr>
                <w:color w:val="334155"/>
              </w:rPr>
              <w:t>0 Errors</w:t>
            </w:r>
          </w:p>
        </w:tc>
      </w:tr>
    </w:tbl>
    <w:p>
      <w:pPr>
        <w:spacing w:after="120"/>
      </w:pPr>
    </w:p>
    <w:p>
      <w:pPr>
        <w:keepNext/>
        <w:spacing w:before="360" w:after="120"/>
      </w:pPr>
      <w:r>
        <w:rPr>
          <w:rFonts w:ascii="Arial" w:hAnsi="Arial"/>
          <w:b/>
          <w:color w:val="1E3A8A"/>
          <w:sz w:val="32"/>
        </w:rPr>
        <w:t>5. Engineering Action Items &amp; Technical Guidance</w:t>
      </w:r>
    </w:p>
    <w:p>
      <w:pPr>
        <w:spacing w:before="0" w:after="120" w:line="276" w:lineRule="auto"/>
      </w:pPr>
      <w:r>
        <w:rPr>
          <w:rFonts w:ascii="Arial" w:hAnsi="Arial"/>
          <w:color w:val="334155"/>
          <w:sz w:val="21"/>
        </w:rPr>
        <w:t>To prepare the database for production deployment and downstream RAG integration, the development team should execute the following recommendations:</w:t>
      </w:r>
    </w:p>
    <w:p>
      <w:pPr>
        <w:keepNext/>
        <w:spacing w:before="240" w:after="80"/>
      </w:pPr>
      <w:r>
        <w:rPr>
          <w:rFonts w:ascii="Arial" w:hAnsi="Arial"/>
          <w:b/>
          <w:color w:val="0284C7"/>
          <w:sz w:val="26"/>
        </w:rPr>
        <w:t>5.1 Configuration &amp; Extension Adjustments</w:t>
      </w:r>
    </w:p>
    <w:p>
      <w:pPr>
        <w:pStyle w:val="ListBullet"/>
        <w:spacing w:before="0" w:after="60" w:line="276" w:lineRule="auto"/>
      </w:pPr>
      <w:r>
        <w:rPr>
          <w:rFonts w:ascii="Arial" w:hAnsi="Arial"/>
          <w:b/>
          <w:color w:val="334155"/>
          <w:sz w:val="20"/>
        </w:rPr>
        <w:t xml:space="preserve">1. PostgreSQL Extension Support: </w:t>
      </w:r>
      <w:r>
        <w:rPr>
          <w:rFonts w:ascii="Arial" w:hAnsi="Arial"/>
          <w:color w:val="334155"/>
          <w:sz w:val="20"/>
        </w:rPr>
        <w:t>PostgreSQL 13+ includes gen_random_uuid() natively. While pgcrypto is included in the script, ensure target deployment permissions allow extension creation.</w:t>
      </w:r>
    </w:p>
    <w:p>
      <w:pPr>
        <w:pStyle w:val="ListBullet"/>
        <w:spacing w:before="0" w:after="60" w:line="276" w:lineRule="auto"/>
      </w:pPr>
      <w:r>
        <w:rPr>
          <w:rFonts w:ascii="Arial" w:hAnsi="Arial"/>
          <w:b/>
          <w:color w:val="334155"/>
          <w:sz w:val="20"/>
        </w:rPr>
        <w:t xml:space="preserve">2. Vector Search (pgvector) Preparation: </w:t>
      </w:r>
      <w:r>
        <w:rPr>
          <w:rFonts w:ascii="Arial" w:hAnsi="Arial"/>
          <w:color w:val="334155"/>
          <w:sz w:val="20"/>
        </w:rPr>
        <w:t>If RAG vector search will run directly inside PostgreSQL (rather than Pinecone or Weaviate), add CREATE EXTENSION IF NOT EXISTS vector; and introduce vector(1536) embedding columns on active and source_document tables.</w:t>
      </w:r>
    </w:p>
    <w:p>
      <w:pPr>
        <w:keepNext/>
        <w:spacing w:before="240" w:after="80"/>
      </w:pPr>
      <w:r>
        <w:rPr>
          <w:rFonts w:ascii="Arial" w:hAnsi="Arial"/>
          <w:b/>
          <w:color w:val="0284C7"/>
          <w:sz w:val="26"/>
        </w:rPr>
        <w:t>5.2 Transaction Management &amp; Maintenance</w:t>
      </w:r>
    </w:p>
    <w:p>
      <w:pPr>
        <w:pStyle w:val="ListBullet"/>
        <w:spacing w:before="0" w:after="60" w:line="276" w:lineRule="auto"/>
      </w:pPr>
      <w:r>
        <w:rPr>
          <w:rFonts w:ascii="Arial" w:hAnsi="Arial"/>
          <w:b/>
          <w:color w:val="334155"/>
          <w:sz w:val="20"/>
        </w:rPr>
        <w:t xml:space="preserve">1. Bulk Seed Operations: </w:t>
      </w:r>
      <w:r>
        <w:rPr>
          <w:rFonts w:ascii="Arial" w:hAnsi="Arial"/>
          <w:color w:val="334155"/>
          <w:sz w:val="20"/>
        </w:rPr>
        <w:t>Because the weight trigger is deferred, seed scripts and admin panel updates to concern_benefit MUST be wrapped in explicit transaction blocks (BEGIN...COMMIT).</w:t>
      </w:r>
    </w:p>
    <w:p>
      <w:pPr>
        <w:pStyle w:val="ListBullet"/>
        <w:spacing w:before="0" w:after="60" w:line="276" w:lineRule="auto"/>
      </w:pPr>
      <w:r>
        <w:rPr>
          <w:rFonts w:ascii="Arial" w:hAnsi="Arial"/>
          <w:b/>
          <w:color w:val="334155"/>
          <w:sz w:val="20"/>
        </w:rPr>
        <w:t xml:space="preserve">2. Hypothesis Governance: </w:t>
      </w:r>
      <w:r>
        <w:rPr>
          <w:rFonts w:ascii="Arial" w:hAnsi="Arial"/>
          <w:color w:val="334155"/>
          <w:sz w:val="20"/>
        </w:rPr>
        <w:t>The current seed weights carry evidence_level = 'HYPOTHESIS'. Establish an admin workflow to transition approved weights to 'EXPERT' or 'VALIDATED' status following clinical review.</w:t>
      </w:r>
    </w:p>
    <w:p>
      <w:pPr>
        <w:keepNext/>
        <w:spacing w:before="240" w:after="80"/>
      </w:pPr>
      <w:r>
        <w:rPr>
          <w:rFonts w:ascii="Arial" w:hAnsi="Arial"/>
          <w:b/>
          <w:color w:val="0284C7"/>
          <w:sz w:val="26"/>
        </w:rPr>
        <w:t>5.3 Deployment Sequence</w:t>
      </w:r>
    </w:p>
    <w:p>
      <w:pPr>
        <w:spacing w:before="0" w:after="120" w:line="276" w:lineRule="auto"/>
      </w:pPr>
      <w:r>
        <w:rPr>
          <w:rFonts w:ascii="Arial" w:hAnsi="Arial"/>
          <w:color w:val="334155"/>
          <w:sz w:val="21"/>
        </w:rPr>
        <w:t>Follow this exact deployment sequence during database provisioning:</w:t>
      </w:r>
    </w:p>
    <w:p>
      <w:pPr>
        <w:pStyle w:val="ListBullet"/>
        <w:spacing w:before="0" w:after="60" w:line="276" w:lineRule="auto"/>
      </w:pPr>
      <w:r>
        <w:rPr>
          <w:rFonts w:ascii="Arial" w:hAnsi="Arial"/>
          <w:b/>
          <w:color w:val="334155"/>
          <w:sz w:val="20"/>
        </w:rPr>
        <w:t xml:space="preserve">Step 1: Execute DDL Script: </w:t>
      </w:r>
      <w:r>
        <w:rPr>
          <w:rFonts w:ascii="Arial" w:hAnsi="Arial"/>
          <w:color w:val="334155"/>
          <w:sz w:val="20"/>
        </w:rPr>
        <w:t>Run CelRevive_DDL.sql to establish schema, enums, triggers, and views.</w:t>
      </w:r>
    </w:p>
    <w:p>
      <w:pPr>
        <w:pStyle w:val="ListBullet"/>
        <w:spacing w:before="0" w:after="60" w:line="276" w:lineRule="auto"/>
      </w:pPr>
      <w:r>
        <w:rPr>
          <w:rFonts w:ascii="Arial" w:hAnsi="Arial"/>
          <w:b/>
          <w:color w:val="334155"/>
          <w:sz w:val="20"/>
        </w:rPr>
        <w:t xml:space="preserve">Step 2: Execute DML Script: </w:t>
      </w:r>
      <w:r>
        <w:rPr>
          <w:rFonts w:ascii="Arial" w:hAnsi="Arial"/>
          <w:color w:val="334155"/>
          <w:sz w:val="20"/>
        </w:rPr>
        <w:t>Run CelRevive_DML_Primary_Insert.sql to populate seed master tables.</w:t>
      </w:r>
    </w:p>
    <w:p>
      <w:pPr>
        <w:pStyle w:val="ListBullet"/>
        <w:spacing w:before="0" w:after="60" w:line="276" w:lineRule="auto"/>
      </w:pPr>
      <w:r>
        <w:rPr>
          <w:rFonts w:ascii="Arial" w:hAnsi="Arial"/>
          <w:b/>
          <w:color w:val="334155"/>
          <w:sz w:val="20"/>
        </w:rPr>
        <w:t xml:space="preserve">Step 3: Post-Ingestion Sanity Check A: </w:t>
      </w:r>
      <w:r>
        <w:rPr>
          <w:rFonts w:ascii="Arial" w:hAnsi="Arial"/>
          <w:color w:val="334155"/>
          <w:sz w:val="20"/>
        </w:rPr>
        <w:t>Execute SELECT * FROM vw_invalid_concern_benefit_weight_sum; (must return 0 rows).</w:t>
      </w:r>
    </w:p>
    <w:p>
      <w:pPr>
        <w:pStyle w:val="ListBullet"/>
        <w:spacing w:before="0" w:after="60" w:line="276" w:lineRule="auto"/>
      </w:pPr>
      <w:r>
        <w:rPr>
          <w:rFonts w:ascii="Arial" w:hAnsi="Arial"/>
          <w:b/>
          <w:color w:val="334155"/>
          <w:sz w:val="20"/>
        </w:rPr>
        <w:t xml:space="preserve">Step 4: Post-Ingestion Sanity Check B: </w:t>
      </w:r>
      <w:r>
        <w:rPr>
          <w:rFonts w:ascii="Arial" w:hAnsi="Arial"/>
          <w:color w:val="334155"/>
          <w:sz w:val="20"/>
        </w:rPr>
        <w:t>Execute SELECT * FROM vw_missing_active_benefit_score; (must return 0 rows).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