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Cuba, New Mexico Water-System</w:t>
        <w:br/>
        <w:t>Evidence &amp; Dataset Packet</w:t>
      </w:r>
    </w:p>
    <w:p>
      <w:r>
        <w:rPr>
          <w:b/>
        </w:rPr>
        <w:t xml:space="preserve">Purpose: </w:t>
      </w:r>
      <w:r>
        <w:t>Provide the group leader with verifiable local evidence and plottable figures to support an abstract about an organization that raises and coordinates funding to mitigate water-system needs in the Village of Cuba, New Mexico.</w:t>
      </w:r>
    </w:p>
    <w:p>
      <w:pPr>
        <w:pStyle w:val="Heading1"/>
      </w:pPr>
      <w:r>
        <w:t>Executive summary</w:t>
      </w:r>
    </w:p>
    <w:p>
      <w:r>
        <w:t>The strongest public evidence located so far is: (1) a New Mexico Environment Department sanitary survey documenting a 20 psi reading in an affected distribution area on August 21, 2024, with the low-pressure deficiency described as unresolved on that survey date; (2) the state FY 2026–2030 Infrastructure Capital Improvement Plan (ICIP), listing four Cuba water/wastewater projects with a combined planned cost of $14.479 million and $4.718 million listed as not yet funded; and (3) a U.S. Army Corps of Engineers announcement describing a $2 million water-storage project with a 75% federal / 25% Village cost share. These records may reflect different project scopes and funding assumptions. Confirm current status with the Village before presenting any amount as a current funding gap.</w:t>
      </w:r>
    </w:p>
    <w:p>
      <w:r>
        <w:rPr>
          <w:b/>
        </w:rPr>
        <w:t xml:space="preserve">Scope rule: </w:t>
      </w:r>
      <w:r>
        <w:t>This packet focuses on the Village of Cuba water system and local infrastructure. Statewide drought or interstate water-policy figures are not substitutes for local evidence.</w:t>
      </w:r>
    </w:p>
    <w:p>
      <w:pPr>
        <w:pStyle w:val="Heading1"/>
      </w:pPr>
      <w:r>
        <w:t>1. Primary evidence and plottable datasets</w:t>
      </w:r>
    </w:p>
    <w:p>
      <w:pPr>
        <w:pStyle w:val="Heading2"/>
      </w:pPr>
      <w:r>
        <w:t>Dataset A — Documented water-pressure deficiency</w:t>
      </w:r>
    </w:p>
    <w:p>
      <w:r>
        <w:rPr>
          <w:b/>
        </w:rPr>
        <w:t xml:space="preserve">Source: </w:t>
      </w:r>
      <w:hyperlink r:id="rId11">
        <w:r>
          <w:rPr>
            <w:color w:val="0563C1"/>
            <w:u w:val="single"/>
          </w:rPr>
          <w:t>NMED Drinking Water Bureau sanitary survey (survey conducted August 21, 2024)</w:t>
        </w:r>
      </w:hyperlink>
    </w:p>
    <w:p>
      <w:pPr>
        <w:pStyle w:val="ListBullet"/>
        <w:spacing w:after="40"/>
      </w:pPr>
      <w:r>
        <w:t>The report says the previous sanitary survey was conducted June 30, 2021, and nine significant deficiencies were cited.</w:t>
      </w:r>
    </w:p>
    <w:p>
      <w:pPr>
        <w:pStyle w:val="ListBullet"/>
        <w:spacing w:after="40"/>
      </w:pPr>
      <w:r>
        <w:t>NMED had not been provided documentation showing that two deficiencies were corrected.</w:t>
      </w:r>
    </w:p>
    <w:p>
      <w:pPr>
        <w:pStyle w:val="ListBullet"/>
        <w:spacing w:after="40"/>
      </w:pPr>
      <w:r>
        <w:t>One deficiency was “pressures too low in distribution.” A notice of violation was issued December 10, 2021. On the 2024 survey date, pressure in the affected area was measured at 20 psi, and the report described the deficiency as unresolved.</w:t>
      </w:r>
    </w:p>
    <w:p>
      <w:r>
        <w:rPr>
          <w:b/>
        </w:rPr>
        <w:t xml:space="preserve">Plot idea: </w:t>
      </w:r>
      <w:r>
        <w:t>A dated timeline: 2021 survey → December 2021 notice of violation → August 2024 survey / 20 psi reading.</w:t>
      </w:r>
    </w:p>
    <w:p>
      <w:r>
        <w:rPr>
          <w:b/>
        </w:rPr>
        <w:t xml:space="preserve">Limitation: </w:t>
      </w:r>
      <w:r>
        <w:t>This is an inspection snapshot, not continuous pressure data. It does not establish the number of residents affected, frequency/duration of low pressure, or the current status in 2026.</w:t>
      </w:r>
    </w:p>
    <w:p>
      <w:pPr>
        <w:pStyle w:val="Heading2"/>
      </w:pPr>
      <w:r>
        <w:t>Dataset B — Cuba planned water and wastewater projects</w:t>
      </w:r>
    </w:p>
    <w:p>
      <w:r>
        <w:rPr>
          <w:b/>
        </w:rPr>
        <w:t xml:space="preserve">Source: </w:t>
      </w:r>
      <w:hyperlink r:id="rId12">
        <w:r>
          <w:rPr>
            <w:color w:val="0563C1"/>
            <w:u w:val="single"/>
          </w:rPr>
          <w:t>New Mexico DFA, FY 2026–2030 ICIP Project Summary — Municipalities (Cuba / entity code 29003, PDF page 49)</w:t>
        </w:r>
      </w:hyperlink>
    </w:p>
    <w:p>
      <w:r>
        <w:t>Values transcribed from the Cuba section. “Not yet funded” is the ICIP-listed amount, not a verified current balance.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pPr>
              <w:spacing w:after="0"/>
            </w:pPr>
            <w:r/>
            <w:r>
              <w:rPr>
                <w:rFonts w:ascii="Aptos" w:hAnsi="Aptos"/>
                <w:b/>
                <w:color w:val="FFFFFF"/>
                <w:sz w:val="16"/>
              </w:rPr>
              <w:t>Project (ICIP ID)</w:t>
            </w:r>
          </w:p>
        </w:tc>
        <w:tc>
          <w:tcPr>
            <w:tcW w:type="dxa" w:w="2556"/>
            <w:vAlign w:val="center"/>
            <w:shd w:fill="17365D"/>
          </w:tcPr>
          <w:p>
            <w:pPr>
              <w:spacing w:after="0"/>
            </w:pPr>
            <w:r/>
            <w:r>
              <w:rPr>
                <w:rFonts w:ascii="Aptos" w:hAnsi="Aptos"/>
                <w:b/>
                <w:color w:val="FFFFFF"/>
                <w:sz w:val="16"/>
              </w:rPr>
              <w:t>Planned total cost</w:t>
            </w:r>
          </w:p>
        </w:tc>
        <w:tc>
          <w:tcPr>
            <w:tcW w:type="dxa" w:w="2556"/>
            <w:vAlign w:val="center"/>
            <w:shd w:fill="17365D"/>
          </w:tcPr>
          <w:p>
            <w:pPr>
              <w:spacing w:after="0"/>
            </w:pPr>
            <w:r/>
            <w:r>
              <w:rPr>
                <w:rFonts w:ascii="Aptos" w:hAnsi="Aptos"/>
                <w:b/>
                <w:color w:val="FFFFFF"/>
                <w:sz w:val="16"/>
              </w:rPr>
              <w:t>Listed not yet funded</w:t>
            </w:r>
          </w:p>
        </w:tc>
        <w:tc>
          <w:tcPr>
            <w:tcW w:type="dxa" w:w="2556"/>
            <w:vAlign w:val="center"/>
            <w:shd w:fill="17365D"/>
          </w:tcPr>
          <w:p>
            <w:pPr>
              <w:spacing w:after="0"/>
            </w:pPr>
            <w:r/>
            <w:r>
              <w:rPr>
                <w:rFonts w:ascii="Aptos" w:hAnsi="Aptos"/>
                <w:b/>
                <w:color w:val="FFFFFF"/>
                <w:sz w:val="16"/>
              </w:rPr>
              <w:t>Category</w:t>
            </w:r>
          </w:p>
        </w:tc>
      </w:tr>
      <w:tr>
        <w:tc>
          <w:tcPr>
            <w:tcW w:type="dxa" w:w="2556"/>
            <w:vAlign w:val="center"/>
            <w:shd w:fill="EEF4F8"/>
          </w:tcPr>
          <w:p>
            <w:pPr>
              <w:spacing w:after="0"/>
            </w:pPr>
            <w:r/>
            <w:r>
              <w:rPr>
                <w:rFonts w:ascii="Aptos" w:hAnsi="Aptos"/>
                <w:b w:val="0"/>
                <w:sz w:val="15"/>
              </w:rPr>
              <w:t>Water Meter Replacement (31509)</w:t>
            </w:r>
          </w:p>
        </w:tc>
        <w:tc>
          <w:tcPr>
            <w:tcW w:type="dxa" w:w="2556"/>
            <w:vAlign w:val="center"/>
            <w:shd w:fill="EEF4F8"/>
          </w:tcPr>
          <w:p>
            <w:pPr>
              <w:spacing w:after="0"/>
            </w:pPr>
            <w:r/>
            <w:r>
              <w:rPr>
                <w:rFonts w:ascii="Aptos" w:hAnsi="Aptos"/>
                <w:b w:val="0"/>
                <w:sz w:val="15"/>
              </w:rPr>
              <w:t>$500,000</w:t>
            </w:r>
          </w:p>
        </w:tc>
        <w:tc>
          <w:tcPr>
            <w:tcW w:type="dxa" w:w="2556"/>
            <w:vAlign w:val="center"/>
            <w:shd w:fill="EEF4F8"/>
          </w:tcPr>
          <w:p>
            <w:pPr>
              <w:spacing w:after="0"/>
            </w:pPr>
            <w:r/>
            <w:r>
              <w:rPr>
                <w:rFonts w:ascii="Aptos" w:hAnsi="Aptos"/>
                <w:b w:val="0"/>
                <w:sz w:val="15"/>
              </w:rPr>
              <w:t>$500,000</w:t>
            </w:r>
          </w:p>
        </w:tc>
        <w:tc>
          <w:tcPr>
            <w:tcW w:type="dxa" w:w="2556"/>
            <w:vAlign w:val="center"/>
            <w:shd w:fill="EEF4F8"/>
          </w:tcPr>
          <w:p>
            <w:pPr>
              <w:spacing w:after="0"/>
            </w:pPr>
            <w:r/>
            <w:r>
              <w:rPr>
                <w:rFonts w:ascii="Aptos" w:hAnsi="Aptos"/>
                <w:b w:val="0"/>
                <w:sz w:val="15"/>
              </w:rPr>
              <w:t>Water</w:t>
            </w:r>
          </w:p>
        </w:tc>
      </w:tr>
      <w:tr>
        <w:tc>
          <w:tcPr>
            <w:tcW w:type="dxa" w:w="2556"/>
            <w:vAlign w:val="center"/>
          </w:tcPr>
          <w:p>
            <w:pPr>
              <w:spacing w:after="0"/>
            </w:pPr>
            <w:r/>
            <w:r>
              <w:rPr>
                <w:rFonts w:ascii="Aptos" w:hAnsi="Aptos"/>
                <w:b w:val="0"/>
                <w:sz w:val="15"/>
              </w:rPr>
              <w:t>Replace Existing Water Tank at La Loma Estates (35248)</w:t>
            </w:r>
          </w:p>
        </w:tc>
        <w:tc>
          <w:tcPr>
            <w:tcW w:type="dxa" w:w="2556"/>
            <w:vAlign w:val="center"/>
          </w:tcPr>
          <w:p>
            <w:pPr>
              <w:spacing w:after="0"/>
            </w:pPr>
            <w:r/>
            <w:r>
              <w:rPr>
                <w:rFonts w:ascii="Aptos" w:hAnsi="Aptos"/>
                <w:b w:val="0"/>
                <w:sz w:val="15"/>
              </w:rPr>
              <w:t>$7,608,000</w:t>
            </w:r>
          </w:p>
        </w:tc>
        <w:tc>
          <w:tcPr>
            <w:tcW w:type="dxa" w:w="2556"/>
            <w:vAlign w:val="center"/>
          </w:tcPr>
          <w:p>
            <w:pPr>
              <w:spacing w:after="0"/>
            </w:pPr>
            <w:r/>
            <w:r>
              <w:rPr>
                <w:rFonts w:ascii="Aptos" w:hAnsi="Aptos"/>
                <w:b w:val="0"/>
                <w:sz w:val="15"/>
              </w:rPr>
              <w:t>$3,804,000</w:t>
            </w:r>
          </w:p>
        </w:tc>
        <w:tc>
          <w:tcPr>
            <w:tcW w:type="dxa" w:w="2556"/>
            <w:vAlign w:val="center"/>
          </w:tcPr>
          <w:p>
            <w:pPr>
              <w:spacing w:after="0"/>
            </w:pPr>
            <w:r/>
            <w:r>
              <w:rPr>
                <w:rFonts w:ascii="Aptos" w:hAnsi="Aptos"/>
                <w:b w:val="0"/>
                <w:sz w:val="15"/>
              </w:rPr>
              <w:t>Water</w:t>
            </w:r>
          </w:p>
        </w:tc>
      </w:tr>
      <w:tr>
        <w:tc>
          <w:tcPr>
            <w:tcW w:type="dxa" w:w="2556"/>
            <w:vAlign w:val="center"/>
            <w:shd w:fill="EEF4F8"/>
          </w:tcPr>
          <w:p>
            <w:pPr>
              <w:spacing w:after="0"/>
            </w:pPr>
            <w:r/>
            <w:r>
              <w:rPr>
                <w:rFonts w:ascii="Aptos" w:hAnsi="Aptos"/>
                <w:b w:val="0"/>
                <w:sz w:val="15"/>
              </w:rPr>
              <w:t>Waterline Replacement: Treatment Plant to Hwy. 550 (28312)</w:t>
            </w:r>
          </w:p>
        </w:tc>
        <w:tc>
          <w:tcPr>
            <w:tcW w:type="dxa" w:w="2556"/>
            <w:vAlign w:val="center"/>
            <w:shd w:fill="EEF4F8"/>
          </w:tcPr>
          <w:p>
            <w:pPr>
              <w:spacing w:after="0"/>
            </w:pPr>
            <w:r/>
            <w:r>
              <w:rPr>
                <w:rFonts w:ascii="Aptos" w:hAnsi="Aptos"/>
                <w:b w:val="0"/>
                <w:sz w:val="15"/>
              </w:rPr>
              <w:t>$4,800,000</w:t>
            </w:r>
          </w:p>
        </w:tc>
        <w:tc>
          <w:tcPr>
            <w:tcW w:type="dxa" w:w="2556"/>
            <w:vAlign w:val="center"/>
            <w:shd w:fill="EEF4F8"/>
          </w:tcPr>
          <w:p>
            <w:pPr>
              <w:spacing w:after="0"/>
            </w:pPr>
            <w:r/>
            <w:r>
              <w:rPr>
                <w:rFonts w:ascii="Aptos" w:hAnsi="Aptos"/>
                <w:b w:val="0"/>
                <w:sz w:val="15"/>
              </w:rPr>
              <w:t>$100,000</w:t>
            </w:r>
          </w:p>
        </w:tc>
        <w:tc>
          <w:tcPr>
            <w:tcW w:type="dxa" w:w="2556"/>
            <w:vAlign w:val="center"/>
            <w:shd w:fill="EEF4F8"/>
          </w:tcPr>
          <w:p>
            <w:pPr>
              <w:spacing w:after="0"/>
            </w:pPr>
            <w:r/>
            <w:r>
              <w:rPr>
                <w:rFonts w:ascii="Aptos" w:hAnsi="Aptos"/>
                <w:b w:val="0"/>
                <w:sz w:val="15"/>
              </w:rPr>
              <w:t>Water</w:t>
            </w:r>
          </w:p>
        </w:tc>
      </w:tr>
      <w:tr>
        <w:tc>
          <w:tcPr>
            <w:tcW w:type="dxa" w:w="2556"/>
            <w:vAlign w:val="center"/>
          </w:tcPr>
          <w:p>
            <w:pPr>
              <w:spacing w:after="0"/>
            </w:pPr>
            <w:r/>
            <w:r>
              <w:rPr>
                <w:rFonts w:ascii="Aptos" w:hAnsi="Aptos"/>
                <w:b w:val="0"/>
                <w:sz w:val="15"/>
              </w:rPr>
              <w:t>Lift Station and Sewer Line Replacement (36007)</w:t>
            </w:r>
          </w:p>
        </w:tc>
        <w:tc>
          <w:tcPr>
            <w:tcW w:type="dxa" w:w="2556"/>
            <w:vAlign w:val="center"/>
          </w:tcPr>
          <w:p>
            <w:pPr>
              <w:spacing w:after="0"/>
            </w:pPr>
            <w:r/>
            <w:r>
              <w:rPr>
                <w:rFonts w:ascii="Aptos" w:hAnsi="Aptos"/>
                <w:b w:val="0"/>
                <w:sz w:val="15"/>
              </w:rPr>
              <w:t>$1,571,000</w:t>
            </w:r>
          </w:p>
        </w:tc>
        <w:tc>
          <w:tcPr>
            <w:tcW w:type="dxa" w:w="2556"/>
            <w:vAlign w:val="center"/>
          </w:tcPr>
          <w:p>
            <w:pPr>
              <w:spacing w:after="0"/>
            </w:pPr>
            <w:r/>
            <w:r>
              <w:rPr>
                <w:rFonts w:ascii="Aptos" w:hAnsi="Aptos"/>
                <w:b w:val="0"/>
                <w:sz w:val="15"/>
              </w:rPr>
              <w:t>$314,000</w:t>
            </w:r>
          </w:p>
        </w:tc>
        <w:tc>
          <w:tcPr>
            <w:tcW w:type="dxa" w:w="2556"/>
            <w:vAlign w:val="center"/>
          </w:tcPr>
          <w:p>
            <w:pPr>
              <w:spacing w:after="0"/>
            </w:pPr>
            <w:r/>
            <w:r>
              <w:rPr>
                <w:rFonts w:ascii="Aptos" w:hAnsi="Aptos"/>
                <w:b w:val="0"/>
                <w:sz w:val="15"/>
              </w:rPr>
              <w:t>Water / wastewater</w:t>
            </w:r>
          </w:p>
        </w:tc>
      </w:tr>
      <w:tr>
        <w:tc>
          <w:tcPr>
            <w:tcW w:type="dxa" w:w="2556"/>
            <w:vAlign w:val="center"/>
            <w:shd w:fill="EEF4F8"/>
          </w:tcPr>
          <w:p>
            <w:pPr>
              <w:spacing w:after="0"/>
            </w:pPr>
            <w:r/>
            <w:r>
              <w:rPr>
                <w:rFonts w:ascii="Aptos" w:hAnsi="Aptos"/>
                <w:b/>
                <w:sz w:val="15"/>
              </w:rPr>
              <w:t>TOTAL of these four projects</w:t>
            </w:r>
          </w:p>
        </w:tc>
        <w:tc>
          <w:tcPr>
            <w:tcW w:type="dxa" w:w="2556"/>
            <w:vAlign w:val="center"/>
            <w:shd w:fill="EEF4F8"/>
          </w:tcPr>
          <w:p>
            <w:pPr>
              <w:spacing w:after="0"/>
            </w:pPr>
            <w:r/>
            <w:r>
              <w:rPr>
                <w:rFonts w:ascii="Aptos" w:hAnsi="Aptos"/>
                <w:b/>
                <w:sz w:val="15"/>
              </w:rPr>
              <w:t>$14,479,000</w:t>
            </w:r>
          </w:p>
        </w:tc>
        <w:tc>
          <w:tcPr>
            <w:tcW w:type="dxa" w:w="2556"/>
            <w:vAlign w:val="center"/>
            <w:shd w:fill="EEF4F8"/>
          </w:tcPr>
          <w:p>
            <w:pPr>
              <w:spacing w:after="0"/>
            </w:pPr>
            <w:r/>
            <w:r>
              <w:rPr>
                <w:rFonts w:ascii="Aptos" w:hAnsi="Aptos"/>
                <w:b/>
                <w:sz w:val="15"/>
              </w:rPr>
              <w:t>$4,718,000</w:t>
            </w:r>
          </w:p>
        </w:tc>
        <w:tc>
          <w:tcPr>
            <w:tcW w:type="dxa" w:w="2556"/>
            <w:vAlign w:val="center"/>
            <w:shd w:fill="EEF4F8"/>
          </w:tcPr>
          <w:p>
            <w:pPr>
              <w:spacing w:after="0"/>
            </w:pPr>
            <w:r/>
            <w:r>
              <w:rPr>
                <w:rFonts w:ascii="Aptos" w:hAnsi="Aptos"/>
                <w:b/>
                <w:sz w:val="15"/>
              </w:rPr>
              <w:t>Calculated from rows above</w:t>
            </w:r>
          </w:p>
        </w:tc>
      </w:tr>
    </w:tbl>
    <w:p>
      <w:r>
        <w:rPr>
          <w:b/>
        </w:rPr>
        <w:t xml:space="preserve">Plot ideas: </w:t>
      </w:r>
      <w:r>
        <w:t>Bar chart of total planned cost; separate bar chart of listed unfunded amount. Use stacked bars only if funded-to-date values are verified.</w:t>
      </w:r>
    </w:p>
    <w:p>
      <w:r>
        <w:rPr>
          <w:b/>
        </w:rPr>
        <w:t xml:space="preserve">Caveats: </w:t>
      </w:r>
      <w:r>
        <w:t>The ICIP is a planning document, not a grant award or proof of construction. The full Cuba subtotal is $17.279 million across six projects and includes park/recreation items; do not label that entire subtotal as water-crisis spending. Verify updated project scopes, awards, and remaining gaps.</w:t>
      </w:r>
    </w:p>
    <w:p>
      <w:pPr>
        <w:pStyle w:val="Heading2"/>
      </w:pPr>
      <w:r>
        <w:t>Dataset C — La Loma tank project history and federal partnership</w:t>
      </w:r>
    </w:p>
    <w:p>
      <w:r>
        <w:rPr>
          <w:b/>
        </w:rPr>
        <w:t xml:space="preserve">Sources: </w:t>
      </w:r>
      <w:hyperlink r:id="rId13">
        <w:r>
          <w:rPr>
            <w:color w:val="0563C1"/>
            <w:u w:val="single"/>
          </w:rPr>
          <w:t>FY 2023–2027 ICIP project detail (earlier $2 million estimate)</w:t>
        </w:r>
      </w:hyperlink>
      <w:r>
        <w:t xml:space="preserve"> | </w:t>
      </w:r>
      <w:hyperlink r:id="rId14">
        <w:r>
          <w:rPr>
            <w:color w:val="0563C1"/>
            <w:u w:val="single"/>
          </w:rPr>
          <w:t>USACE / DVIDS announcement, April 1, 2025</w:t>
        </w:r>
      </w:hyperlink>
    </w:p>
    <w:p>
      <w:pPr>
        <w:pStyle w:val="ListBullet"/>
        <w:spacing w:after="40"/>
      </w:pPr>
      <w:r>
        <w:t>The earlier ICIP describes replacing the La Loma tank, purchasing property for a higher-elevation tank to address low pressure, and avoiding potential infrastructure failure and water loss affecting half of the system.</w:t>
      </w:r>
    </w:p>
    <w:p>
      <w:pPr>
        <w:pStyle w:val="ListBullet"/>
        <w:spacing w:after="40"/>
      </w:pPr>
      <w:r>
        <w:t>The April 1, 2025 USACE announcement describes a $2 million project, with a 75% federal / 25% Village cost share. It describes phase two as construction of a new 450,000-gallon tank once phase-two funding is secured, and forecast construction from May through October 2026.</w:t>
      </w:r>
    </w:p>
    <w:p>
      <w:r>
        <w:rPr>
          <w:b/>
        </w:rPr>
        <w:t xml:space="preserve">Plot/comparison idea: </w:t>
      </w:r>
      <w:r>
        <w:t>Show the earlier $2 million estimate, the USACE announcement, and the later $7.608 million ICIP listing as a project-history graphic. Do not portray this as a simple cost overrun; scopes, phases, and funding assumptions may differ.</w:t>
      </w:r>
    </w:p>
    <w:p>
      <w:r>
        <w:rPr>
          <w:b/>
        </w:rPr>
        <w:t xml:space="preserve">Must verify: </w:t>
      </w:r>
      <w:r>
        <w:t>The forecast construction window has passed or is ending as of October 2026. Ask the Village/USACE for actual construction status, final scope, funding secured, and current cost before claiming the tank is unfinished or that $3.804 million remains unfunded.</w:t>
      </w:r>
    </w:p>
    <w:p>
      <w:pPr>
        <w:pStyle w:val="Heading2"/>
      </w:pPr>
      <w:r>
        <w:t>Dataset D — Water-system assistance and regulatory-action history</w:t>
      </w:r>
    </w:p>
    <w:p>
      <w:r>
        <w:rPr>
          <w:b/>
        </w:rPr>
        <w:t xml:space="preserve">Source: </w:t>
      </w:r>
      <w:hyperlink r:id="rId15">
        <w:r>
          <w:rPr>
            <w:color w:val="0563C1"/>
            <w:u w:val="single"/>
          </w:rPr>
          <w:t>NMED Drinking Water Watch — Cuba Water System (NM3509023)</w:t>
        </w:r>
      </w:hyperlink>
    </w:p>
    <w:p>
      <w:pPr>
        <w:pStyle w:val="ListBullet"/>
        <w:spacing w:after="40"/>
      </w:pPr>
      <w:r>
        <w:t>The record identifies Cuba Water System as a groundwater-sourced system in Sandoval County.</w:t>
      </w:r>
    </w:p>
    <w:p>
      <w:pPr>
        <w:pStyle w:val="ListBullet"/>
        <w:spacing w:after="40"/>
      </w:pPr>
      <w:r>
        <w:t>The action history includes technical/funding assistance entries in 2022–2023, an engineering evaluation/plan review dated September 22, 2025, and environmental assessment entries in February 2026.</w:t>
      </w:r>
    </w:p>
    <w:p>
      <w:r>
        <w:rPr>
          <w:b/>
        </w:rPr>
        <w:t xml:space="preserve">Plot idea: </w:t>
      </w:r>
      <w:r>
        <w:t>A timeline of recorded assistance and engineering actions, with action type and date as separate fields.</w:t>
      </w:r>
    </w:p>
    <w:p>
      <w:r>
        <w:rPr>
          <w:b/>
        </w:rPr>
        <w:t xml:space="preserve">Limitation: </w:t>
      </w:r>
      <w:r>
        <w:t>An assistance/review entry does not prove that money was awarded, construction completed, or a deficiency corrected. Obtain final engineering documents, award notices, closeout records, and current compliance status to evaluate outcomes.</w:t>
      </w:r>
    </w:p>
    <w:p>
      <w:pPr>
        <w:pStyle w:val="Heading1"/>
      </w:pPr>
      <w:r>
        <w:t>2. Official funding-program sources</w:t>
      </w:r>
    </w:p>
    <w:p>
      <w:pPr>
        <w:pStyle w:val="ListBullet"/>
      </w:pPr>
      <w:hyperlink r:id="rId16">
        <w:r>
          <w:rPr>
            <w:color w:val="0563C1"/>
            <w:u w:val="single"/>
          </w:rPr>
          <w:t>New Mexico Finance Authority — Drinking Water State Revolving Loan Fund</w:t>
        </w:r>
      </w:hyperlink>
      <w:r>
        <w:t xml:space="preserve"> — Potential financing for eligible public water-system infrastructure and planning/design. Confirm applicant eligibility, priority-list status, current terms, and possible subsidies.</w:t>
      </w:r>
    </w:p>
    <w:p>
      <w:pPr>
        <w:pStyle w:val="ListBullet"/>
      </w:pPr>
      <w:hyperlink r:id="rId17">
        <w:r>
          <w:rPr>
            <w:color w:val="0563C1"/>
            <w:u w:val="single"/>
          </w:rPr>
          <w:t>New Mexico Environment Department — Funding Opportunities / Rural Infrastructure Program</w:t>
        </w:r>
      </w:hyperlink>
      <w:r>
        <w:t xml:space="preserve"> — Potential low-interest financing for eligible rural water/wastewater infrastructure. Confirm current requirements and project eligibility.</w:t>
      </w:r>
    </w:p>
    <w:p>
      <w:pPr>
        <w:pStyle w:val="ListBullet"/>
      </w:pPr>
      <w:hyperlink r:id="rId18">
        <w:r>
          <w:rPr>
            <w:color w:val="0563C1"/>
            <w:u w:val="single"/>
          </w:rPr>
          <w:t>USDA Rural Development — Water &amp; Waste Disposal Loan &amp; Grant Program (New Mexico)</w:t>
        </w:r>
      </w:hyperlink>
      <w:r>
        <w:t xml:space="preserve"> — Potential federal financing for eligible rural water/wastewater systems. Confirm the appropriate applicant and legal authority to build, operate, and maintain facilities.</w:t>
      </w:r>
    </w:p>
    <w:p>
      <w:r>
        <w:rPr>
          <w:b/>
        </w:rPr>
        <w:t xml:space="preserve">Organizational implication: </w:t>
      </w:r>
      <w:r>
        <w:t>A new fundraising organization may raise or coordinate funds, but should not assume it can directly apply for every infrastructure program. The Village or legally responsible water-system entity may need to be the applicant, owner, or partner.</w:t>
      </w:r>
    </w:p>
    <w:p>
      <w:pPr>
        <w:pStyle w:val="Heading1"/>
      </w:pPr>
      <w:r>
        <w:t>3. Missing datasets to request from the Village/operator</w:t>
      </w:r>
    </w:p>
    <w:p>
      <w:r>
        <w:t>These are recommended requests, not datasets already obtained or confirmed publicly available.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6"/>
              </w:rPr>
              <w:t>Request</w:t>
            </w:r>
          </w:p>
        </w:tc>
        <w:tc>
          <w:tcPr>
            <w:tcW w:type="dxa" w:w="3408"/>
            <w:vAlign w:val="center"/>
            <w:shd w:fill="17365D"/>
          </w:tcPr>
          <w:p>
            <w:pPr>
              <w:spacing w:after="0"/>
            </w:pPr>
            <w:r/>
            <w:r>
              <w:rPr>
                <w:rFonts w:ascii="Aptos" w:hAnsi="Aptos"/>
                <w:b/>
                <w:color w:val="FFFFFF"/>
                <w:sz w:val="16"/>
              </w:rPr>
              <w:t>Fields to request</w:t>
            </w:r>
          </w:p>
        </w:tc>
        <w:tc>
          <w:tcPr>
            <w:tcW w:type="dxa" w:w="3408"/>
            <w:vAlign w:val="center"/>
            <w:shd w:fill="17365D"/>
          </w:tcPr>
          <w:p>
            <w:pPr>
              <w:spacing w:after="0"/>
            </w:pPr>
            <w:r/>
            <w:r>
              <w:rPr>
                <w:rFonts w:ascii="Aptos" w:hAnsi="Aptos"/>
                <w:b/>
                <w:color w:val="FFFFFF"/>
                <w:sz w:val="16"/>
              </w:rPr>
              <w:t>Why / possible plot</w:t>
            </w:r>
          </w:p>
        </w:tc>
      </w:tr>
      <w:tr>
        <w:tc>
          <w:tcPr>
            <w:tcW w:type="dxa" w:w="3408"/>
            <w:vAlign w:val="center"/>
            <w:shd w:fill="EEF4F8"/>
          </w:tcPr>
          <w:p>
            <w:pPr>
              <w:spacing w:after="0"/>
            </w:pPr>
            <w:r/>
            <w:r>
              <w:rPr>
                <w:rFonts w:ascii="Aptos" w:hAnsi="Aptos"/>
                <w:b w:val="0"/>
                <w:sz w:val="15"/>
              </w:rPr>
              <w:t>Pressure readings</w:t>
            </w:r>
          </w:p>
        </w:tc>
        <w:tc>
          <w:tcPr>
            <w:tcW w:type="dxa" w:w="3408"/>
            <w:vAlign w:val="center"/>
            <w:shd w:fill="EEF4F8"/>
          </w:tcPr>
          <w:p>
            <w:pPr>
              <w:spacing w:after="0"/>
            </w:pPr>
            <w:r/>
            <w:r>
              <w:rPr>
                <w:rFonts w:ascii="Aptos" w:hAnsi="Aptos"/>
                <w:b w:val="0"/>
                <w:sz w:val="15"/>
              </w:rPr>
              <w:t>Date/time, location, psi, applicable standard, corrective action</w:t>
            </w:r>
          </w:p>
        </w:tc>
        <w:tc>
          <w:tcPr>
            <w:tcW w:type="dxa" w:w="3408"/>
            <w:vAlign w:val="center"/>
            <w:shd w:fill="EEF4F8"/>
          </w:tcPr>
          <w:p>
            <w:pPr>
              <w:spacing w:after="0"/>
            </w:pPr>
            <w:r/>
            <w:r>
              <w:rPr>
                <w:rFonts w:ascii="Aptos" w:hAnsi="Aptos"/>
                <w:b w:val="0"/>
                <w:sz w:val="15"/>
              </w:rPr>
              <w:t>Pressure by location/date; test whether low pressure persists.</w:t>
            </w:r>
          </w:p>
        </w:tc>
      </w:tr>
      <w:tr>
        <w:tc>
          <w:tcPr>
            <w:tcW w:type="dxa" w:w="3408"/>
            <w:vAlign w:val="center"/>
          </w:tcPr>
          <w:p>
            <w:pPr>
              <w:spacing w:after="0"/>
            </w:pPr>
            <w:r/>
            <w:r>
              <w:rPr>
                <w:rFonts w:ascii="Aptos" w:hAnsi="Aptos"/>
                <w:b w:val="0"/>
                <w:sz w:val="15"/>
              </w:rPr>
              <w:t>Outages / interruptions</w:t>
            </w:r>
          </w:p>
        </w:tc>
        <w:tc>
          <w:tcPr>
            <w:tcW w:type="dxa" w:w="3408"/>
            <w:vAlign w:val="center"/>
          </w:tcPr>
          <w:p>
            <w:pPr>
              <w:spacing w:after="0"/>
            </w:pPr>
            <w:r/>
            <w:r>
              <w:rPr>
                <w:rFonts w:ascii="Aptos" w:hAnsi="Aptos"/>
                <w:b w:val="0"/>
                <w:sz w:val="15"/>
              </w:rPr>
              <w:t>Date, duration, affected area/connections, cause</w:t>
            </w:r>
          </w:p>
        </w:tc>
        <w:tc>
          <w:tcPr>
            <w:tcW w:type="dxa" w:w="3408"/>
            <w:vAlign w:val="center"/>
          </w:tcPr>
          <w:p>
            <w:pPr>
              <w:spacing w:after="0"/>
            </w:pPr>
            <w:r/>
            <w:r>
              <w:rPr>
                <w:rFonts w:ascii="Aptos" w:hAnsi="Aptos"/>
                <w:b w:val="0"/>
                <w:sz w:val="15"/>
              </w:rPr>
              <w:t>Outages per year and total interruption hours.</w:t>
            </w:r>
          </w:p>
        </w:tc>
      </w:tr>
      <w:tr>
        <w:tc>
          <w:tcPr>
            <w:tcW w:type="dxa" w:w="3408"/>
            <w:vAlign w:val="center"/>
            <w:shd w:fill="EEF4F8"/>
          </w:tcPr>
          <w:p>
            <w:pPr>
              <w:spacing w:after="0"/>
            </w:pPr>
            <w:r/>
            <w:r>
              <w:rPr>
                <w:rFonts w:ascii="Aptos" w:hAnsi="Aptos"/>
                <w:b w:val="0"/>
                <w:sz w:val="15"/>
              </w:rPr>
              <w:t>Production / consumption</w:t>
            </w:r>
          </w:p>
        </w:tc>
        <w:tc>
          <w:tcPr>
            <w:tcW w:type="dxa" w:w="3408"/>
            <w:vAlign w:val="center"/>
            <w:shd w:fill="EEF4F8"/>
          </w:tcPr>
          <w:p>
            <w:pPr>
              <w:spacing w:after="0"/>
            </w:pPr>
            <w:r/>
            <w:r>
              <w:rPr>
                <w:rFonts w:ascii="Aptos" w:hAnsi="Aptos"/>
                <w:b w:val="0"/>
                <w:sz w:val="15"/>
              </w:rPr>
              <w:t>Monthly water produced or purchased, billed consumption, units, water audit if available</w:t>
            </w:r>
          </w:p>
        </w:tc>
        <w:tc>
          <w:tcPr>
            <w:tcW w:type="dxa" w:w="3408"/>
            <w:vAlign w:val="center"/>
            <w:shd w:fill="EEF4F8"/>
          </w:tcPr>
          <w:p>
            <w:pPr>
              <w:spacing w:after="0"/>
            </w:pPr>
            <w:r/>
            <w:r>
              <w:rPr>
                <w:rFonts w:ascii="Aptos" w:hAnsi="Aptos"/>
                <w:b w:val="0"/>
                <w:sz w:val="15"/>
              </w:rPr>
              <w:t>Production vs. billed consumption; quantify loss only with proper audit definitions.</w:t>
            </w:r>
          </w:p>
        </w:tc>
      </w:tr>
      <w:tr>
        <w:tc>
          <w:tcPr>
            <w:tcW w:type="dxa" w:w="3408"/>
            <w:vAlign w:val="center"/>
          </w:tcPr>
          <w:p>
            <w:pPr>
              <w:spacing w:after="0"/>
            </w:pPr>
            <w:r/>
            <w:r>
              <w:rPr>
                <w:rFonts w:ascii="Aptos" w:hAnsi="Aptos"/>
                <w:b w:val="0"/>
                <w:sz w:val="15"/>
              </w:rPr>
              <w:t>Project funding ledger</w:t>
            </w:r>
          </w:p>
        </w:tc>
        <w:tc>
          <w:tcPr>
            <w:tcW w:type="dxa" w:w="3408"/>
            <w:vAlign w:val="center"/>
          </w:tcPr>
          <w:p>
            <w:pPr>
              <w:spacing w:after="0"/>
            </w:pPr>
            <w:r/>
            <w:r>
              <w:rPr>
                <w:rFonts w:ascii="Aptos" w:hAnsi="Aptos"/>
                <w:b w:val="0"/>
                <w:sz w:val="15"/>
              </w:rPr>
              <w:t>Original/revised cost, awards, agreements, funds received, expenditures, balance, dates</w:t>
            </w:r>
          </w:p>
        </w:tc>
        <w:tc>
          <w:tcPr>
            <w:tcW w:type="dxa" w:w="3408"/>
            <w:vAlign w:val="center"/>
          </w:tcPr>
          <w:p>
            <w:pPr>
              <w:spacing w:after="0"/>
            </w:pPr>
            <w:r/>
            <w:r>
              <w:rPr>
                <w:rFonts w:ascii="Aptos" w:hAnsi="Aptos"/>
                <w:b w:val="0"/>
                <w:sz w:val="15"/>
              </w:rPr>
              <w:t>Verified funded/unfunded balance over time.</w:t>
            </w:r>
          </w:p>
        </w:tc>
      </w:tr>
      <w:tr>
        <w:tc>
          <w:tcPr>
            <w:tcW w:type="dxa" w:w="3408"/>
            <w:vAlign w:val="center"/>
            <w:shd w:fill="EEF4F8"/>
          </w:tcPr>
          <w:p>
            <w:pPr>
              <w:spacing w:after="0"/>
            </w:pPr>
            <w:r/>
            <w:r>
              <w:rPr>
                <w:rFonts w:ascii="Aptos" w:hAnsi="Aptos"/>
                <w:b w:val="0"/>
                <w:sz w:val="15"/>
              </w:rPr>
              <w:t>Corrective-action log</w:t>
            </w:r>
          </w:p>
        </w:tc>
        <w:tc>
          <w:tcPr>
            <w:tcW w:type="dxa" w:w="3408"/>
            <w:vAlign w:val="center"/>
            <w:shd w:fill="EEF4F8"/>
          </w:tcPr>
          <w:p>
            <w:pPr>
              <w:spacing w:after="0"/>
            </w:pPr>
            <w:r/>
            <w:r>
              <w:rPr>
                <w:rFonts w:ascii="Aptos" w:hAnsi="Aptos"/>
                <w:b w:val="0"/>
                <w:sz w:val="15"/>
              </w:rPr>
              <w:t>Deficiency, date identified, action, verification date, current status</w:t>
            </w:r>
          </w:p>
        </w:tc>
        <w:tc>
          <w:tcPr>
            <w:tcW w:type="dxa" w:w="3408"/>
            <w:vAlign w:val="center"/>
            <w:shd w:fill="EEF4F8"/>
          </w:tcPr>
          <w:p>
            <w:pPr>
              <w:spacing w:after="0"/>
            </w:pPr>
            <w:r/>
            <w:r>
              <w:rPr>
                <w:rFonts w:ascii="Aptos" w:hAnsi="Aptos"/>
                <w:b w:val="0"/>
                <w:sz w:val="15"/>
              </w:rPr>
              <w:t>Open vs. corrected deficiencies over time.</w:t>
            </w:r>
          </w:p>
        </w:tc>
      </w:tr>
      <w:tr>
        <w:tc>
          <w:tcPr>
            <w:tcW w:type="dxa" w:w="3408"/>
            <w:vAlign w:val="center"/>
          </w:tcPr>
          <w:p>
            <w:pPr>
              <w:spacing w:after="0"/>
            </w:pPr>
            <w:r/>
            <w:r>
              <w:rPr>
                <w:rFonts w:ascii="Aptos" w:hAnsi="Aptos"/>
                <w:b w:val="0"/>
                <w:sz w:val="15"/>
              </w:rPr>
              <w:t>Operating finances</w:t>
            </w:r>
          </w:p>
        </w:tc>
        <w:tc>
          <w:tcPr>
            <w:tcW w:type="dxa" w:w="3408"/>
            <w:vAlign w:val="center"/>
          </w:tcPr>
          <w:p>
            <w:pPr>
              <w:spacing w:after="0"/>
            </w:pPr>
            <w:r/>
            <w:r>
              <w:rPr>
                <w:rFonts w:ascii="Aptos" w:hAnsi="Aptos"/>
                <w:b w:val="0"/>
                <w:sz w:val="15"/>
              </w:rPr>
              <w:t>Annual water revenue, operating/maintenance costs, meter revenue, debt service if shareable</w:t>
            </w:r>
          </w:p>
        </w:tc>
        <w:tc>
          <w:tcPr>
            <w:tcW w:type="dxa" w:w="3408"/>
            <w:vAlign w:val="center"/>
          </w:tcPr>
          <w:p>
            <w:pPr>
              <w:spacing w:after="0"/>
            </w:pPr>
            <w:r/>
            <w:r>
              <w:rPr>
                <w:rFonts w:ascii="Aptos" w:hAnsi="Aptos"/>
                <w:b w:val="0"/>
                <w:sz w:val="15"/>
              </w:rPr>
              <w:t>Assess financial constraints and project sustainability.</w:t>
            </w:r>
          </w:p>
        </w:tc>
      </w:tr>
      <w:tr>
        <w:tc>
          <w:tcPr>
            <w:tcW w:type="dxa" w:w="3408"/>
            <w:vAlign w:val="center"/>
            <w:shd w:fill="EEF4F8"/>
          </w:tcPr>
          <w:p>
            <w:pPr>
              <w:spacing w:after="0"/>
            </w:pPr>
            <w:r/>
            <w:r>
              <w:rPr>
                <w:rFonts w:ascii="Aptos" w:hAnsi="Aptos"/>
                <w:b w:val="0"/>
                <w:sz w:val="15"/>
              </w:rPr>
              <w:t>Tank project status</w:t>
            </w:r>
          </w:p>
        </w:tc>
        <w:tc>
          <w:tcPr>
            <w:tcW w:type="dxa" w:w="3408"/>
            <w:vAlign w:val="center"/>
            <w:shd w:fill="EEF4F8"/>
          </w:tcPr>
          <w:p>
            <w:pPr>
              <w:spacing w:after="0"/>
            </w:pPr>
            <w:r/>
            <w:r>
              <w:rPr>
                <w:rFonts w:ascii="Aptos" w:hAnsi="Aptos"/>
                <w:b w:val="0"/>
                <w:sz w:val="15"/>
              </w:rPr>
              <w:t>Design/construction milestones, contract amount, change orders, funds secured, completion/closeout</w:t>
            </w:r>
          </w:p>
        </w:tc>
        <w:tc>
          <w:tcPr>
            <w:tcW w:type="dxa" w:w="3408"/>
            <w:vAlign w:val="center"/>
            <w:shd w:fill="EEF4F8"/>
          </w:tcPr>
          <w:p>
            <w:pPr>
              <w:spacing w:after="0"/>
            </w:pPr>
            <w:r/>
            <w:r>
              <w:rPr>
                <w:rFonts w:ascii="Aptos" w:hAnsi="Aptos"/>
                <w:b w:val="0"/>
                <w:sz w:val="15"/>
              </w:rPr>
              <w:t>Verify actual status and reconcile cost figures.</w:t>
            </w:r>
          </w:p>
        </w:tc>
      </w:tr>
    </w:tbl>
    <w:p>
      <w:pPr>
        <w:pStyle w:val="Heading1"/>
      </w:pPr>
      <w:r>
        <w:t>4. Recommended figures for the abstract/presentation</w:t>
      </w:r>
    </w:p>
    <w:p>
      <w:pPr>
        <w:pStyle w:val="ListBullet"/>
        <w:spacing w:after="40"/>
      </w:pPr>
      <w:r>
        <w:t>Figure 1 — Local compliance timeline: 2021 survey, December 2021 notice of violation, August 2024 survey and 20 psi reading. Make dates prominent.</w:t>
      </w:r>
    </w:p>
    <w:p>
      <w:pPr>
        <w:pStyle w:val="ListBullet"/>
        <w:spacing w:after="40"/>
      </w:pPr>
      <w:r>
        <w:t>Figure 2 — Planned costs and listed unfunded amounts for the four water/wastewater projects in the FY 2026–2030 ICIP. Label these as planning-record values.</w:t>
      </w:r>
    </w:p>
    <w:p>
      <w:pPr>
        <w:pStyle w:val="ListBullet"/>
        <w:spacing w:after="40"/>
      </w:pPr>
      <w:r>
        <w:t>Figure 3 — La Loma tank project history: earlier ICIP estimate, USACE cost-share announcement, and later ICIP listing. Explain that scope and accounting may differ.</w:t>
      </w:r>
    </w:p>
    <w:p>
      <w:pPr>
        <w:pStyle w:val="ListBullet"/>
        <w:spacing w:after="40"/>
      </w:pPr>
      <w:r>
        <w:t>Optional Figure 4 — Drinking Water Watch assistance-action timeline. It documents recorded process activity, not successful outcomes.</w:t>
      </w:r>
    </w:p>
    <w:p>
      <w:pPr>
        <w:pStyle w:val="Heading1"/>
      </w:pPr>
      <w:r>
        <w:t>5. Claims safe to make now</w:t>
      </w:r>
    </w:p>
    <w:p>
      <w:pPr>
        <w:pStyle w:val="ListBullet"/>
        <w:spacing w:after="40"/>
      </w:pPr>
      <w:r>
        <w:t>NMED’s August 2024 sanitary survey documented a 20 psi reading in an affected area and described the low-pressure deficiency as unresolved on that survey date.</w:t>
      </w:r>
    </w:p>
    <w:p>
      <w:pPr>
        <w:pStyle w:val="ListBullet"/>
        <w:spacing w:after="40"/>
      </w:pPr>
      <w:r>
        <w:t>The FY 2026–2030 ICIP lists four Cuba water/wastewater projects with a combined planned cost of $14.479 million and $4.718 million listed as not yet funded in that planning record.</w:t>
      </w:r>
    </w:p>
    <w:p>
      <w:pPr>
        <w:pStyle w:val="ListBullet"/>
        <w:spacing w:after="40"/>
      </w:pPr>
      <w:r>
        <w:t>Official records document assistance and engineering-review activity for the Cuba Water System; those entries alone do not establish completion or successful remediation.</w:t>
      </w:r>
    </w:p>
    <w:p>
      <w:pPr>
        <w:pStyle w:val="ListBullet"/>
        <w:spacing w:after="40"/>
      </w:pPr>
      <w:r>
        <w:t>USACE announced a $2 million, 75% federal / 25% Village cost-share water-storage project in April 2025; actual status and current cost should be verified.</w:t>
      </w:r>
    </w:p>
    <w:p>
      <w:pPr>
        <w:pStyle w:val="Heading2"/>
      </w:pPr>
      <w:r>
        <w:t>Claims to avoid until verified</w:t>
      </w:r>
    </w:p>
    <w:p>
      <w:pPr>
        <w:pStyle w:val="ListBullet"/>
        <w:spacing w:after="40"/>
      </w:pPr>
      <w:r>
        <w:t>“The pressure problem is still unresolved in 2026.” The evidence here establishes status only on August 21, 2024.</w:t>
      </w:r>
    </w:p>
    <w:p>
      <w:pPr>
        <w:pStyle w:val="ListBullet"/>
        <w:spacing w:after="40"/>
      </w:pPr>
      <w:r>
        <w:t>“Cuba currently has a $4.718 million water funding gap.” That figure is the total listed in an ICIP record, not a verified current balance.</w:t>
      </w:r>
    </w:p>
    <w:p>
      <w:pPr>
        <w:pStyle w:val="ListBullet"/>
        <w:spacing w:after="40"/>
      </w:pPr>
      <w:r>
        <w:t>“The tank project failed” or “the cost rose from $2 million to $7.608 million because of overruns.” Different records may reflect different scopes, phases, and funding assumptions.</w:t>
      </w:r>
    </w:p>
    <w:p>
      <w:pPr>
        <w:pStyle w:val="ListBullet"/>
        <w:spacing w:after="40"/>
      </w:pPr>
      <w:r>
        <w:t>“All $17.279 million in Cuba’s ICIP is water-crisis spending.” The six-project subtotal includes park/recreation items.</w:t>
      </w:r>
    </w:p>
    <w:p>
      <w:pPr>
        <w:pStyle w:val="ListBullet"/>
        <w:spacing w:after="40"/>
      </w:pPr>
      <w:r>
        <w:t>“Technical assistance did not work.” An action record is not enough to determine outcome.</w:t>
      </w:r>
    </w:p>
    <w:p>
      <w:pPr>
        <w:pStyle w:val="Heading1"/>
      </w:pPr>
      <w:r>
        <w:t>6. Source register</w:t>
      </w:r>
    </w:p>
    <w:p>
      <w:pPr>
        <w:spacing w:after="60"/>
      </w:pPr>
      <w:r>
        <w:t xml:space="preserve">1. NMED Drinking Water Bureau, Cuba Water System Sanitary Survey, survey date August 21, 2024. </w:t>
      </w:r>
      <w:hyperlink r:id="rId11">
        <w:r>
          <w:rPr>
            <w:color w:val="0563C1"/>
            <w:u w:val="single"/>
          </w:rPr>
          <w:t>Open source</w:t>
        </w:r>
      </w:hyperlink>
    </w:p>
    <w:p>
      <w:pPr>
        <w:spacing w:after="60"/>
      </w:pPr>
      <w:r>
        <w:t xml:space="preserve">2. New Mexico DFA, FY 2026–2030 ICIP Project Summary — Municipalities, Cuba / entity code 29003, PDF page 49. </w:t>
      </w:r>
      <w:hyperlink r:id="rId12">
        <w:r>
          <w:rPr>
            <w:color w:val="0563C1"/>
            <w:u w:val="single"/>
          </w:rPr>
          <w:t>Open source</w:t>
        </w:r>
      </w:hyperlink>
    </w:p>
    <w:p>
      <w:pPr>
        <w:spacing w:after="60"/>
      </w:pPr>
      <w:r>
        <w:t xml:space="preserve">3. New Mexico DFA, FY 2023–2027 ICIP Project Detail — Municipalities A–D, La Loma tank project. </w:t>
      </w:r>
      <w:hyperlink r:id="rId13">
        <w:r>
          <w:rPr>
            <w:color w:val="0563C1"/>
            <w:u w:val="single"/>
          </w:rPr>
          <w:t>Open source</w:t>
        </w:r>
      </w:hyperlink>
    </w:p>
    <w:p>
      <w:pPr>
        <w:spacing w:after="60"/>
      </w:pPr>
      <w:r>
        <w:t xml:space="preserve">4. U.S. Army Corps of Engineers / DVIDS, “USACE-Albuquerque District, Village of Cuba, N.M., sign agreement for new water storage project,” April 1, 2025. </w:t>
      </w:r>
      <w:hyperlink r:id="rId14">
        <w:r>
          <w:rPr>
            <w:color w:val="0563C1"/>
            <w:u w:val="single"/>
          </w:rPr>
          <w:t>Open source</w:t>
        </w:r>
      </w:hyperlink>
    </w:p>
    <w:p>
      <w:pPr>
        <w:spacing w:after="60"/>
      </w:pPr>
      <w:r>
        <w:t xml:space="preserve">5. NMED Drinking Water Watch, Cuba Water System, system ID NM3509023. </w:t>
      </w:r>
      <w:hyperlink r:id="rId15">
        <w:r>
          <w:rPr>
            <w:color w:val="0563C1"/>
            <w:u w:val="single"/>
          </w:rPr>
          <w:t>Open source</w:t>
        </w:r>
      </w:hyperlink>
    </w:p>
    <w:p>
      <w:pPr>
        <w:spacing w:after="60"/>
      </w:pPr>
      <w:r>
        <w:t xml:space="preserve">6. New Mexico Finance Authority, Drinking Water State Revolving Loan Fund. </w:t>
      </w:r>
      <w:hyperlink r:id="rId16">
        <w:r>
          <w:rPr>
            <w:color w:val="0563C1"/>
            <w:u w:val="single"/>
          </w:rPr>
          <w:t>Open source</w:t>
        </w:r>
      </w:hyperlink>
    </w:p>
    <w:p>
      <w:pPr>
        <w:spacing w:after="60"/>
      </w:pPr>
      <w:r>
        <w:t xml:space="preserve">7. NMED, Funding Opportunities / Rural Infrastructure Program. </w:t>
      </w:r>
      <w:hyperlink r:id="rId17">
        <w:r>
          <w:rPr>
            <w:color w:val="0563C1"/>
            <w:u w:val="single"/>
          </w:rPr>
          <w:t>Open source</w:t>
        </w:r>
      </w:hyperlink>
    </w:p>
    <w:p>
      <w:pPr>
        <w:spacing w:after="60"/>
      </w:pPr>
      <w:r>
        <w:t xml:space="preserve">8. USDA Rural Development, Water &amp; Waste Disposal Loan &amp; Grant Program — New Mexico. </w:t>
      </w:r>
      <w:hyperlink r:id="rId18">
        <w:r>
          <w:rPr>
            <w:color w:val="0563C1"/>
            <w:u w:val="single"/>
          </w:rPr>
          <w:t>Open source</w:t>
        </w:r>
      </w:hyperlink>
    </w:p>
    <w:p>
      <w:pPr>
        <w:spacing w:after="60"/>
      </w:pPr>
      <w:r>
        <w:t xml:space="preserve">9. New Mexico DFA, ICIP overview; explains ICIP is a planning tool, not a funding source. </w:t>
      </w:r>
      <w:hyperlink r:id="rId19">
        <w:r>
          <w:rPr>
            <w:color w:val="0563C1"/>
            <w:u w:val="single"/>
          </w:rPr>
          <w:t>Open source</w:t>
        </w:r>
      </w:hyperlink>
    </w:p>
    <w:p>
      <w:pPr>
        <w:pStyle w:val="Heading1"/>
      </w:pPr>
      <w:r>
        <w:t>Final note for the group leader</w:t>
      </w:r>
    </w:p>
    <w:p>
      <w:r>
        <w:t>The most valuable next step is to request from the Village/operator a current project-status and funding ledger, post-2024 pressure/compliance updates, and the La Loma tank project’s actual construction/closeout status. Those records would turn this initial evidence packet into a current, outcome-oriented case for fundraising.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project-group research and abstract development • Reviewed October 8,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CUBA, NEW MEXICO | LOCAL WATER-SYSTEM DATA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ubanm.gov/wp-content/uploads/2025/04/Water-Quality-Report_09202024.pdf" TargetMode="External"/><Relationship Id="rId12" Type="http://schemas.openxmlformats.org/officeDocument/2006/relationships/hyperlink" Target="https://www.nmdfa.state.nm.us/wp-content/uploads/2026/05/FY2026-2030-Project-Summary-Municipalities.pdf" TargetMode="External"/><Relationship Id="rId13" Type="http://schemas.openxmlformats.org/officeDocument/2006/relationships/hyperlink" Target="https://www.nmdfa.state.nm.us/wp-content/uploads/2021/12/FY2023-2027-Project-Detail-Municipalities-A-D.pdf" TargetMode="External"/><Relationship Id="rId14" Type="http://schemas.openxmlformats.org/officeDocument/2006/relationships/hyperlink" Target="https://www.dvidshub.net/news/494274/usace-albuquerque-district-village-cuba-nm-sign-agreement-new-water-storage-project" TargetMode="External"/><Relationship Id="rId15" Type="http://schemas.openxmlformats.org/officeDocument/2006/relationships/hyperlink" Target="https://dww.water.env.nm.gov/JSP/AssistActBySys.jsp?tinwsys_is_number=454&amp;tinwsys_st_code=NM" TargetMode="External"/><Relationship Id="rId16" Type="http://schemas.openxmlformats.org/officeDocument/2006/relationships/hyperlink" Target="https://www.nmfinance.com/water-project-fund/drinking-water-state-revolving-loan-fund/" TargetMode="External"/><Relationship Id="rId17" Type="http://schemas.openxmlformats.org/officeDocument/2006/relationships/hyperlink" Target="https://www.env.nm.gov/funding-opportunities/" TargetMode="External"/><Relationship Id="rId18" Type="http://schemas.openxmlformats.org/officeDocument/2006/relationships/hyperlink" Target="https://www.rd.usda.gov/programs-services/water-environmental-programs/water-waste-disposal-loan-grant-program-10" TargetMode="External"/><Relationship Id="rId19" Type="http://schemas.openxmlformats.org/officeDocument/2006/relationships/hyperlink" Target="https://www.nmdfa.state.nm.us/infrastructure-planning-and-development-division/ic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