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4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NAFOdown:</w:t>
      </w:r>
      <w:r>
        <w:t xml:space="preserve"> </w:t>
      </w:r>
      <w:r>
        <w:t xml:space="preserve">An</w:t>
      </w:r>
      <w:r>
        <w:t xml:space="preserve"> </w:t>
      </w:r>
      <w:r>
        <w:t xml:space="preserve">R</w:t>
      </w:r>
      <w:r>
        <w:t xml:space="preserve"> </w:t>
      </w:r>
      <w:r>
        <w:t xml:space="preserve">Markdown</w:t>
      </w:r>
      <w:r>
        <w:t xml:space="preserve"> </w:t>
      </w:r>
      <w:r>
        <w:t xml:space="preserve">Template</w:t>
      </w:r>
      <w:r>
        <w:t xml:space="preserve"> </w:t>
      </w:r>
      <w:r>
        <w:t xml:space="preserve">for</w:t>
      </w:r>
      <w:r>
        <w:t xml:space="preserve"> </w:t>
      </w:r>
      <w:r>
        <w:t xml:space="preserve">Producing</w:t>
      </w:r>
      <w:r>
        <w:t xml:space="preserve"> </w:t>
      </w:r>
      <w:r>
        <w:t xml:space="preserve">NAFO</w:t>
      </w:r>
      <w:r>
        <w:t xml:space="preserve"> </w:t>
      </w:r>
      <w:r>
        <w:t xml:space="preserve">Scientific</w:t>
      </w:r>
      <w:r>
        <w:t xml:space="preserve"> </w:t>
      </w:r>
      <w:r>
        <w:t xml:space="preserve">Council</w:t>
      </w:r>
      <w:r>
        <w:t xml:space="preserve"> </w:t>
      </w:r>
      <w:r>
        <w:t xml:space="preserve">Documents</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Bob</w:t>
      </w:r>
      <w:r>
        <w:t xml:space="preserve"> </w:t>
      </w:r>
      <w:r>
        <w:t xml:space="preserve">Rodgers</w:t>
      </w:r>
      <w:r>
        <w:rPr>
          <w:vertAlign w:val="superscript"/>
        </w:rPr>
        <w:t xml:space="preserve">1</w:t>
      </w:r>
      <w:r>
        <w:t xml:space="preserve">,</w:t>
      </w:r>
      <w:r>
        <w:t xml:space="preserve"> </w:t>
      </w:r>
      <w:r>
        <w:t xml:space="preserve">Laura</w:t>
      </w:r>
      <w:r>
        <w:t xml:space="preserve"> </w:t>
      </w:r>
      <w:r>
        <w:t xml:space="preserve">Wheeland</w:t>
      </w:r>
      <w:r>
        <w:rPr>
          <w:vertAlign w:val="superscript"/>
        </w:rPr>
        <w:t xml:space="preserve">1</w:t>
      </w:r>
      <w:r>
        <w:t xml:space="preserve">,</w:t>
      </w:r>
      <w:r>
        <w:t xml:space="preserve"> </w:t>
      </w:r>
      <w:r>
        <w:t xml:space="preserve">Sean</w:t>
      </w:r>
      <w:r>
        <w:t xml:space="preserve"> </w:t>
      </w:r>
      <w:r>
        <w:t xml:space="preserve">C.</w:t>
      </w:r>
      <w:r>
        <w:t xml:space="preserve"> </w:t>
      </w:r>
      <w:r>
        <w:t xml:space="preserve">Anderson</w:t>
      </w:r>
      <w:r>
        <w:rPr>
          <w:vertAlign w:val="superscript"/>
        </w:rPr>
        <w:t xml:space="preserve">2</w:t>
      </w:r>
    </w:p>
    <w:p>
      <w:pPr>
        <w:pStyle w:val="Date"/>
      </w:pPr>
      <w:r>
        <w:rPr>
          <w:vertAlign w:val="superscript"/>
        </w:rPr>
        <w:t xml:space="preserve">1</w:t>
      </w:r>
      <w:r>
        <w:t xml:space="preserve">Northwest</w:t>
      </w:r>
      <w:r>
        <w:t xml:space="preserve"> </w:t>
      </w:r>
      <w:r>
        <w:t xml:space="preserve">Atlantic</w:t>
      </w:r>
      <w:r>
        <w:t xml:space="preserve"> </w:t>
      </w:r>
      <w:r>
        <w:t xml:space="preserve">Fisheries</w:t>
      </w:r>
      <w:r>
        <w:t xml:space="preserve"> </w:t>
      </w:r>
      <w:r>
        <w:t xml:space="preserve">Centre,</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w:t>
      </w:r>
      <w:r>
        <w:br/>
      </w:r>
      <w:r>
        <w:rPr>
          <w:vertAlign w:val="superscript"/>
        </w:rPr>
        <w:t xml:space="preserve">2</w:t>
      </w:r>
      <w:r>
        <w:t xml:space="preserve">Pacific</w:t>
      </w:r>
      <w:r>
        <w:t xml:space="preserve"> </w:t>
      </w:r>
      <w:r>
        <w:t xml:space="preserve">Biological</w:t>
      </w:r>
      <w:r>
        <w:t xml:space="preserve"> </w:t>
      </w:r>
      <w:r>
        <w:t xml:space="preserve">Station,</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3190</w:t>
      </w:r>
      <w:r>
        <w:t xml:space="preserve"> </w:t>
      </w:r>
      <w:r>
        <w:t xml:space="preserve">Hammond</w:t>
      </w:r>
      <w:r>
        <w:t xml:space="preserve"> </w:t>
      </w:r>
      <w:r>
        <w:t xml:space="preserve">Bay</w:t>
      </w:r>
      <w:r>
        <w:t xml:space="preserve"> </w:t>
      </w:r>
      <w:r>
        <w:t xml:space="preserve">Rd.,</w:t>
      </w:r>
      <w:r>
        <w:t xml:space="preserve"> </w:t>
      </w:r>
      <w:r>
        <w:t xml:space="preserve">Nanaimo,</w:t>
      </w:r>
      <w:r>
        <w:t xml:space="preserve"> </w:t>
      </w:r>
      <w:r>
        <w:t xml:space="preserve">British</w:t>
      </w:r>
      <w:r>
        <w:t xml:space="preserve"> </w:t>
      </w:r>
      <w:r>
        <w:t xml:space="preserve">Columbia,</w:t>
      </w:r>
      <w:r>
        <w:t xml:space="preserve"> </w:t>
      </w:r>
      <w:r>
        <w:t xml:space="preserve">V9T</w:t>
      </w:r>
      <w:r>
        <w:t xml:space="preserve"> </w:t>
      </w:r>
      <w:r>
        <w:t xml:space="preserve">6N7,</w:t>
      </w:r>
      <w:r>
        <w:t xml:space="preserve"> </w:t>
      </w:r>
      <w:r>
        <w:t xml:space="preserve">Canada</w:t>
      </w:r>
    </w:p>
    <w:bookmarkStart w:id="23" w:name="introduction"/>
    <w:p>
      <w:pPr>
        <w:pStyle w:val="Heading1"/>
      </w:pPr>
      <w:r>
        <w:t xml:space="preserve">Introduction</w:t>
      </w:r>
    </w:p>
    <w:p>
      <w:pPr>
        <w:pStyle w:val="FirstParagraph"/>
      </w:pPr>
      <w:r>
        <w:t xml:space="preserve">NAFOdown is an R package designed to simplify the process of creating and updating NAFO documents, such as SCRs and STACFIS reports.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and STACFIS documents in Word format. Here we demonstrate how to use this package.</w:t>
      </w:r>
    </w:p>
    <w:bookmarkEnd w:id="23"/>
    <w:bookmarkStart w:id="26" w:name="installation"/>
    <w:p>
      <w:pPr>
        <w:pStyle w:val="Heading1"/>
      </w:pPr>
      <w:r>
        <w:t xml:space="preserve">Installation</w:t>
      </w:r>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w:t>
      </w:r>
      <w:r>
        <w:t xml:space="preserve"> </w:t>
      </w:r>
      <w:hyperlink r:id="rId25">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6"/>
    <w:bookmarkStart w:id="35" w:name="starting-a-document"/>
    <w:p>
      <w:pPr>
        <w:pStyle w:val="Heading1"/>
      </w:pPr>
      <w:r>
        <w:t xml:space="preserve">Starting a document</w:t>
      </w:r>
    </w:p>
    <w:p>
      <w:pPr>
        <w:pStyle w:val="FirstParagraph"/>
      </w:pPr>
      <w:r>
        <w:t xml:space="preserve">A skeleton of a SCR or STACFIS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4" w:name="components-of-the-skeleton"/>
    <w:p>
      <w:pPr>
        <w:pStyle w:val="Heading2"/>
      </w:pPr>
      <w:r>
        <w:t xml:space="preserve">Components of the skeleton</w:t>
      </w:r>
    </w:p>
    <w:bookmarkStart w:id="27" w:name="index.rmd"/>
    <w:p>
      <w:pPr>
        <w:pStyle w:val="Heading3"/>
      </w:pP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7"/>
    <w:bookmarkStart w:id="28" w:name="body.rmd-02_references.rmd-etc."/>
    <w:p>
      <w:pPr>
        <w:pStyle w:val="Heading3"/>
      </w:pP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8"/>
    <w:bookmarkStart w:id="29" w:name="bookdown.yml"/>
    <w:p>
      <w:pPr>
        <w:pStyle w:val="Heading3"/>
      </w:pP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9"/>
    <w:bookmarkStart w:id="30" w:name="csl"/>
    <w:p>
      <w:pPr>
        <w:pStyle w:val="Heading3"/>
      </w:pP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30"/>
    <w:bookmarkStart w:id="33" w:name="bib"/>
    <w:p>
      <w:pPr>
        <w:pStyle w:val="Heading3"/>
      </w:pP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End w:id="35"/>
    <w:bookmarkStart w:id="42" w:name="writing"/>
    <w:p>
      <w:pPr>
        <w:pStyle w:val="Heading1"/>
      </w:pPr>
      <w:r>
        <w:t xml:space="preserve">Writing</w:t>
      </w:r>
    </w:p>
    <w:bookmarkStart w:id="37" w:name="markdown"/>
    <w:p>
      <w:pPr>
        <w:pStyle w:val="Heading2"/>
      </w:pPr>
      <w:r>
        <w:t xml:space="preserve">Markdown</w:t>
      </w:r>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6">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7"/>
    <w:bookmarkStart w:id="39" w:name="tables"/>
    <w:p>
      <w:pPr>
        <w:pStyle w:val="Heading2"/>
      </w:pPr>
      <w:r>
        <w:t xml:space="preserve">Tables</w:t>
      </w:r>
    </w:p>
    <w:p>
      <w:pPr>
        <w:pStyle w:val="FirstParagraph"/>
      </w:pPr>
      <w:r>
        <w:t xml:space="preserve">Tables included in NAFO documents are often extensive and, as such, we recommend the use of the</w:t>
      </w:r>
      <w:r>
        <w:t xml:space="preserve"> </w:t>
      </w:r>
      <w:hyperlink r:id="rId38">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9"/>
    <w:bookmarkStart w:id="41" w:name="figures"/>
    <w:p>
      <w:pPr>
        <w:pStyle w:val="Heading2"/>
      </w:pPr>
      <w:r>
        <w:t xml:space="preserve">Figures</w:t>
      </w:r>
    </w:p>
    <w:p>
      <w:pPr>
        <w:pStyle w:val="FirstParagraph"/>
      </w:pPr>
      <w:r>
        <w:t xml:space="preserve">NAFOdown also includes a</w:t>
      </w:r>
      <w:r>
        <w:t xml:space="preserve"> </w:t>
      </w:r>
      <w:hyperlink r:id="rId40">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w:t>
      </w:r>
    </w:p>
    <w:bookmarkEnd w:id="41"/>
    <w:bookmarkEnd w:id="42"/>
    <w:bookmarkStart w:id="44" w:name="meeting-to-meeting-writing"/>
    <w:p>
      <w:pPr>
        <w:pStyle w:val="Heading1"/>
      </w:pP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3">
        <w:r>
          <w:rPr>
            <w:rStyle w:val="Hyperlink"/>
          </w:rPr>
          <w:t xml:space="preserve">http://happygitwithr.com/</w:t>
        </w:r>
      </w:hyperlink>
      <w:r>
        <w:t xml:space="preserve">.</w:t>
      </w:r>
    </w:p>
    <w:bookmarkEnd w:id="44"/>
    <w:bookmarkStart w:id="47" w:name="rendering"/>
    <w:p>
      <w:pPr>
        <w:pStyle w:val="Heading1"/>
      </w:pP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715000" cy="867751"/>
            <wp:effectExtent b="0" l="0" r="0" t="0"/>
            <wp:docPr descr="" title="" id="1" name="Picture"/>
            <a:graphic>
              <a:graphicData uri="http://schemas.openxmlformats.org/drawingml/2006/picture">
                <pic:pic>
                  <pic:nvPicPr>
                    <pic:cNvPr descr="screenshots/knit.png" id="0" name="Picture"/>
                    <pic:cNvPicPr>
                      <a:picLocks noChangeArrowheads="1" noChangeAspect="1"/>
                    </pic:cNvPicPr>
                  </pic:nvPicPr>
                  <pic:blipFill>
                    <a:blip r:embed="rId45"/>
                    <a:stretch>
                      <a:fillRect/>
                    </a:stretch>
                  </pic:blipFill>
                  <pic:spPr bwMode="auto">
                    <a:xfrm>
                      <a:off x="0" y="0"/>
                      <a:ext cx="5715000" cy="86775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49431"/>
            <wp:effectExtent b="0" l="0" r="0" t="0"/>
            <wp:docPr descr="" title="" id="1" name="Picture"/>
            <a:graphic>
              <a:graphicData uri="http://schemas.openxmlformats.org/drawingml/2006/picture">
                <pic:pic>
                  <pic:nvPicPr>
                    <pic:cNvPr descr="screenshots/STACFIS.png" id="0" name="Picture"/>
                    <pic:cNvPicPr>
                      <a:picLocks noChangeArrowheads="1" noChangeAspect="1"/>
                    </pic:cNvPicPr>
                  </pic:nvPicPr>
                  <pic:blipFill>
                    <a:blip r:embed="rId46"/>
                    <a:stretch>
                      <a:fillRect/>
                    </a:stretch>
                  </pic:blipFill>
                  <pic:spPr bwMode="auto">
                    <a:xfrm>
                      <a:off x="0" y="0"/>
                      <a:ext cx="5943600" cy="2549431"/>
                    </a:xfrm>
                    <a:prstGeom prst="rect">
                      <a:avLst/>
                    </a:prstGeom>
                    <a:noFill/>
                    <a:ln w="9525">
                      <a:noFill/>
                      <a:headEnd/>
                      <a:tailEnd/>
                    </a:ln>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7"/>
    <w:sectPr w:rsidR="00AD076C" w:rsidRPr="00AD076C" w:rsidSect="00400A16">
      <w:headerReference w:type="default" r:id="rId9"/>
      <w:footerReference w:type="default" r:id="rId12"/>
      <w:headerReference w:type="first" r:id="rId10"/>
      <w:footerReference w:type="first" r:id="rId11"/>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NAFOdown: An R Markdown Template for Producing NAFO Scientific Council Documents</dc:title>
  <dc:creator>Paul M. Regular1, Bob Rodgers1, Laura Wheeland1, Sean C. Anderson2</dc:creator>
  <cp:keywords/>
  <dcterms:created xsi:type="dcterms:W3CDTF">2021-04-22T15:53:34Z</dcterms:created>
  <dcterms:modified xsi:type="dcterms:W3CDTF">2021-04-22T15:53:34Z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1Northwest Atlantic Fisheries Centre, Fisheries and Oceans Canada, P.O.Box 5667, St. John’s, NL, A1C 5X1, Canada 2Pacific Biological Station, Fisheries and Oceans Canada, 3190 Hammond Bay Rd., Nanaimo, British Columbia, V9T 6N7, Canada</vt:lpwstr>
  </property>
  <property fmtid="{D5CDD505-2E9C-101B-9397-08002B2CF9AE}" pid="3" name="output">
    <vt:lpwstr>rmarkdown::github_document</vt:lpwstr>
  </property>
</Properties>
</file>