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59"/>
        <w:ind w:left="1511"/>
      </w:pPr>
      <w:r>
        <w:rPr/>
        <w:t>Governments Have Descended to the Level</w:t>
      </w:r>
      <w:r>
        <w:rPr>
          <w:spacing w:val="-77"/>
        </w:rPr>
        <w:t> </w:t>
      </w:r>
      <w:r>
        <w:rPr/>
        <w:t>of</w:t>
      </w:r>
    </w:p>
    <w:p>
      <w:pPr>
        <w:pStyle w:val="Title"/>
        <w:spacing w:line="368" w:lineRule="exact"/>
      </w:pPr>
      <w:r>
        <w:rPr/>
        <w:t>Mere</w:t>
      </w:r>
      <w:r>
        <w:rPr>
          <w:spacing w:val="-6"/>
        </w:rPr>
        <w:t> </w:t>
      </w:r>
      <w:r>
        <w:rPr/>
        <w:t>Private</w:t>
      </w:r>
      <w:r>
        <w:rPr>
          <w:spacing w:val="-5"/>
        </w:rPr>
        <w:t> </w:t>
      </w:r>
      <w:r>
        <w:rPr/>
        <w:t>Corporations</w:t>
      </w:r>
    </w:p>
    <w:p>
      <w:pPr>
        <w:pStyle w:val="BodyTex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3092957</wp:posOffset>
            </wp:positionH>
            <wp:positionV relativeFrom="paragraph">
              <wp:posOffset>175881</wp:posOffset>
            </wp:positionV>
            <wp:extent cx="1594774" cy="113595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774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508" w:right="1468" w:firstLine="0"/>
        <w:jc w:val="center"/>
        <w:rPr>
          <w:i/>
          <w:sz w:val="16"/>
        </w:rPr>
      </w:pPr>
      <w:r>
        <w:rPr>
          <w:i/>
          <w:sz w:val="16"/>
        </w:rPr>
        <w:t>Supreme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Court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Building</w:t>
      </w:r>
    </w:p>
    <w:p>
      <w:pPr>
        <w:pStyle w:val="BodyText"/>
        <w:spacing w:before="3"/>
        <w:rPr>
          <w:i/>
          <w:sz w:val="23"/>
        </w:rPr>
      </w:pPr>
    </w:p>
    <w:p>
      <w:pPr>
        <w:spacing w:before="0"/>
        <w:ind w:left="1506" w:right="1468" w:firstLine="0"/>
        <w:jc w:val="center"/>
        <w:rPr>
          <w:b/>
          <w:sz w:val="28"/>
        </w:rPr>
      </w:pPr>
      <w:r>
        <w:rPr>
          <w:b/>
          <w:sz w:val="28"/>
        </w:rPr>
        <w:t>Clearfield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Doctrine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19" w:right="349"/>
      </w:pPr>
      <w:r>
        <w:rPr/>
        <w:t>Supreme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Annotated</w:t>
      </w:r>
      <w:r>
        <w:rPr>
          <w:spacing w:val="-2"/>
        </w:rPr>
        <w:t> </w:t>
      </w:r>
      <w:r>
        <w:rPr/>
        <w:t>Statute,</w:t>
      </w:r>
      <w:r>
        <w:rPr>
          <w:spacing w:val="-2"/>
        </w:rPr>
        <w:t> </w:t>
      </w:r>
      <w:r>
        <w:rPr/>
        <w:t>Clearfield</w:t>
      </w:r>
      <w:r>
        <w:rPr>
          <w:spacing w:val="-3"/>
        </w:rPr>
        <w:t> </w:t>
      </w:r>
      <w:r>
        <w:rPr/>
        <w:t>Trust</w:t>
      </w:r>
      <w:r>
        <w:rPr>
          <w:spacing w:val="-3"/>
        </w:rPr>
        <w:t> </w:t>
      </w:r>
      <w:r>
        <w:rPr/>
        <w:t>Co.</w:t>
      </w:r>
      <w:r>
        <w:rPr>
          <w:spacing w:val="-4"/>
        </w:rPr>
        <w:t> </w:t>
      </w:r>
      <w:r>
        <w:rPr/>
        <w:t>v.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318</w:t>
      </w:r>
      <w:r>
        <w:rPr>
          <w:spacing w:val="-3"/>
        </w:rPr>
        <w:t> </w:t>
      </w:r>
      <w:r>
        <w:rPr/>
        <w:t>U.S.</w:t>
      </w:r>
      <w:r>
        <w:rPr>
          <w:spacing w:val="-3"/>
        </w:rPr>
        <w:t> </w:t>
      </w:r>
      <w:r>
        <w:rPr/>
        <w:t>363-</w:t>
      </w:r>
      <w:r>
        <w:rPr>
          <w:spacing w:val="-57"/>
        </w:rPr>
        <w:t> </w:t>
      </w:r>
      <w:r>
        <w:rPr/>
        <w:t>371 1942</w:t>
      </w:r>
    </w:p>
    <w:p>
      <w:pPr>
        <w:pStyle w:val="BodyText"/>
      </w:pPr>
    </w:p>
    <w:p>
      <w:pPr>
        <w:pStyle w:val="BodyText"/>
        <w:ind w:left="119" w:right="349"/>
      </w:pPr>
      <w:r>
        <w:rPr/>
        <w:t>Whereas defined pursuant to Supreme Court Annotated Statute: Clearfield Trust Co. v.</w:t>
      </w:r>
      <w:r>
        <w:rPr>
          <w:spacing w:val="-57"/>
        </w:rPr>
        <w:t> </w:t>
      </w:r>
      <w:r>
        <w:rPr/>
        <w:t>United States 318 U.S. 363-371 1942: "Governments descend to the level of a mere</w:t>
      </w:r>
      <w:r>
        <w:rPr>
          <w:spacing w:val="1"/>
        </w:rPr>
        <w:t> </w:t>
      </w:r>
      <w:r>
        <w:rPr/>
        <w:t>private corporation, and take on the characteristics of a mere private citizen . . . where</w:t>
      </w:r>
      <w:r>
        <w:rPr>
          <w:spacing w:val="1"/>
        </w:rPr>
        <w:t> </w:t>
      </w:r>
      <w:r>
        <w:rPr/>
        <w:t>private corporate commercial paper [Federal Reserve Notes] and securities [checks] is</w:t>
      </w:r>
      <w:r>
        <w:rPr>
          <w:spacing w:val="1"/>
        </w:rPr>
        <w:t> </w:t>
      </w:r>
      <w:r>
        <w:rPr/>
        <w:t>concerned . . . For purposes of suit, such corporations and individuals are regarded as</w:t>
      </w:r>
      <w:r>
        <w:rPr>
          <w:spacing w:val="1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entirely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government."</w:t>
      </w:r>
    </w:p>
    <w:p>
      <w:pPr>
        <w:pStyle w:val="BodyText"/>
      </w:pPr>
    </w:p>
    <w:p>
      <w:pPr>
        <w:pStyle w:val="BodyText"/>
        <w:ind w:left="119" w:right="250"/>
      </w:pPr>
      <w:r>
        <w:rPr/>
        <w:t>What the Clearfield Doctrine is saying is that when private commercial paper is used by</w:t>
      </w:r>
      <w:r>
        <w:rPr>
          <w:spacing w:val="-57"/>
        </w:rPr>
        <w:t> </w:t>
      </w:r>
      <w:r>
        <w:rPr/>
        <w:t>corporate government, then government loses its sovereignty status and becomes no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than a mere private corporation.</w:t>
      </w:r>
    </w:p>
    <w:p>
      <w:pPr>
        <w:pStyle w:val="BodyText"/>
      </w:pPr>
    </w:p>
    <w:p>
      <w:pPr>
        <w:pStyle w:val="BodyText"/>
        <w:ind w:left="119" w:right="203"/>
      </w:pPr>
      <w:r>
        <w:rPr/>
        <w:t>As such, government then becomes bound by the rules and laws that govern private</w:t>
      </w:r>
      <w:r>
        <w:rPr>
          <w:spacing w:val="1"/>
        </w:rPr>
        <w:t> </w:t>
      </w:r>
      <w:r>
        <w:rPr/>
        <w:t>corporations which means that if they intend to compel an individual to some specific</w:t>
      </w:r>
      <w:r>
        <w:rPr>
          <w:spacing w:val="1"/>
        </w:rPr>
        <w:t> </w:t>
      </w:r>
      <w:r>
        <w:rPr/>
        <w:t>performance based upon its corporate statutes or corporation rules, then the government,</w:t>
      </w:r>
      <w:r>
        <w:rPr>
          <w:spacing w:val="-58"/>
        </w:rPr>
        <w:t> </w:t>
      </w:r>
      <w:r>
        <w:rPr/>
        <w:t>like any private corporation, must be the holder-in-due-course of a contract or other</w:t>
      </w:r>
      <w:r>
        <w:rPr>
          <w:spacing w:val="1"/>
        </w:rPr>
        <w:t> </w:t>
      </w:r>
      <w:r>
        <w:rPr/>
        <w:t>commercial agreement between it and the one upon who demands for specific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are made.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 w:right="624"/>
      </w:pPr>
      <w:r>
        <w:rPr/>
        <w:t>And further, the government must be willing to enter the contract or commercial</w:t>
      </w:r>
      <w:r>
        <w:rPr>
          <w:spacing w:val="1"/>
        </w:rPr>
        <w:t> </w:t>
      </w:r>
      <w:r>
        <w:rPr/>
        <w:t>agreement into evidence before trying to get the court to enforce its demands, called</w:t>
      </w:r>
      <w:r>
        <w:rPr>
          <w:spacing w:val="-57"/>
        </w:rPr>
        <w:t> </w:t>
      </w:r>
      <w:r>
        <w:rPr/>
        <w:t>statutes.</w:t>
      </w:r>
    </w:p>
    <w:p>
      <w:pPr>
        <w:pStyle w:val="BodyText"/>
      </w:pPr>
    </w:p>
    <w:p>
      <w:pPr>
        <w:pStyle w:val="BodyText"/>
        <w:ind w:left="119" w:right="224"/>
      </w:pPr>
      <w:r>
        <w:rPr/>
        <w:t>This case is very important because it is a 1942 case that was decided after the UNITED</w:t>
      </w:r>
      <w:r>
        <w:rPr>
          <w:spacing w:val="-57"/>
        </w:rPr>
        <w:t> </w:t>
      </w:r>
      <w:r>
        <w:rPr/>
        <w:t>STATES</w:t>
      </w:r>
      <w:r>
        <w:rPr>
          <w:spacing w:val="-1"/>
        </w:rPr>
        <w:t> </w:t>
      </w:r>
      <w:r>
        <w:rPr/>
        <w:t>CORPORATION</w:t>
      </w:r>
      <w:r>
        <w:rPr>
          <w:spacing w:val="-1"/>
        </w:rPr>
        <w:t> </w:t>
      </w:r>
      <w:r>
        <w:rPr/>
        <w:t>COMPANY filed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"CERTIFICATE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ind w:left="119"/>
      </w:pPr>
      <w:r>
        <w:rPr/>
        <w:t>INCORPORATION" in the State of Florida (July 15, 1925).</w:t>
      </w:r>
      <w:r>
        <w:rPr>
          <w:spacing w:val="1"/>
        </w:rPr>
        <w:t> </w:t>
      </w:r>
      <w:r>
        <w:rPr/>
        <w:t>And it was decided AFTER</w:t>
      </w:r>
      <w:r>
        <w:rPr>
          <w:spacing w:val="-58"/>
        </w:rPr>
        <w:t> </w:t>
      </w:r>
      <w:r>
        <w:rPr/>
        <w:t>the 'corporate government' agreed to use the currency of the private corporation, the</w:t>
      </w:r>
      <w:r>
        <w:rPr>
          <w:spacing w:val="1"/>
        </w:rPr>
        <w:t> </w:t>
      </w:r>
      <w:r>
        <w:rPr/>
        <w:t>FEDERAL RESERVE. The private currency, the Federal Reserve Note, is still in use</w:t>
      </w:r>
      <w:r>
        <w:rPr>
          <w:spacing w:val="1"/>
        </w:rPr>
        <w:t> </w:t>
      </w:r>
      <w:r>
        <w:rPr/>
        <w:t>today.</w:t>
      </w:r>
    </w:p>
    <w:p>
      <w:pPr>
        <w:spacing w:after="0"/>
        <w:sectPr>
          <w:type w:val="continuous"/>
          <w:pgSz w:w="12240" w:h="15840"/>
          <w:pgMar w:top="1200" w:bottom="280" w:left="1680" w:right="1720"/>
        </w:sectPr>
      </w:pPr>
    </w:p>
    <w:p>
      <w:pPr>
        <w:spacing w:before="79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References: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120" w:right="112" w:firstLine="0"/>
        <w:jc w:val="left"/>
        <w:rPr>
          <w:sz w:val="24"/>
        </w:rPr>
      </w:pPr>
      <w:r>
        <w:rPr>
          <w:sz w:val="24"/>
        </w:rPr>
        <w:t>Articles of Incorporation of UNITED STATES CORPORATION COMPANY</w:t>
      </w:r>
      <w:r>
        <w:rPr>
          <w:color w:val="0000FF"/>
          <w:spacing w:val="1"/>
          <w:sz w:val="24"/>
        </w:rPr>
        <w:t> </w:t>
      </w:r>
      <w:hyperlink r:id="rId6">
        <w:r>
          <w:rPr>
            <w:color w:val="0000FF"/>
            <w:sz w:val="24"/>
            <w:u w:val="single" w:color="0000FF"/>
          </w:rPr>
          <w:t>http://anticorruptionsociety.files.wordpress.com/2014/01/articles-of-incorporation-of-u-s-</w:t>
        </w:r>
      </w:hyperlink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corp-company.pdf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90" w:after="0"/>
        <w:ind w:left="119" w:right="274" w:firstLine="0"/>
        <w:jc w:val="left"/>
        <w:rPr>
          <w:sz w:val="24"/>
        </w:rPr>
      </w:pPr>
      <w:r>
        <w:rPr>
          <w:sz w:val="24"/>
        </w:rPr>
        <w:t>From </w:t>
      </w:r>
      <w:r>
        <w:rPr>
          <w:i/>
          <w:sz w:val="24"/>
        </w:rPr>
        <w:t>The Great American Adventure </w:t>
      </w:r>
      <w:r>
        <w:rPr>
          <w:sz w:val="24"/>
        </w:rPr>
        <w:t>by Judge Dale, retired. (pages 93-94)</w:t>
      </w:r>
      <w:r>
        <w:rPr>
          <w:color w:val="0000FF"/>
          <w:spacing w:val="1"/>
          <w:sz w:val="24"/>
        </w:rPr>
        <w:t> </w:t>
      </w:r>
      <w:hyperlink r:id="rId7">
        <w:r>
          <w:rPr>
            <w:color w:val="0000FF"/>
            <w:spacing w:val="-1"/>
            <w:sz w:val="24"/>
            <w:u w:val="single" w:color="0000FF"/>
          </w:rPr>
          <w:t>http://anticorruptionsociety.files.wordpress.com/2013/07/the-great-american-adventure-</w:t>
        </w:r>
      </w:hyperlink>
      <w:r>
        <w:rPr>
          <w:color w:val="0000FF"/>
          <w:sz w:val="24"/>
        </w:rPr>
        <w:t> </w:t>
      </w:r>
      <w:r>
        <w:rPr>
          <w:color w:val="0000FF"/>
          <w:sz w:val="24"/>
          <w:u w:val="single" w:color="0000FF"/>
        </w:rPr>
        <w:t>complete-work-by-judge-dale.pdf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0"/>
        <w:ind w:left="551" w:right="503" w:firstLine="0"/>
        <w:jc w:val="left"/>
        <w:rPr>
          <w:i/>
          <w:sz w:val="24"/>
        </w:rPr>
      </w:pPr>
      <w:r>
        <w:rPr>
          <w:i/>
          <w:sz w:val="24"/>
        </w:rPr>
        <w:t>[4] Corporations are not and can never be SOVEREIGN. They are not real, they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are a fiction and only exist on paper.</w:t>
      </w:r>
    </w:p>
    <w:p>
      <w:pPr>
        <w:pStyle w:val="BodyText"/>
        <w:spacing w:before="5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551" w:right="662" w:firstLine="0"/>
        <w:jc w:val="left"/>
        <w:rPr>
          <w:i/>
          <w:sz w:val="24"/>
        </w:rPr>
      </w:pPr>
      <w:r>
        <w:rPr>
          <w:i/>
          <w:sz w:val="24"/>
        </w:rPr>
        <w:t>Therefore, all laws created by these government corporations are private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corporate regulations called public law, statutes, codes and ordinances 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conceal their true nature.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 the Judge and your lawyer know about this? You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bet they do!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551" w:right="559" w:firstLine="0"/>
        <w:jc w:val="left"/>
        <w:rPr>
          <w:i/>
          <w:sz w:val="24"/>
        </w:rPr>
      </w:pPr>
      <w:r>
        <w:rPr>
          <w:i/>
          <w:sz w:val="24"/>
        </w:rPr>
        <w:t>Since these government bodies are not SOVEREIGN, they cannot promulgate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or enforce CRIMINAL LAWS; they can only create and enforce CIVIL LAWS,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which are duty bound to comply with the LAW of CONTRACTS. The Law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Contracts requires signed written agreements and complete transparency! Did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ever agree to be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arrested and tried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their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corporate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statutes?</w:t>
      </w:r>
    </w:p>
    <w:p>
      <w:pPr>
        <w:spacing w:before="0"/>
        <w:ind w:left="551" w:right="537" w:firstLine="0"/>
        <w:jc w:val="left"/>
        <w:rPr>
          <w:i/>
          <w:sz w:val="24"/>
        </w:rPr>
      </w:pPr>
      <w:r>
        <w:rPr>
          <w:i/>
          <w:sz w:val="24"/>
        </w:rPr>
        <w:t>For that matter, did you ever agree to contract with them by agreeing to be sued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violating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their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corporate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regulations?</w:t>
      </w:r>
    </w:p>
    <w:p>
      <w:pPr>
        <w:pStyle w:val="BodyText"/>
        <w:spacing w:before="5"/>
        <w:rPr>
          <w:i/>
        </w:rPr>
      </w:pPr>
    </w:p>
    <w:p>
      <w:pPr>
        <w:spacing w:before="0"/>
        <w:ind w:left="551" w:right="863" w:firstLine="0"/>
        <w:jc w:val="left"/>
        <w:rPr>
          <w:i/>
          <w:sz w:val="24"/>
        </w:rPr>
      </w:pPr>
      <w:r>
        <w:rPr>
          <w:i/>
          <w:sz w:val="24"/>
        </w:rPr>
        <w:t>[8] Enforcement of these corporate statutes by local, state and federal law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enforcement officers are unlawful actions being committed against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SOVEREIGN public and these officers can be held personally liable for their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actions.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[Bond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v. U.S.,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529 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334-2000]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0" w:after="0"/>
        <w:ind w:left="541" w:right="0" w:hanging="423"/>
        <w:jc w:val="left"/>
        <w:rPr>
          <w:i/>
          <w:sz w:val="24"/>
        </w:rPr>
      </w:pPr>
      <w:r>
        <w:rPr>
          <w:i/>
          <w:sz w:val="24"/>
        </w:rPr>
        <w:t>Our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Government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Just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Another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Corporation</w:t>
      </w:r>
    </w:p>
    <w:p>
      <w:pPr>
        <w:pStyle w:val="BodyText"/>
        <w:ind w:left="119"/>
      </w:pPr>
      <w:hyperlink r:id="rId8">
        <w:r>
          <w:rPr>
            <w:color w:val="0000FF"/>
            <w:u w:val="single" w:color="0000FF"/>
          </w:rPr>
          <w:t>http://anticorruptionsociety.com/is-our-government-just-another-corporation/</w:t>
        </w:r>
      </w:hyperlink>
    </w:p>
    <w:sectPr>
      <w:pgSz w:w="12240" w:h="15840"/>
      <w:pgMar w:top="1180" w:bottom="280" w:left="16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]"/>
      <w:lvlJc w:val="left"/>
      <w:pPr>
        <w:ind w:left="55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88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4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6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4" w:hanging="276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120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60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80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0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0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0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0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80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00" w:hanging="28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ind w:left="1508" w:right="1468"/>
      <w:jc w:val="center"/>
    </w:pPr>
    <w:rPr>
      <w:rFonts w:ascii="Times New Roman" w:hAnsi="Times New Roman" w:eastAsia="Times New Roman" w:cs="Times New Roman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55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anticorruptionsociety.files.wordpress.com/2014/01/articles-of-incorporation-of-u-s-" TargetMode="External"/><Relationship Id="rId7" Type="http://schemas.openxmlformats.org/officeDocument/2006/relationships/hyperlink" Target="http://anticorruptionsociety.files.wordpress.com/2013/07/the-great-american-adventure-" TargetMode="External"/><Relationship Id="rId8" Type="http://schemas.openxmlformats.org/officeDocument/2006/relationships/hyperlink" Target="http://anticorruptionsociety.com/is-our-government-just-another-corporation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Clearfield Doctrine</dc:title>
  <dcterms:created xsi:type="dcterms:W3CDTF">2021-12-01T04:18:10Z</dcterms:created>
  <dcterms:modified xsi:type="dcterms:W3CDTF">2021-12-01T04:18:10Z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2021-12-01T00:00:00Z</vt:filetime>
  </property>
</Properties>
</file>