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5"/>
        <w:pBdr/>
        <w:spacing/>
        <w:ind/>
        <w:rPr/>
      </w:pPr>
      <w:r>
        <w:t xml:space="preserve">Chapter 7: Human Nutrition</w:t>
      </w:r>
      <w:r/>
    </w:p>
    <w:p>
      <w:pPr>
        <w:pStyle w:val="716"/>
        <w:pBdr/>
        <w:spacing/>
        <w:ind/>
        <w:rPr/>
      </w:pPr>
      <w:r>
        <w:t xml:space="preserve">7.1 Diet</w:t>
      </w:r>
      <w:r/>
    </w:p>
    <w:p>
      <w:pPr>
        <w:pStyle w:val="708"/>
        <w:pBdr/>
        <w:spacing/>
        <w:ind/>
        <w:rPr/>
      </w:pPr>
      <w:r>
        <w:t xml:space="preserve">A </w:t>
      </w:r>
      <w:r>
        <w:rPr>
          <w:rStyle w:val="723"/>
          <w:b/>
          <w:bCs/>
        </w:rPr>
        <w:t xml:space="preserve">balanced diet</w:t>
      </w:r>
      <w:r>
        <w:t xml:space="preserve"> is a diet that contains the proper proportions of carbohydrates, fats, proteins, vitamins, minerals, and water necessary to maintain good health.</w:t>
      </w:r>
      <w:r/>
      <w:r/>
      <w:r/>
      <w:r/>
    </w:p>
    <w:p>
      <w:pPr>
        <w:pStyle w:val="717"/>
        <w:pBdr/>
        <w:spacing/>
        <w:ind/>
        <w:rPr/>
      </w:pPr>
      <w:r>
        <w:t xml:space="preserve">Dietary Components</w:t>
      </w:r>
      <w:r/>
    </w:p>
    <w:tbl>
      <w:tblPr>
        <w:tblStyle w:val="712"/>
        <w:tblW w:w="5000" w:type="pct"/>
        <w:tblBorders>
          <w:top w:val="single" w:color="e1e4e8" w:sz="4" w:space="0"/>
          <w:left w:val="none" w:color="000000" w:sz="4" w:space="0"/>
          <w:bottom w:val="single" w:color="e1e4e8" w:sz="4" w:space="0"/>
          <w:right w:val="none" w:color="000000" w:sz="4" w:space="0"/>
          <w:insideH w:val="single" w:color="e1e4e8" w:sz="2" w:space="0"/>
          <w:insideV w:val="single" w:color="f6f8fa" w:sz="2" w:space="0"/>
        </w:tblBorders>
        <w:tblLook w:val="04A0" w:firstRow="1" w:lastRow="0" w:firstColumn="1" w:lastColumn="0" w:noHBand="0" w:noVBand="1"/>
      </w:tblPr>
      <w:tblGrid>
        <w:gridCol w:w="100"/>
        <w:gridCol w:w="100"/>
        <w:gridCol w:w="100"/>
      </w:tblGrid>
      <w:tr>
        <w:trPr>
          <w:cantSplit/>
          <w:trHeight w:val="720"/>
          <w:tblHeader/>
        </w:trPr>
        <w:tc>
          <w:tcPr>
            <w:tcBorders>
              <w:left w:val="none" w:color="000000" w:sz="4" w:space="0"/>
            </w:tcBorders>
            <w:tcMar>
              <w:left w:w="120" w:type="dxa"/>
              <w:top w:w="100" w:type="dxa"/>
              <w:right w:w="120" w:type="dxa"/>
              <w:bottom w:w="100" w:type="dxa"/>
            </w:tcMar>
            <w:vAlign w:val="center"/>
            <w:textDirection w:val="lrTb"/>
            <w:noWrap w:val="false"/>
          </w:tcPr>
          <w:p>
            <w:pPr>
              <w:pStyle w:val="713"/>
              <w:pBdr/>
              <w:spacing/>
              <w:ind/>
              <w:jc w:val="left"/>
              <w:rPr/>
            </w:pPr>
            <w:r>
              <w:t xml:space="preserve">Nutrient</w:t>
            </w:r>
            <w:r/>
          </w:p>
        </w:tc>
        <w:tc>
          <w:tcPr>
            <w:tcBorders/>
            <w:tcMar>
              <w:left w:w="120" w:type="dxa"/>
              <w:top w:w="100" w:type="dxa"/>
              <w:right w:w="120" w:type="dxa"/>
              <w:bottom w:w="100" w:type="dxa"/>
            </w:tcMar>
            <w:vAlign w:val="center"/>
            <w:textDirection w:val="lrTb"/>
            <w:noWrap w:val="false"/>
          </w:tcPr>
          <w:p>
            <w:pPr>
              <w:pStyle w:val="713"/>
              <w:pBdr/>
              <w:spacing/>
              <w:ind/>
              <w:jc w:val="left"/>
              <w:rPr/>
            </w:pPr>
            <w:r>
              <w:t xml:space="preserve">Principal Dietary Sources</w:t>
            </w:r>
            <w:r/>
          </w:p>
        </w:tc>
        <w:tc>
          <w:tcPr>
            <w:tcBorders>
              <w:right w:val="none" w:color="000000" w:sz="4" w:space="0"/>
            </w:tcBorders>
            <w:tcMar>
              <w:left w:w="120" w:type="dxa"/>
              <w:top w:w="100" w:type="dxa"/>
              <w:right w:w="120" w:type="dxa"/>
              <w:bottom w:w="100" w:type="dxa"/>
            </w:tcMar>
            <w:vAlign w:val="center"/>
            <w:textDirection w:val="lrTb"/>
            <w:noWrap w:val="false"/>
          </w:tcPr>
          <w:p>
            <w:pPr>
              <w:pStyle w:val="713"/>
              <w:pBdr/>
              <w:spacing/>
              <w:ind/>
              <w:jc w:val="left"/>
              <w:rPr/>
            </w:pPr>
            <w:r>
              <w:t xml:space="preserve">Importance</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Carbohydrates</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Bread, cereals, pasta, rice, potatoes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Provide energy for metabolic processes.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Fats and Oils</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Butter, margarine, cooking oils, nuts, fatty meats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Provide energy, act as an energy store, and provide insulation.</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Proteins</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Meat, fish, eggs, dairy products, beans, lentils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Needed for growth and repair of tissues, and to make enzymes.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Vitamin C</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Citrus fruits, strawberries, green vegetables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Needed for the synthesis of collagen, which is important for healthy skin, gums, and blood vessels.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Vitamin D</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Oily fish, eggs, liver, sunlight exposure on the skin</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Needed for the absorption of calcium and for bone growth.</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Calcium</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Dairy products, leafy green vegetables, fortified foods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Needed for strong teeth and bones.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Iron</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Red meat, liver, beans, nuts, dried fruits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Needed for the formation of hemoglobin in red blood cells, which transports oxygen around the body.</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Fibre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Wholegrain cereals, fruits, vegetables</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Adds bulk to food, aiding in the movement of food through the digestive system and preventing constipation.</w:t>
            </w:r>
            <w:r/>
          </w:p>
        </w:tc>
      </w:tr>
      <w:tr>
        <w:trPr>
          <w:cantSplit/>
          <w:trHeight w:val="576"/>
        </w:trPr>
        <w:tc>
          <w:tcPr>
            <w:tcBorders>
              <w:left w:val="none" w:color="000000" w:sz="4" w:space="0"/>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Water</w:t>
            </w:r>
            <w:r/>
          </w:p>
        </w:tc>
        <w:tc>
          <w:tcPr>
            <w:tcBorders>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t xml:space="preserve">Drinks, fruits, vegetables</w:t>
            </w:r>
            <w:r/>
          </w:p>
        </w:tc>
        <w:tc>
          <w:tcPr>
            <w:tcBorders>
              <w:bottom w:val="single" w:color="e1e4e8" w:sz="4" w:space="0"/>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Essential for most bodily functions, including acting as a solvent for chemical reactions, and for transport of substances.</w:t>
            </w:r>
            <w:r/>
          </w:p>
        </w:tc>
      </w:tr>
    </w:tbl>
    <w:p>
      <w:pPr>
        <w:pStyle w:val="717"/>
        <w:pBdr/>
        <w:spacing/>
        <w:ind/>
        <w:rPr/>
      </w:pPr>
      <w:r>
        <w:t xml:space="preserve">Deficiency Diseases</w:t>
      </w:r>
      <w:r/>
    </w:p>
    <w:p>
      <w:pPr>
        <w:pStyle w:val="711"/>
        <w:numPr>
          <w:ilvl w:val="0"/>
          <w:numId w:val="2"/>
        </w:numPr>
        <w:pBdr/>
        <w:spacing/>
        <w:ind/>
        <w:rPr/>
      </w:pPr>
      <w:r>
        <w:rPr>
          <w:rStyle w:val="723"/>
          <w:b/>
          <w:bCs/>
        </w:rPr>
        <w:t xml:space="preserve">Scurvy</w:t>
      </w:r>
      <w:r>
        <w:t xml:space="preserve">: Caused by a deficiency of Vitamin C. Symptoms include swollen and bleeding gums, and poor wound healing.</w:t>
      </w:r>
      <w:r/>
    </w:p>
    <w:p>
      <w:pPr>
        <w:pStyle w:val="711"/>
        <w:numPr>
          <w:ilvl w:val="0"/>
          <w:numId w:val="2"/>
        </w:numPr>
        <w:pBdr/>
        <w:spacing/>
        <w:ind/>
        <w:rPr/>
      </w:pPr>
      <w:r>
        <w:rPr>
          <w:rStyle w:val="723"/>
          <w:b/>
          <w:bCs/>
        </w:rPr>
        <w:t xml:space="preserve">Rickets</w:t>
      </w:r>
      <w:r>
        <w:t xml:space="preserve">: Caused by a deficiency of Vitamin D or calcium. It results in weak and soft bones, leading to bone deformities.</w:t>
      </w:r>
      <w:r/>
      <w:r/>
    </w:p>
    <w:p>
      <w:pPr>
        <w:pStyle w:val="711"/>
        <w:numPr>
          <w:ilvl w:val="0"/>
          <w:numId w:val="2"/>
        </w:numPr>
        <w:pBdr/>
        <w:spacing/>
        <w:ind/>
        <w:rPr/>
      </w:pPr>
      <w:r>
        <w:rPr>
          <w:b/>
          <w:bCs/>
          <w:highlight w:val="none"/>
        </w:rPr>
        <w:t xml:space="preserve">Anaemia</w:t>
      </w:r>
      <w:r>
        <w:rPr>
          <w:highlight w:val="none"/>
        </w:rPr>
        <w:t xml:space="preserve">:</w:t>
      </w:r>
      <w:r>
        <w:t xml:space="preserve"> Caused by a deficiency of iron.</w:t>
      </w:r>
      <w:r/>
    </w:p>
    <w:p>
      <w:pPr>
        <w:pStyle w:val="711"/>
        <w:numPr>
          <w:ilvl w:val="0"/>
          <w:numId w:val="2"/>
        </w:numPr>
        <w:pBdr/>
        <w:spacing/>
        <w:ind/>
        <w:rPr/>
      </w:pPr>
      <w:r>
        <w:rPr>
          <w:b/>
          <w:bCs/>
          <w:highlight w:val="none"/>
        </w:rPr>
        <w:t xml:space="preserve">Constipation</w:t>
      </w:r>
      <w:r>
        <w:rPr>
          <w:highlight w:val="none"/>
        </w:rPr>
        <w:t xml:space="preserve">: </w:t>
      </w:r>
      <w:r>
        <w:t xml:space="preserve">Caused by a deficiency of fibre.</w:t>
      </w:r>
      <w:r>
        <w:rPr>
          <w:highlight w:val="none"/>
        </w:rPr>
      </w:r>
      <w:r>
        <w:rPr>
          <w:highlight w:val="none"/>
        </w:rPr>
      </w:r>
    </w:p>
    <w:p>
      <w:pPr>
        <w:pStyle w:val="702"/>
        <w:pBdr/>
        <w:spacing w:after="60" w:before="0"/>
        <w:ind/>
        <w:rPr/>
      </w:pPr>
      <w:r/>
      <w:r/>
    </w:p>
    <w:p>
      <w:pPr>
        <w:pStyle w:val="716"/>
        <w:pBdr/>
        <w:spacing/>
        <w:ind/>
        <w:rPr>
          <w:highlight w:val="none"/>
        </w:rPr>
      </w:pPr>
      <w:r/>
      <w:r/>
      <w:r>
        <w:t xml:space="preserve">7.2 Digestive System</w:t>
      </w:r>
      <w:r/>
    </w:p>
    <w:p>
      <w:pPr>
        <w:pStyle w:val="716"/>
        <w:pBdr/>
        <w:spacing/>
        <w:ind/>
        <w:rPr/>
      </w:pPr>
      <w:r>
        <w:rPr>
          <w:highlight w:val="none"/>
        </w:rPr>
      </w:r>
      <w:r>
        <w:t xml:space="preserve">Organs of the Digestive System</w:t>
      </w:r>
      <w:r/>
      <w:r>
        <w:rPr>
          <w:highlight w:val="none"/>
        </w:rPr>
      </w:r>
      <w:r>
        <w:rPr>
          <w:highlight w:val="none"/>
        </w:rPr>
      </w:r>
      <w:r>
        <w:rPr>
          <w:highlight w:val="none"/>
        </w:rPr>
      </w:r>
    </w:p>
    <w:p>
      <w:pPr>
        <w:pStyle w:val="717"/>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0</wp:posOffset>
                </wp:positionH>
                <wp:positionV relativeFrom="paragraph">
                  <wp:posOffset>84624</wp:posOffset>
                </wp:positionV>
                <wp:extent cx="2937417" cy="3279321"/>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2212" name=""/>
                        <pic:cNvPicPr>
                          <a:picLocks noChangeAspect="1"/>
                        </pic:cNvPicPr>
                        <pic:nvPr/>
                      </pic:nvPicPr>
                      <pic:blipFill>
                        <a:blip r:embed="rId9"/>
                        <a:srcRect l="10384" t="0" r="12922" b="239"/>
                        <a:stretch/>
                      </pic:blipFill>
                      <pic:spPr bwMode="auto">
                        <a:xfrm flipH="0" flipV="0">
                          <a:off x="0" y="0"/>
                          <a:ext cx="2937417" cy="32793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7408;o:allowoverlap:true;o:allowincell:true;mso-position-horizontal-relative:text;margin-left:0.00pt;mso-position-horizontal:absolute;mso-position-vertical-relative:text;margin-top:6.66pt;mso-position-vertical:absolute;width:231.29pt;height:258.21pt;mso-wrap-distance-left:9.07pt;mso-wrap-distance-top:0.00pt;mso-wrap-distance-right:9.07pt;mso-wrap-distance-bottom:0.00pt;z-index:1;" stroked="false">
                <w10:wrap type="square"/>
                <v:imagedata r:id="rId9" o:title="" croptop="0f" cropleft="6805f" cropbottom="157f" cropright="8469f"/>
                <o:lock v:ext="edit" rotation="t"/>
              </v:shape>
            </w:pict>
          </mc:Fallback>
        </mc:AlternateContent>
      </w:r>
      <w:r/>
      <w:r/>
      <w:r/>
      <w:r/>
    </w:p>
    <w:p>
      <w:pPr>
        <w:pStyle w:val="711"/>
        <w:pBdr/>
        <w:spacing/>
        <w:ind w:firstLine="0" w:left="720"/>
        <w:rPr/>
      </w:pPr>
      <w:r>
        <w:rPr>
          <w:rStyle w:val="723"/>
          <w:b/>
          <w:bCs/>
        </w:rPr>
        <w:t xml:space="preserve">Alimentary Canal</w:t>
      </w:r>
      <w:r>
        <w:t xml:space="preserve">: </w:t>
      </w:r>
      <w:r/>
    </w:p>
    <w:p>
      <w:pPr>
        <w:pStyle w:val="711"/>
        <w:numPr>
          <w:ilvl w:val="2"/>
          <w:numId w:val="2"/>
        </w:numPr>
        <w:pBdr/>
        <w:spacing/>
        <w:ind/>
        <w:rPr/>
      </w:pPr>
      <w:r>
        <w:t xml:space="preserve">mouth</w:t>
      </w:r>
      <w:r/>
    </w:p>
    <w:p>
      <w:pPr>
        <w:pStyle w:val="711"/>
        <w:numPr>
          <w:ilvl w:val="2"/>
          <w:numId w:val="2"/>
        </w:numPr>
        <w:pBdr/>
        <w:spacing/>
        <w:ind/>
        <w:rPr/>
      </w:pPr>
      <w:r>
        <w:t xml:space="preserve">oesophagus</w:t>
      </w:r>
      <w:r/>
      <w:r/>
    </w:p>
    <w:p>
      <w:pPr>
        <w:pStyle w:val="711"/>
        <w:numPr>
          <w:ilvl w:val="2"/>
          <w:numId w:val="2"/>
        </w:numPr>
        <w:pBdr/>
        <w:spacing/>
        <w:ind/>
        <w:rPr/>
      </w:pPr>
      <w:r>
        <w:t xml:space="preserve">stomach</w:t>
      </w:r>
      <w:r/>
    </w:p>
    <w:p>
      <w:pPr>
        <w:pStyle w:val="711"/>
        <w:numPr>
          <w:ilvl w:val="2"/>
          <w:numId w:val="2"/>
        </w:numPr>
        <w:pBdr/>
        <w:spacing/>
        <w:ind/>
        <w:rPr/>
      </w:pPr>
      <w:r>
        <w:t xml:space="preserve">small intestine (duodenum and ileum)</w:t>
      </w:r>
      <w:r/>
    </w:p>
    <w:p>
      <w:pPr>
        <w:pStyle w:val="711"/>
        <w:numPr>
          <w:ilvl w:val="2"/>
          <w:numId w:val="2"/>
        </w:numPr>
        <w:pBdr/>
        <w:spacing/>
        <w:ind/>
        <w:rPr/>
      </w:pPr>
      <w:r>
        <w:t xml:space="preserve">large intestine (colon, rectum, anus)</w:t>
      </w:r>
      <w:r/>
    </w:p>
    <w:p>
      <w:pPr>
        <w:pStyle w:val="711"/>
        <w:pBdr/>
        <w:spacing/>
        <w:ind/>
        <w:rPr/>
      </w:pPr>
      <w:r>
        <w:rPr>
          <w:highlight w:val="none"/>
        </w:rPr>
      </w:r>
      <w:r>
        <w:rPr>
          <w:highlight w:val="none"/>
        </w:rPr>
      </w:r>
      <w:r>
        <w:rPr>
          <w:highlight w:val="none"/>
        </w:rPr>
      </w:r>
    </w:p>
    <w:p>
      <w:pPr>
        <w:pStyle w:val="711"/>
        <w:pBdr/>
        <w:spacing/>
        <w:ind w:firstLine="0" w:left="720"/>
        <w:rPr/>
      </w:pPr>
      <w:r>
        <w:rPr>
          <w:rStyle w:val="723"/>
          <w:b/>
          <w:bCs/>
        </w:rPr>
      </w:r>
      <w:r/>
      <w:r>
        <w:rPr>
          <w:rStyle w:val="723"/>
          <w:b/>
          <w:bCs/>
        </w:rPr>
        <w:t xml:space="preserve">Associated Organs</w:t>
      </w:r>
      <w:r>
        <w:t xml:space="preserve">: </w:t>
      </w:r>
      <w:r/>
    </w:p>
    <w:p>
      <w:pPr>
        <w:pStyle w:val="711"/>
        <w:numPr>
          <w:ilvl w:val="0"/>
          <w:numId w:val="2"/>
        </w:numPr>
        <w:pBdr/>
        <w:spacing/>
        <w:ind/>
        <w:rPr/>
      </w:pPr>
      <w:r>
        <w:t xml:space="preserve">salivary glands</w:t>
      </w:r>
      <w:r/>
    </w:p>
    <w:p>
      <w:pPr>
        <w:pStyle w:val="711"/>
        <w:numPr>
          <w:ilvl w:val="0"/>
          <w:numId w:val="2"/>
        </w:numPr>
        <w:pBdr/>
        <w:spacing/>
        <w:ind/>
        <w:rPr/>
      </w:pPr>
      <w:r>
        <w:t xml:space="preserve">pancreas</w:t>
      </w:r>
      <w:r/>
      <w:r/>
    </w:p>
    <w:p>
      <w:pPr>
        <w:pStyle w:val="711"/>
        <w:numPr>
          <w:ilvl w:val="0"/>
          <w:numId w:val="2"/>
        </w:numPr>
        <w:pBdr/>
        <w:spacing/>
        <w:ind/>
        <w:rPr/>
      </w:pPr>
      <w:r>
        <w:t xml:space="preserve">liver</w:t>
      </w:r>
      <w:r/>
    </w:p>
    <w:p>
      <w:pPr>
        <w:pStyle w:val="711"/>
        <w:numPr>
          <w:ilvl w:val="0"/>
          <w:numId w:val="2"/>
        </w:numPr>
        <w:pBdr/>
        <w:spacing/>
        <w:ind/>
        <w:rPr/>
      </w:pPr>
      <w:r>
        <w:t xml:space="preserve">gall bladder</w:t>
      </w:r>
      <w:r/>
      <w:r/>
      <w:r>
        <w:rPr>
          <w:highlight w:val="none"/>
        </w:rPr>
      </w:r>
      <w:r/>
      <w:r>
        <w:rPr>
          <w:highlight w:val="none"/>
        </w:rPr>
      </w:r>
      <w:r/>
      <w:r>
        <w:rPr>
          <w:highlight w:val="none"/>
        </w:rPr>
      </w:r>
      <w:r/>
      <w:r>
        <w:rPr>
          <w:highlight w:val="none"/>
        </w:rPr>
      </w:r>
      <w:r>
        <w:rPr>
          <w:highlight w:val="none"/>
        </w:rPr>
      </w:r>
      <w:r>
        <w:rPr>
          <w:highlight w:val="none"/>
        </w:rPr>
      </w:r>
      <w:r/>
    </w:p>
    <w:tbl>
      <w:tblPr>
        <w:tblStyle w:val="712"/>
        <w:tblW w:w="5000" w:type="pct"/>
        <w:tblBorders>
          <w:top w:val="single" w:color="e1e4e8" w:sz="4" w:space="0"/>
          <w:left w:val="none" w:color="000000" w:sz="4" w:space="0"/>
          <w:bottom w:val="single" w:color="e1e4e8" w:sz="4" w:space="0"/>
          <w:right w:val="none" w:color="000000" w:sz="4" w:space="0"/>
          <w:insideH w:val="single" w:color="e1e4e8" w:sz="2" w:space="0"/>
          <w:insideV w:val="single" w:color="f6f8fa" w:sz="2" w:space="0"/>
        </w:tblBorders>
        <w:tblLook w:val="04A0" w:firstRow="1" w:lastRow="0" w:firstColumn="1" w:lastColumn="0" w:noHBand="0" w:noVBand="1"/>
      </w:tblPr>
      <w:tblGrid>
        <w:gridCol w:w="100"/>
        <w:gridCol w:w="100"/>
      </w:tblGrid>
      <w:tr>
        <w:trPr>
          <w:cantSplit/>
          <w:trHeight w:val="720"/>
          <w:tblHeader/>
        </w:trPr>
        <w:tc>
          <w:tcPr>
            <w:tcBorders>
              <w:left w:val="none" w:color="000000" w:sz="4" w:space="0"/>
            </w:tcBorders>
            <w:tcMar>
              <w:left w:w="120" w:type="dxa"/>
              <w:top w:w="100" w:type="dxa"/>
              <w:right w:w="120" w:type="dxa"/>
              <w:bottom w:w="100" w:type="dxa"/>
            </w:tcMar>
            <w:vAlign w:val="center"/>
            <w:textDirection w:val="lrTb"/>
            <w:noWrap w:val="false"/>
          </w:tcPr>
          <w:p>
            <w:pPr>
              <w:pStyle w:val="713"/>
              <w:pBdr/>
              <w:spacing/>
              <w:ind/>
              <w:rPr/>
            </w:pPr>
            <w:r>
              <w:t xml:space="preserve">Organ</w:t>
            </w:r>
            <w:r/>
            <w:r/>
          </w:p>
        </w:tc>
        <w:tc>
          <w:tcPr>
            <w:tcBorders>
              <w:right w:val="none" w:color="000000" w:sz="4" w:space="0"/>
            </w:tcBorders>
            <w:tcMar>
              <w:left w:w="120" w:type="dxa"/>
              <w:top w:w="100" w:type="dxa"/>
              <w:right w:w="120" w:type="dxa"/>
              <w:bottom w:w="100" w:type="dxa"/>
            </w:tcMar>
            <w:vAlign w:val="center"/>
            <w:textDirection w:val="lrTb"/>
            <w:noWrap w:val="false"/>
          </w:tcPr>
          <w:p>
            <w:pPr>
              <w:pStyle w:val="713"/>
              <w:pBdr/>
              <w:spacing/>
              <w:ind/>
              <w:rPr/>
            </w:pPr>
            <w:r>
              <w:t xml:space="preserve">Description</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Alimentary Canal</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Mouth</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first part of the digestive tract, where food is ingested and mechanical digestion (chewing) and chemical digestion (salivary amylase) begin.</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Oesophagus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muscular tube connecting the pharynx (throat) with the stomach. It transports food from the mouth to the stomach through peristalsis.</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Stomach</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An organ that stores food and mixes it with gastric juices (hydrochloric acid and pepsin) -</w:t>
            </w:r>
            <w:r/>
            <w:r>
              <w:t xml:space="preserve">forms </w:t>
            </w:r>
            <w:r>
              <w:t xml:space="preserve">chyme - </w:t>
            </w:r>
            <w:r>
              <w:t xml:space="preserve">to continue digestion, particularly of proteins.</w:t>
            </w:r>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Small Intestine</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long, coiled tube where most of the chemical digestion and absorption of nutrients occurs. It is divided into the duodenum and ileum.</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w:t>
            </w:r>
            <w:r>
              <w:rPr>
                <w:rStyle w:val="724"/>
                <w:i/>
                <w:iCs/>
              </w:rPr>
              <w:t xml:space="preserve">Duodenum</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first section of the small intestine, where chyme from the stomach is mixed with bile from the liver and </w:t>
            </w:r>
            <w:r/>
            <w:r>
              <w:t xml:space="preserve">pancreatic</w:t>
            </w:r>
            <w:r>
              <w:t xml:space="preserve"> juice </w:t>
            </w:r>
            <w:r/>
            <w:r>
              <w:t xml:space="preserve">from the pancreas.</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w:t>
            </w:r>
            <w:r>
              <w:rPr>
                <w:rStyle w:val="724"/>
                <w:i/>
                <w:iCs/>
              </w:rPr>
              <w:t xml:space="preserve">Ileum</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final section of the small intestine, where the majority of nutrient absorption into the bloodstream takes place.</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Large Intestine</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final section of the alimentary canal, responsible for absorbing water and electrolytes from the remaining indigestible food matter and then passing useless waste material from the body.</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w:t>
            </w:r>
            <w:r>
              <w:rPr>
                <w:rStyle w:val="724"/>
                <w:i/>
                <w:iCs/>
              </w:rPr>
              <w:t xml:space="preserve">Colon</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main part of the large intestine, which absorbs water and electrolytes from food that has remained undigested.</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w:t>
            </w:r>
            <w:r>
              <w:rPr>
                <w:rStyle w:val="724"/>
                <w:i/>
                <w:iCs/>
              </w:rPr>
              <w:t xml:space="preserve">Rectum</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concluding part of the large intestine that terminates in the anus. It stores fecal matter before it is expelled from the body.</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w:t>
            </w:r>
            <w:r>
              <w:rPr>
                <w:rStyle w:val="724"/>
                <w:i/>
                <w:iCs/>
              </w:rPr>
              <w:t xml:space="preserve">Anus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external opening at the end of the digestive tract, through which feces are expelled.</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Associated Organs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Salivary Glands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Glands that produce saliva, which moistens food and contains enzymes (like amylase) that begin the digestion of carbohydrates.</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Pancreas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gland that produces </w:t>
            </w:r>
            <w:r>
              <w:t xml:space="preserve">pancreatic</w:t>
            </w:r>
            <w:r>
              <w:t xml:space="preserve"> juice (amylase, lipase, and protease) that break down carbohydrates, fats, and proteins. It also produces insulin.</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Liver</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large organ that produces bile, which emulsifies fats, and plays a major role in metabolism, detoxification, and nutrient storage.</w:t>
            </w:r>
            <w:r/>
            <w:r/>
          </w:p>
        </w:tc>
      </w:tr>
      <w:tr>
        <w:trPr>
          <w:cantSplit/>
          <w:trHeight w:val="576"/>
        </w:trPr>
        <w:tc>
          <w:tcPr>
            <w:tcBorders>
              <w:left w:val="none" w:color="000000" w:sz="4" w:space="0"/>
              <w:bottom w:val="single" w:color="e1e4e8" w:sz="4" w:space="0"/>
            </w:tcBorders>
            <w:tcMar>
              <w:left w:w="120" w:type="dxa"/>
              <w:top w:w="80" w:type="dxa"/>
              <w:right w:w="120" w:type="dxa"/>
              <w:bottom w:w="80" w:type="dxa"/>
            </w:tcMar>
            <w:vAlign w:val="center"/>
            <w:textDirection w:val="lrTb"/>
            <w:noWrap w:val="false"/>
          </w:tcPr>
          <w:p>
            <w:pPr>
              <w:pStyle w:val="714"/>
              <w:pBdr/>
              <w:spacing/>
              <w:ind/>
              <w:rPr/>
            </w:pPr>
            <w:r>
              <w:t xml:space="preserve">Gallbladder</w:t>
            </w:r>
            <w:r/>
            <w:r/>
          </w:p>
        </w:tc>
        <w:tc>
          <w:tcPr>
            <w:tcBorders>
              <w:bottom w:val="single" w:color="e1e4e8" w:sz="4" w:space="0"/>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small organ that stores and concentrates bile produced by the liver, and releases it into the duodenum.</w:t>
            </w:r>
            <w:r/>
            <w:r/>
          </w:p>
        </w:tc>
      </w:tr>
    </w:tbl>
    <w:p>
      <w:pPr>
        <w:pStyle w:val="702"/>
        <w:pBdr/>
        <w:spacing w:after="60" w:before="0"/>
        <w:ind/>
        <w:rPr/>
      </w:pPr>
      <w:r/>
      <w:r/>
    </w:p>
    <w:p>
      <w:pPr>
        <w:pStyle w:val="717"/>
        <w:pBdr/>
        <w:spacing/>
        <w:ind/>
        <w:rPr/>
      </w:pPr>
      <w:r>
        <w:t xml:space="preserve">Functions of the Digestive System</w:t>
      </w:r>
      <w:r/>
    </w:p>
    <w:p>
      <w:pPr>
        <w:pStyle w:val="711"/>
        <w:numPr>
          <w:ilvl w:val="0"/>
          <w:numId w:val="2"/>
        </w:numPr>
        <w:pBdr/>
        <w:spacing/>
        <w:ind/>
        <w:rPr/>
      </w:pPr>
      <w:r>
        <w:rPr>
          <w:rStyle w:val="723"/>
          <w:b/>
          <w:bCs/>
        </w:rPr>
        <w:t xml:space="preserve">Ingestion</w:t>
      </w:r>
      <w:r>
        <w:t xml:space="preserve">: The taking of substances, e.g. food and drink, into the body through the mouth.</w:t>
      </w:r>
      <w:r/>
    </w:p>
    <w:p>
      <w:pPr>
        <w:pStyle w:val="711"/>
        <w:numPr>
          <w:ilvl w:val="0"/>
          <w:numId w:val="2"/>
        </w:numPr>
        <w:pBdr/>
        <w:spacing/>
        <w:ind/>
        <w:rPr/>
      </w:pPr>
      <w:r>
        <w:rPr>
          <w:rStyle w:val="723"/>
          <w:b/>
          <w:bCs/>
        </w:rPr>
        <w:t xml:space="preserve">Digestion</w:t>
      </w:r>
      <w:r>
        <w:t xml:space="preserve">: The breakdown food molecules.</w:t>
      </w:r>
      <w:r/>
    </w:p>
    <w:p>
      <w:pPr>
        <w:pStyle w:val="711"/>
        <w:numPr>
          <w:ilvl w:val="0"/>
          <w:numId w:val="2"/>
        </w:numPr>
        <w:pBdr/>
        <w:spacing/>
        <w:ind/>
        <w:rPr/>
      </w:pPr>
      <w:r>
        <w:rPr>
          <w:rStyle w:val="723"/>
          <w:b/>
          <w:bCs/>
        </w:rPr>
        <w:t xml:space="preserve">Absorption</w:t>
      </w:r>
      <w:r>
        <w:t xml:space="preserve">: The movement of nutrients (digested food molecules) through the wall of the intestine into the blood.</w:t>
      </w:r>
      <w:r/>
    </w:p>
    <w:p>
      <w:pPr>
        <w:pStyle w:val="711"/>
        <w:numPr>
          <w:ilvl w:val="0"/>
          <w:numId w:val="2"/>
        </w:numPr>
        <w:pBdr/>
        <w:spacing/>
        <w:ind/>
        <w:rPr/>
      </w:pPr>
      <w:r>
        <w:rPr>
          <w:rStyle w:val="723"/>
          <w:b/>
          <w:bCs/>
        </w:rPr>
        <w:t xml:space="preserve">Assimilation</w:t>
      </w:r>
      <w:r>
        <w:t xml:space="preserve">: The uptake and use of nutrients by cells.</w:t>
      </w:r>
      <w:r/>
    </w:p>
    <w:p>
      <w:pPr>
        <w:pStyle w:val="711"/>
        <w:numPr>
          <w:ilvl w:val="0"/>
          <w:numId w:val="2"/>
        </w:numPr>
        <w:pBdr/>
        <w:spacing/>
        <w:ind/>
        <w:rPr/>
      </w:pPr>
      <w:r>
        <w:rPr>
          <w:rStyle w:val="723"/>
          <w:b/>
          <w:bCs/>
        </w:rPr>
        <w:t xml:space="preserve">Egestion</w:t>
      </w:r>
      <w:r>
        <w:t xml:space="preserve">: The removal of undigested food from the body as faeces.</w:t>
      </w:r>
      <w:r/>
    </w:p>
    <w:p>
      <w:pPr>
        <w:pStyle w:val="702"/>
        <w:pBdr/>
        <w:spacing w:after="60" w:before="0"/>
        <w:ind/>
        <w:rPr/>
      </w:pPr>
      <w:r/>
      <w:r/>
    </w:p>
    <w:p>
      <w:pPr>
        <w:pStyle w:val="716"/>
        <w:pBdr/>
        <w:spacing/>
        <w:ind/>
        <w:rPr/>
      </w:pPr>
      <w:r>
        <w:t xml:space="preserve">7.3 Physical Digestion</w:t>
      </w:r>
      <w:r/>
    </w:p>
    <w:p>
      <w:pPr>
        <w:pStyle w:val="708"/>
        <w:pBdr/>
        <w:spacing/>
        <w:ind/>
        <w:rPr/>
      </w:pPr>
      <w:r>
        <w:rPr>
          <w:rStyle w:val="723"/>
          <w:b/>
          <w:bCs/>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3935577</wp:posOffset>
                </wp:positionH>
                <wp:positionV relativeFrom="paragraph">
                  <wp:posOffset>679927</wp:posOffset>
                </wp:positionV>
                <wp:extent cx="1940591" cy="1954967"/>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1226" name=""/>
                        <pic:cNvPicPr>
                          <a:picLocks noChangeAspect="1"/>
                        </pic:cNvPicPr>
                        <pic:nvPr/>
                      </pic:nvPicPr>
                      <pic:blipFill>
                        <a:blip r:embed="rId10"/>
                        <a:srcRect l="3086" t="7298" r="0" b="2446"/>
                        <a:stretch/>
                      </pic:blipFill>
                      <pic:spPr bwMode="auto">
                        <a:xfrm flipH="0" flipV="0">
                          <a:off x="0" y="0"/>
                          <a:ext cx="1940591" cy="19549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309.89pt;mso-position-horizontal:absolute;mso-position-vertical-relative:text;margin-top:53.54pt;mso-position-vertical:absolute;width:152.80pt;height:153.93pt;mso-wrap-distance-left:9.07pt;mso-wrap-distance-top:0.00pt;mso-wrap-distance-right:9.07pt;mso-wrap-distance-bottom:0.00pt;z-index:1;" stroked="false">
                <w10:wrap type="square"/>
                <v:imagedata r:id="rId10" o:title="" croptop="4783f" cropleft="2022f" cropbottom="1603f" cropright="0f"/>
                <o:lock v:ext="edit" rotation="t"/>
              </v:shape>
            </w:pict>
          </mc:Fallback>
        </mc:AlternateContent>
      </w:r>
      <w:r>
        <w:rPr>
          <w:rStyle w:val="723"/>
          <w:b/>
          <w:bCs/>
        </w:rPr>
        <w:t xml:space="preserve">Physical digestion</w:t>
      </w:r>
      <w:r>
        <w:t xml:space="preserve"> is the mechanical breakdown of food into smaller pieces without any chemical change. This increases the surface area of food for enzymes to act on, and increases the rate of chemical digestion..</w:t>
      </w:r>
      <w:r/>
    </w:p>
    <w:p>
      <w:pPr>
        <w:pStyle w:val="702"/>
        <w:pBdr/>
        <w:spacing w:after="60" w:before="0"/>
        <w:ind/>
        <w:rPr/>
      </w:pPr>
      <w:r/>
      <w:r/>
    </w:p>
    <w:p>
      <w:pPr>
        <w:pStyle w:val="711"/>
        <w:numPr>
          <w:ilvl w:val="0"/>
          <w:numId w:val="2"/>
        </w:numPr>
        <w:pBdr/>
        <w:spacing/>
        <w:ind/>
        <w:rPr/>
      </w:pPr>
      <w:r>
        <w:rPr>
          <w:rStyle w:val="723"/>
          <w:b/>
          <w:bCs/>
        </w:rPr>
      </w:r>
      <w:r/>
      <w:r>
        <w:rPr>
          <w:rStyle w:val="723"/>
          <w:b/>
          <w:bCs/>
        </w:rPr>
        <w:t xml:space="preserve">Teeth</w:t>
      </w:r>
      <w:r>
        <w:t xml:space="preserve">: Different types of teeth are adapted for different functions in physical digestion:</w:t>
      </w:r>
      <w:r/>
    </w:p>
    <w:p>
      <w:pPr>
        <w:pStyle w:val="711"/>
        <w:numPr>
          <w:ilvl w:val="1"/>
          <w:numId w:val="2"/>
        </w:numPr>
        <w:pBdr/>
        <w:spacing/>
        <w:ind/>
        <w:rPr/>
      </w:pPr>
      <w:r>
        <w:rPr>
          <w:rStyle w:val="723"/>
          <w:b/>
          <w:bCs/>
        </w:rPr>
        <w:t xml:space="preserve">Incisors</w:t>
      </w:r>
      <w:r>
        <w:t xml:space="preserve">: Chisel-shaped teeth at the front of the mouth, used for biting and cutting.</w:t>
      </w:r>
      <w:r/>
    </w:p>
    <w:p>
      <w:pPr>
        <w:pStyle w:val="711"/>
        <w:numPr>
          <w:ilvl w:val="1"/>
          <w:numId w:val="2"/>
        </w:numPr>
        <w:pBdr/>
        <w:spacing/>
        <w:ind/>
        <w:rPr/>
      </w:pPr>
      <w:r>
        <w:rPr>
          <w:rStyle w:val="723"/>
          <w:b/>
          <w:bCs/>
        </w:rPr>
        <w:t xml:space="preserve">Canines</w:t>
      </w:r>
      <w:r>
        <w:t xml:space="preserve">: Pointed teeth, used for tearing and ripping food.</w:t>
      </w:r>
      <w:r/>
    </w:p>
    <w:p>
      <w:pPr>
        <w:pStyle w:val="711"/>
        <w:numPr>
          <w:ilvl w:val="1"/>
          <w:numId w:val="2"/>
        </w:numPr>
        <w:pBdr/>
        <w:spacing/>
        <w:ind/>
        <w:rPr/>
      </w:pPr>
      <w:r>
        <w:rPr>
          <w:rStyle w:val="723"/>
          <w:b/>
          <w:bCs/>
        </w:rPr>
        <w:t xml:space="preserve">Premolars and Molars</w:t>
      </w:r>
      <w:r>
        <w:t xml:space="preserve">: Broad, flat teeth at the back of the mouth, used for grinding, chewing, and crushing food.</w:t>
      </w:r>
      <w:r/>
    </w:p>
    <w:p>
      <w:pPr>
        <w:pStyle w:val="711"/>
        <w:pBdr/>
        <w:spacing/>
        <w:ind w:firstLine="0" w:left="0"/>
        <w:rPr/>
      </w:pPr>
      <w:r>
        <w:rPr>
          <w:highlight w:val="none"/>
        </w:rPr>
      </w:r>
      <w:r/>
      <w:r/>
      <w:r/>
      <w:r>
        <w:rPr>
          <w:highlight w:val="none"/>
        </w:rPr>
      </w:r>
      <w:r>
        <w:rPr>
          <w:highlight w:val="none"/>
        </w:rPr>
      </w:r>
      <w:r>
        <w:rPr>
          <w:highlight w:val="none"/>
        </w:rPr>
      </w:r>
    </w:p>
    <w:tbl>
      <w:tblPr>
        <w:tblStyle w:val="712"/>
        <w:tblW w:w="5000" w:type="pct"/>
        <w:tblBorders>
          <w:top w:val="single" w:color="e1e4e8" w:sz="4" w:space="0"/>
          <w:left w:val="none" w:color="000000" w:sz="4" w:space="0"/>
          <w:bottom w:val="single" w:color="e1e4e8" w:sz="4" w:space="0"/>
          <w:right w:val="none" w:color="000000" w:sz="4" w:space="0"/>
          <w:insideH w:val="single" w:color="e1e4e8" w:sz="2" w:space="0"/>
          <w:insideV w:val="single" w:color="f6f8fa" w:sz="2" w:space="0"/>
        </w:tblBorders>
        <w:tblLook w:val="04A0" w:firstRow="1" w:lastRow="0" w:firstColumn="1" w:lastColumn="0" w:noHBand="0" w:noVBand="1"/>
      </w:tblPr>
      <w:tblGrid>
        <w:gridCol w:w="100"/>
        <w:gridCol w:w="100"/>
      </w:tblGrid>
      <w:tr>
        <w:trPr>
          <w:cantSplit/>
          <w:trHeight w:val="720"/>
          <w:tblHeader/>
        </w:trPr>
        <w:tc>
          <w:tcPr>
            <w:tcBorders>
              <w:left w:val="none" w:color="000000" w:sz="4" w:space="0"/>
            </w:tcBorders>
            <w:tcMar>
              <w:left w:w="120" w:type="dxa"/>
              <w:top w:w="100" w:type="dxa"/>
              <w:right w:w="120" w:type="dxa"/>
              <w:bottom w:w="100" w:type="dxa"/>
            </w:tcMar>
            <w:vAlign w:val="center"/>
            <w:textDirection w:val="lrTb"/>
            <w:noWrap w:val="false"/>
          </w:tcPr>
          <w:p>
            <w:pPr>
              <w:pStyle w:val="713"/>
              <w:pBdr/>
              <w:spacing/>
              <w:ind/>
              <w:rPr/>
            </w:pPr>
            <w:r>
              <w:t xml:space="preserve">Part</w:t>
            </w:r>
            <w:r/>
            <w:r/>
          </w:p>
        </w:tc>
        <w:tc>
          <w:tcPr>
            <w:tcBorders>
              <w:right w:val="none" w:color="000000" w:sz="4" w:space="0"/>
            </w:tcBorders>
            <w:tcMar>
              <w:left w:w="120" w:type="dxa"/>
              <w:top w:w="100" w:type="dxa"/>
              <w:right w:w="120" w:type="dxa"/>
              <w:bottom w:w="100" w:type="dxa"/>
            </w:tcMar>
            <w:vAlign w:val="center"/>
            <w:textDirection w:val="lrTb"/>
            <w:noWrap w:val="false"/>
          </w:tcPr>
          <w:p>
            <w:pPr>
              <w:pStyle w:val="713"/>
              <w:pBdr/>
              <w:spacing/>
              <w:ind/>
              <w:rPr/>
            </w:pPr>
            <w:r>
              <w:t xml:space="preserve">Description</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Enamel</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hardest substance in the human body, covering the crown of the tooth. It protects the underlying dentine and pulp from damage.</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Dentine</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bone-like tissue that makes up the bulk of the tooth. It is softer than enamel and contains microscopic tubules that transmit sensations to the pulp.</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Pulp</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innermost part of the tooth, located in the pulp cavity. It contains nerves, blood vessels.</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Nerves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Sensory fibers within the pulp that detect pain, temperature, and pressure.</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Blood Vessels</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Supply nutrients and oxygen to the pulp and remove waste products.</w:t>
            </w:r>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Cement</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A bone-like tissue that covers the root of the tooth, helping to anchor it to the jawbone.</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Bone</w:t>
            </w:r>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jawbone in which the tooth is embedded, providing structural support.</w:t>
            </w:r>
            <w:r/>
            <w:r/>
          </w:p>
        </w:tc>
      </w:tr>
      <w:tr>
        <w:trPr>
          <w:cantSplit/>
          <w:trHeight w:val="576"/>
        </w:trPr>
        <w:tc>
          <w:tcPr>
            <w:tcBorders>
              <w:left w:val="none" w:color="000000" w:sz="4" w:space="0"/>
              <w:bottom w:val="single" w:color="e1e4e8" w:sz="4" w:space="0"/>
            </w:tcBorders>
            <w:tcMar>
              <w:left w:w="120" w:type="dxa"/>
              <w:top w:w="80" w:type="dxa"/>
              <w:right w:w="120" w:type="dxa"/>
              <w:bottom w:w="80" w:type="dxa"/>
            </w:tcMar>
            <w:vAlign w:val="center"/>
            <w:textDirection w:val="lrTb"/>
            <w:noWrap w:val="false"/>
          </w:tcPr>
          <w:p>
            <w:pPr>
              <w:pStyle w:val="714"/>
              <w:pBdr/>
              <w:spacing/>
              <w:ind/>
              <w:rPr/>
            </w:pPr>
            <w:r>
              <w:rPr>
                <w:rStyle w:val="723"/>
                <w:b/>
                <w:bCs/>
              </w:rPr>
              <w:t xml:space="preserve">Gums</w:t>
            </w:r>
            <w:r/>
            <w:r/>
          </w:p>
        </w:tc>
        <w:tc>
          <w:tcPr>
            <w:tcBorders>
              <w:bottom w:val="single" w:color="e1e4e8" w:sz="4" w:space="0"/>
              <w:right w:val="none" w:color="000000" w:sz="4" w:space="0"/>
            </w:tcBorders>
            <w:tcMar>
              <w:left w:w="120" w:type="dxa"/>
              <w:top w:w="80" w:type="dxa"/>
              <w:right w:w="120" w:type="dxa"/>
              <w:bottom w:w="80" w:type="dxa"/>
            </w:tcMar>
            <w:vAlign w:val="center"/>
            <w:textDirection w:val="lrTb"/>
            <w:noWrap w:val="false"/>
          </w:tcPr>
          <w:p>
            <w:pPr>
              <w:pStyle w:val="714"/>
              <w:pBdr/>
              <w:spacing/>
              <w:ind/>
              <w:rPr/>
            </w:pPr>
            <w:r>
              <w:t xml:space="preserve">The soft tissues that surround the base of the teeth, protecting the roots and supporting the teeth in the jawbone.</w:t>
            </w:r>
            <w:r/>
            <w:r/>
          </w:p>
        </w:tc>
      </w:tr>
    </w:tbl>
    <w:p>
      <w:pPr>
        <w:pStyle w:val="711"/>
        <w:numPr>
          <w:ilvl w:val="1"/>
          <w:numId w:val="2"/>
        </w:numPr>
        <w:pBdr/>
        <w:spacing/>
        <w:ind/>
        <w:rPr/>
      </w:pPr>
      <w:r>
        <w:rPr>
          <w:highlight w:val="none"/>
        </w:rPr>
      </w:r>
      <w:r>
        <w:rPr>
          <w:highlight w:val="none"/>
        </w:rPr>
      </w:r>
      <w:r>
        <w:rPr>
          <w:highlight w:val="none"/>
        </w:rPr>
      </w:r>
    </w:p>
    <w:p>
      <w:pPr>
        <w:pStyle w:val="711"/>
        <w:numPr>
          <w:ilvl w:val="0"/>
          <w:numId w:val="2"/>
        </w:numPr>
        <w:pBdr/>
        <w:spacing/>
        <w:ind/>
        <w:rPr/>
      </w:pPr>
      <w:r>
        <w:rPr>
          <w:rStyle w:val="723"/>
          <w:b/>
          <w:bCs/>
        </w:rPr>
        <w:t xml:space="preserve">Stomach</w:t>
      </w:r>
      <w:r>
        <w:t xml:space="preserve">: The muscular walls of the stomach churn and mix the food, breaking it down further.</w:t>
      </w:r>
      <w:r/>
    </w:p>
    <w:p>
      <w:pPr>
        <w:pStyle w:val="711"/>
        <w:numPr>
          <w:ilvl w:val="0"/>
          <w:numId w:val="2"/>
        </w:numPr>
        <w:pBdr/>
        <w:spacing/>
        <w:ind/>
        <w:rPr/>
      </w:pPr>
      <w:r>
        <w:rPr>
          <w:rStyle w:val="723"/>
          <w:b/>
          <w:bCs/>
        </w:rPr>
        <w:t xml:space="preserve">Bile</w:t>
      </w:r>
      <w:r>
        <w:t xml:space="preserve">: Produced by the liver and stored in the gall bladder, bile emulsifies fats, breaking down large fat globules into smaller droplets. This increases the surface area for lipase to act on.</w:t>
      </w:r>
      <w:r/>
    </w:p>
    <w:p>
      <w:pPr>
        <w:pStyle w:val="702"/>
        <w:pBdr/>
        <w:spacing w:after="60" w:before="0"/>
        <w:ind/>
        <w:rPr/>
      </w:pPr>
      <w:r/>
      <w:r/>
    </w:p>
    <w:p>
      <w:pPr>
        <w:pStyle w:val="716"/>
        <w:pBdr/>
        <w:spacing/>
        <w:ind/>
        <w:rPr/>
      </w:pPr>
      <w:r>
        <w:t xml:space="preserve">7.4 Chemical Digestion</w:t>
      </w:r>
      <w:r/>
    </w:p>
    <w:p>
      <w:pPr>
        <w:pStyle w:val="708"/>
        <w:pBdr/>
        <w:spacing/>
        <w:ind/>
        <w:rPr/>
      </w:pPr>
      <w:r>
        <w:rPr>
          <w:rStyle w:val="723"/>
          <w:b/>
          <w:bCs/>
        </w:rPr>
        <w:t xml:space="preserve">Chemical digestion</w:t>
      </w:r>
      <w:r>
        <w:t xml:space="preserve"> is the breakdown of large, insoluble molecules into small, soluble molecules by the action of enzymes.</w:t>
      </w:r>
      <w:r/>
    </w:p>
    <w:p>
      <w:pPr>
        <w:pStyle w:val="702"/>
        <w:pBdr/>
        <w:spacing w:after="60" w:before="0"/>
        <w:ind/>
        <w:rPr/>
      </w:pPr>
      <w:r/>
      <w:r/>
    </w:p>
    <w:p>
      <w:pPr>
        <w:pStyle w:val="717"/>
        <w:pBdr/>
        <w:spacing/>
        <w:ind/>
        <w:rPr/>
      </w:pPr>
      <w:r>
        <w:t xml:space="preserve">Digestive Enzymes</w:t>
      </w:r>
      <w:r/>
    </w:p>
    <w:tbl>
      <w:tblPr>
        <w:tblStyle w:val="712"/>
        <w:tblW w:w="5000" w:type="pct"/>
        <w:tblBorders>
          <w:top w:val="single" w:color="e1e4e8" w:sz="4" w:space="0"/>
          <w:left w:val="none" w:color="000000" w:sz="4" w:space="0"/>
          <w:bottom w:val="single" w:color="e1e4e8" w:sz="4" w:space="0"/>
          <w:right w:val="none" w:color="000000" w:sz="4" w:space="0"/>
          <w:insideH w:val="single" w:color="e1e4e8" w:sz="2" w:space="0"/>
          <w:insideV w:val="single" w:color="f6f8fa" w:sz="2" w:space="0"/>
        </w:tblBorders>
        <w:tblLook w:val="04A0" w:firstRow="1" w:lastRow="0" w:firstColumn="1" w:lastColumn="0" w:noHBand="0" w:noVBand="1"/>
      </w:tblPr>
      <w:tblGrid>
        <w:gridCol w:w="100"/>
        <w:gridCol w:w="100"/>
        <w:gridCol w:w="100"/>
        <w:gridCol w:w="100"/>
        <w:gridCol w:w="100"/>
      </w:tblGrid>
      <w:tr>
        <w:trPr>
          <w:cantSplit/>
          <w:trHeight w:val="720"/>
          <w:tblHeader/>
        </w:trPr>
        <w:tc>
          <w:tcPr>
            <w:tcBorders>
              <w:left w:val="none" w:color="000000" w:sz="4" w:space="0"/>
            </w:tcBorders>
            <w:tcMar>
              <w:left w:w="120" w:type="dxa"/>
              <w:top w:w="100" w:type="dxa"/>
              <w:right w:w="120" w:type="dxa"/>
              <w:bottom w:w="100" w:type="dxa"/>
            </w:tcMar>
            <w:vAlign w:val="center"/>
            <w:textDirection w:val="lrTb"/>
            <w:noWrap w:val="false"/>
          </w:tcPr>
          <w:p>
            <w:pPr>
              <w:pStyle w:val="713"/>
              <w:pBdr/>
              <w:spacing/>
              <w:ind/>
              <w:jc w:val="left"/>
              <w:rPr/>
            </w:pPr>
            <w:r>
              <w:t xml:space="preserve">Enzyme</w:t>
            </w:r>
            <w:r/>
          </w:p>
        </w:tc>
        <w:tc>
          <w:tcPr>
            <w:tcBorders/>
            <w:tcMar>
              <w:left w:w="120" w:type="dxa"/>
              <w:top w:w="100" w:type="dxa"/>
              <w:right w:w="120" w:type="dxa"/>
              <w:bottom w:w="100" w:type="dxa"/>
            </w:tcMar>
            <w:vAlign w:val="center"/>
            <w:textDirection w:val="lrTb"/>
            <w:noWrap w:val="false"/>
          </w:tcPr>
          <w:p>
            <w:pPr>
              <w:pStyle w:val="713"/>
              <w:pBdr/>
              <w:spacing/>
              <w:ind/>
              <w:jc w:val="left"/>
              <w:rPr/>
            </w:pPr>
            <w:r>
              <w:t xml:space="preserve">Secreted in</w:t>
            </w:r>
            <w:r/>
          </w:p>
        </w:tc>
        <w:tc>
          <w:tcPr>
            <w:tcBorders/>
            <w:tcMar>
              <w:left w:w="120" w:type="dxa"/>
              <w:top w:w="100" w:type="dxa"/>
              <w:right w:w="120" w:type="dxa"/>
              <w:bottom w:w="100" w:type="dxa"/>
            </w:tcMar>
            <w:vAlign w:val="center"/>
            <w:textDirection w:val="lrTb"/>
            <w:noWrap w:val="false"/>
          </w:tcPr>
          <w:p>
            <w:pPr>
              <w:pStyle w:val="713"/>
              <w:pBdr/>
              <w:spacing/>
              <w:ind/>
              <w:jc w:val="left"/>
              <w:rPr/>
            </w:pPr>
            <w:r>
              <w:t xml:space="preserve">Acts in</w:t>
            </w:r>
            <w:r/>
          </w:p>
        </w:tc>
        <w:tc>
          <w:tcPr>
            <w:tcBorders/>
            <w:tcMar>
              <w:left w:w="120" w:type="dxa"/>
              <w:top w:w="100" w:type="dxa"/>
              <w:right w:w="120" w:type="dxa"/>
              <w:bottom w:w="100" w:type="dxa"/>
            </w:tcMar>
            <w:vAlign w:val="center"/>
            <w:textDirection w:val="lrTb"/>
            <w:noWrap w:val="false"/>
          </w:tcPr>
          <w:p>
            <w:pPr>
              <w:pStyle w:val="713"/>
              <w:pBdr/>
              <w:spacing/>
              <w:ind/>
              <w:jc w:val="left"/>
              <w:rPr/>
            </w:pPr>
            <w:r>
              <w:t xml:space="preserve">Substrate</w:t>
            </w:r>
            <w:r/>
          </w:p>
        </w:tc>
        <w:tc>
          <w:tcPr>
            <w:tcBorders>
              <w:right w:val="none" w:color="000000" w:sz="4" w:space="0"/>
            </w:tcBorders>
            <w:tcMar>
              <w:left w:w="120" w:type="dxa"/>
              <w:top w:w="100" w:type="dxa"/>
              <w:right w:w="120" w:type="dxa"/>
              <w:bottom w:w="100" w:type="dxa"/>
            </w:tcMar>
            <w:vAlign w:val="center"/>
            <w:textDirection w:val="lrTb"/>
            <w:noWrap w:val="false"/>
          </w:tcPr>
          <w:p>
            <w:pPr>
              <w:pStyle w:val="713"/>
              <w:pBdr/>
              <w:spacing/>
              <w:ind/>
              <w:jc w:val="left"/>
              <w:rPr/>
            </w:pPr>
            <w:r>
              <w:t xml:space="preserve">Product(s)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Amylase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Salivary glands, pancreas</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Mouth, small intestine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Starch</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Maltose (a simple sugar)</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Maltase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Small intestine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Small intestine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Maltose</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Glucose</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Pepsin</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Stomach</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Stomach</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Protein</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Amino acids</w:t>
            </w:r>
            <w:r/>
          </w:p>
        </w:tc>
      </w:tr>
      <w:tr>
        <w:trPr>
          <w:cantSplit/>
          <w:trHeight w:val="576"/>
        </w:trPr>
        <w:tc>
          <w:tcPr>
            <w:tcBorders>
              <w:lef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Trypsin</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Pancreas</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Small intestine</w:t>
            </w:r>
            <w:r/>
          </w:p>
        </w:tc>
        <w:tc>
          <w:tcPr>
            <w:tcBorders/>
            <w:tcMar>
              <w:left w:w="120" w:type="dxa"/>
              <w:top w:w="80" w:type="dxa"/>
              <w:right w:w="120" w:type="dxa"/>
              <w:bottom w:w="80" w:type="dxa"/>
            </w:tcMar>
            <w:vAlign w:val="center"/>
            <w:textDirection w:val="lrTb"/>
            <w:noWrap w:val="false"/>
          </w:tcPr>
          <w:p>
            <w:pPr>
              <w:pStyle w:val="714"/>
              <w:pBdr/>
              <w:spacing/>
              <w:ind/>
              <w:jc w:val="left"/>
              <w:rPr/>
            </w:pPr>
            <w:r>
              <w:t xml:space="preserve">Protein</w:t>
            </w:r>
            <w:r/>
          </w:p>
        </w:tc>
        <w:tc>
          <w:tcPr>
            <w:tcBorders>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Amino acids</w:t>
            </w:r>
            <w:r/>
          </w:p>
        </w:tc>
      </w:tr>
      <w:tr>
        <w:trPr>
          <w:cantSplit/>
          <w:trHeight w:val="576"/>
        </w:trPr>
        <w:tc>
          <w:tcPr>
            <w:tcBorders>
              <w:left w:val="none" w:color="000000" w:sz="4" w:space="0"/>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rPr>
                <w:rStyle w:val="723"/>
                <w:b/>
                <w:bCs/>
              </w:rPr>
              <w:t xml:space="preserve">Lipase</w:t>
            </w:r>
            <w:r/>
          </w:p>
        </w:tc>
        <w:tc>
          <w:tcPr>
            <w:tcBorders>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t xml:space="preserve">Pancreas</w:t>
            </w:r>
            <w:r/>
          </w:p>
        </w:tc>
        <w:tc>
          <w:tcPr>
            <w:tcBorders>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t xml:space="preserve">Small intestine</w:t>
            </w:r>
            <w:r/>
          </w:p>
        </w:tc>
        <w:tc>
          <w:tcPr>
            <w:tcBorders>
              <w:bottom w:val="single" w:color="e1e4e8" w:sz="4" w:space="0"/>
            </w:tcBorders>
            <w:tcMar>
              <w:left w:w="120" w:type="dxa"/>
              <w:top w:w="80" w:type="dxa"/>
              <w:right w:w="120" w:type="dxa"/>
              <w:bottom w:w="80" w:type="dxa"/>
            </w:tcMar>
            <w:vAlign w:val="center"/>
            <w:textDirection w:val="lrTb"/>
            <w:noWrap w:val="false"/>
          </w:tcPr>
          <w:p>
            <w:pPr>
              <w:pStyle w:val="714"/>
              <w:pBdr/>
              <w:spacing/>
              <w:ind/>
              <w:jc w:val="left"/>
              <w:rPr/>
            </w:pPr>
            <w:r>
              <w:t xml:space="preserve">Fats and oils</w:t>
            </w:r>
            <w:r/>
          </w:p>
        </w:tc>
        <w:tc>
          <w:tcPr>
            <w:tcBorders>
              <w:bottom w:val="single" w:color="e1e4e8" w:sz="4" w:space="0"/>
              <w:right w:val="none" w:color="000000" w:sz="4" w:space="0"/>
            </w:tcBorders>
            <w:tcMar>
              <w:left w:w="120" w:type="dxa"/>
              <w:top w:w="80" w:type="dxa"/>
              <w:right w:w="120" w:type="dxa"/>
              <w:bottom w:w="80" w:type="dxa"/>
            </w:tcMar>
            <w:vAlign w:val="center"/>
            <w:textDirection w:val="lrTb"/>
            <w:noWrap w:val="false"/>
          </w:tcPr>
          <w:p>
            <w:pPr>
              <w:pStyle w:val="714"/>
              <w:pBdr/>
              <w:spacing/>
              <w:ind/>
              <w:jc w:val="left"/>
              <w:rPr/>
            </w:pPr>
            <w:r>
              <w:t xml:space="preserve">Fatty acids and glycerol</w:t>
            </w:r>
            <w:r/>
          </w:p>
        </w:tc>
      </w:tr>
    </w:tbl>
    <w:p>
      <w:pPr>
        <w:pStyle w:val="717"/>
        <w:pBdr/>
        <w:spacing/>
        <w:ind/>
        <w:rPr/>
      </w:pPr>
      <w:r>
        <w:t xml:space="preserve">Role of Hydrochloric Acid</w:t>
      </w:r>
      <w:r/>
    </w:p>
    <w:p>
      <w:pPr>
        <w:pStyle w:val="708"/>
        <w:pBdr/>
        <w:spacing/>
        <w:ind/>
        <w:rPr/>
      </w:pPr>
      <w:r>
        <w:t xml:space="preserve">Hydrochloric acid in the stomach has two main functions:</w:t>
      </w:r>
      <w:r/>
    </w:p>
    <w:p>
      <w:pPr>
        <w:pStyle w:val="702"/>
        <w:pBdr/>
        <w:spacing w:after="60" w:before="0"/>
        <w:ind/>
        <w:rPr/>
      </w:pPr>
      <w:r/>
      <w:r/>
    </w:p>
    <w:p>
      <w:pPr>
        <w:pStyle w:val="711"/>
        <w:numPr>
          <w:ilvl w:val="0"/>
          <w:numId w:val="3"/>
        </w:numPr>
        <w:pBdr/>
        <w:spacing/>
        <w:ind/>
        <w:rPr/>
      </w:pPr>
      <w:r>
        <w:t xml:space="preserve">It kills harmful microorganisms in food.</w:t>
      </w:r>
      <w:r/>
    </w:p>
    <w:p>
      <w:pPr>
        <w:pStyle w:val="711"/>
        <w:numPr>
          <w:ilvl w:val="0"/>
          <w:numId w:val="3"/>
        </w:numPr>
        <w:pBdr/>
        <w:spacing/>
        <w:ind/>
        <w:rPr/>
      </w:pPr>
      <w:r>
        <w:t xml:space="preserve">It provides an acidic pH for the optimum activity of pepsin.</w:t>
      </w:r>
      <w:r/>
    </w:p>
    <w:p>
      <w:pPr>
        <w:pStyle w:val="702"/>
        <w:pBdr/>
        <w:spacing w:after="60" w:before="0"/>
        <w:ind/>
        <w:rPr/>
      </w:pPr>
      <w:r/>
      <w:r/>
    </w:p>
    <w:p>
      <w:pPr>
        <w:pStyle w:val="717"/>
        <w:pBdr/>
        <w:spacing/>
        <w:ind/>
        <w:rPr/>
      </w:pPr>
      <w:r>
        <w:t xml:space="preserve">Role of Bile</w:t>
      </w:r>
      <w:r/>
    </w:p>
    <w:p>
      <w:pPr>
        <w:pStyle w:val="708"/>
        <w:pBdr/>
        <w:spacing/>
        <w:ind/>
        <w:rPr/>
      </w:pPr>
      <w:r>
        <w:t xml:space="preserve">Bile is an alkaline mixture that neutralizes the acidic mixture of food and gastric juices entering the duodenum from the stomach. This provides a suitable pH for the enzymes in the small intestine to work effectively.</w:t>
      </w:r>
      <w:r/>
    </w:p>
    <w:p>
      <w:pPr>
        <w:pStyle w:val="702"/>
        <w:pBdr/>
        <w:spacing w:after="60" w:before="0"/>
        <w:ind/>
        <w:rPr/>
      </w:pPr>
      <w:r/>
      <w:r/>
    </w:p>
    <w:p>
      <w:pPr>
        <w:pStyle w:val="716"/>
        <w:pBdr/>
        <w:spacing/>
        <w:ind/>
        <w:rPr/>
      </w:pPr>
      <w:r>
        <w:rPr>
          <w:highlight w:val="none"/>
        </w:rPr>
      </w:r>
      <w:r>
        <w:rPr>
          <w:highlight w:val="none"/>
        </w:rPr>
      </w:r>
      <w:r>
        <w:rPr>
          <w:highlight w:val="none"/>
        </w:rPr>
      </w:r>
    </w:p>
    <w:p>
      <w:pPr>
        <w:pStyle w:val="716"/>
        <w:pBdr/>
        <w:spacing/>
        <w:ind/>
        <w:rPr>
          <w:highlight w:val="none"/>
        </w:rPr>
      </w:pPr>
      <w:r>
        <w:rPr>
          <w:highlight w:val="none"/>
        </w:rPr>
      </w:r>
      <w:r>
        <w:rPr>
          <w:highlight w:val="none"/>
        </w:rPr>
      </w:r>
      <w:r>
        <w:rPr>
          <w:highlight w:val="none"/>
        </w:rPr>
      </w:r>
    </w:p>
    <w:p>
      <w:pPr>
        <w:pStyle w:val="716"/>
        <w:pBdr/>
        <w:spacing/>
        <w:ind/>
        <w:rPr>
          <w:highlight w:val="none"/>
        </w:rPr>
      </w:pPr>
      <w:r>
        <w:t xml:space="preserve">7.5 Absorption</w:t>
      </w:r>
      <w:r/>
    </w:p>
    <w:p>
      <w:pPr>
        <w:pStyle w:val="708"/>
        <w:pBdr/>
        <w:spacing/>
        <w:ind/>
        <w:rPr/>
      </w:pPr>
      <w:r>
        <w:rPr>
          <w:rStyle w:val="723"/>
          <w:b/>
          <w:bCs/>
        </w:rPr>
        <w:t xml:space="preserve">Absorption</w:t>
      </w:r>
      <w:r>
        <w:t xml:space="preserve"> is the process by which small, soluble molecules are taken up from the small intestine into the bloodstream.</w:t>
      </w:r>
      <w:r/>
    </w:p>
    <w:p>
      <w:pPr>
        <w:pStyle w:val="702"/>
        <w:pBdr/>
        <w:spacing w:after="60" w:before="0"/>
        <w:ind/>
        <w:rPr/>
      </w:pPr>
      <w:r/>
      <w:r/>
    </w:p>
    <w:p>
      <w:pPr>
        <w:pStyle w:val="717"/>
        <w:pBdr/>
        <w:spacing/>
        <w:ind/>
        <w:rPr/>
      </w:pPr>
      <w:r>
        <w:t xml:space="preserve">The Small Intestine and Villi</w:t>
      </w:r>
      <w:r/>
    </w:p>
    <w:p>
      <w:pPr>
        <w:pStyle w:val="708"/>
        <w:pBdr/>
        <w:spacing/>
        <w:ind/>
        <w:rPr/>
      </w:pPr>
      <w:r>
        <w:t xml:space="preserve">The small intestine is highly adapted for absorption. Its inner surface is folded into millions of tiny projections called </w:t>
      </w:r>
      <w:r>
        <w:rPr>
          <w:rStyle w:val="723"/>
          <w:b/>
          <w:bCs/>
        </w:rPr>
        <w:t xml:space="preserve">villi</w:t>
      </w:r>
      <w:r>
        <w:t xml:space="preserve">, which in turn are covered in even smaller projections called </w:t>
      </w:r>
      <w:r>
        <w:rPr>
          <w:rStyle w:val="723"/>
          <w:b/>
          <w:bCs/>
        </w:rPr>
        <w:t xml:space="preserve">microvilli</w:t>
      </w:r>
      <w:r>
        <w:t xml:space="preserve">. This structure vastly increases the surface area for absorption.</w:t>
      </w:r>
      <w:r/>
    </w:p>
    <w:p>
      <w:pPr>
        <w:pStyle w:val="702"/>
        <w:pBdr/>
        <w:spacing w:after="60" w:before="0"/>
        <w:ind/>
        <w:rPr/>
      </w:pPr>
      <w:r/>
      <w:r/>
    </w:p>
    <w:p>
      <w:pPr>
        <w:pStyle w:val="708"/>
        <w:pBdr/>
        <w:spacing/>
        <w:ind/>
        <w:rPr/>
      </w:pPr>
      <w:r>
        <w:t xml:space="preserve">Each villus contains:</w:t>
      </w:r>
      <w:r/>
    </w:p>
    <w:p>
      <w:pPr>
        <w:pStyle w:val="702"/>
        <w:pBdr/>
        <w:spacing w:after="60" w:before="0"/>
        <w:ind/>
        <w:rPr/>
      </w:pPr>
      <w:r/>
      <w:r/>
    </w:p>
    <w:p>
      <w:pPr>
        <w:pStyle w:val="711"/>
        <w:numPr>
          <w:ilvl w:val="0"/>
          <w:numId w:val="2"/>
        </w:numPr>
        <w:pBdr/>
        <w:spacing/>
        <w:ind/>
        <w:rPr/>
      </w:pPr>
      <w:r>
        <w:t xml:space="preserve">A network of </w:t>
      </w:r>
      <w:r>
        <w:rPr>
          <w:rStyle w:val="723"/>
          <w:b/>
          <w:bCs/>
        </w:rPr>
        <w:t xml:space="preserve">capillaries</w:t>
      </w:r>
      <w:r>
        <w:t xml:space="preserve">: Absorb most of the digested food molecules, such as glucose and amino acids.</w:t>
      </w:r>
      <w:r/>
    </w:p>
    <w:p>
      <w:pPr>
        <w:pStyle w:val="711"/>
        <w:numPr>
          <w:ilvl w:val="0"/>
          <w:numId w:val="2"/>
        </w:numPr>
        <w:pBdr/>
        <w:spacing/>
        <w:ind/>
        <w:rPr/>
      </w:pPr>
      <w:r>
        <w:t xml:space="preserve">A </w:t>
      </w:r>
      <w:r>
        <w:rPr>
          <w:rStyle w:val="723"/>
          <w:b/>
          <w:bCs/>
        </w:rPr>
        <w:t xml:space="preserve">lacteal</w:t>
      </w:r>
      <w:r>
        <w:t xml:space="preserve">: A small lymphatic vessel that absorbs digested fats (fatty acids and glycerol).</w:t>
      </w:r>
      <w:r/>
    </w:p>
    <w:p>
      <w:pPr>
        <w:pStyle w:val="711"/>
        <w:numPr>
          <w:ilvl w:val="0"/>
          <w:numId w:val="2"/>
        </w:numPr>
        <w:pBdr/>
        <w:spacing/>
        <w:ind/>
        <w:rPr/>
      </w:pPr>
      <w:r>
        <w:rPr>
          <w:highlight w:val="none"/>
        </w:rPr>
        <w:t xml:space="preserve">A </w:t>
      </w:r>
      <w:r>
        <w:rPr>
          <w:b/>
          <w:bCs/>
          <w:highlight w:val="none"/>
        </w:rPr>
        <w:t xml:space="preserve">thin walls</w:t>
      </w:r>
      <w:r>
        <w:rPr>
          <w:highlight w:val="none"/>
        </w:rPr>
        <w:t xml:space="preserve">: short diffusion distance</w:t>
      </w:r>
      <w:r>
        <w:rPr>
          <w:highlight w:val="none"/>
        </w:rPr>
      </w:r>
      <w:r>
        <w:rPr>
          <w:highlight w:val="none"/>
        </w:rPr>
      </w:r>
      <w:r>
        <w:rPr>
          <w:highlight w:val="none"/>
        </w:rPr>
      </w:r>
      <w:r/>
    </w:p>
    <w:p>
      <w:pPr>
        <w:pStyle w:val="702"/>
        <w:pBdr/>
        <w:spacing w:after="60" w:before="0"/>
        <w:ind/>
        <w:rPr/>
      </w:pPr>
      <w:r/>
      <w:r/>
    </w:p>
    <w:p>
      <w:pPr>
        <w:pStyle w:val="717"/>
        <w:pBdr/>
        <w:spacing/>
        <w:ind/>
        <w:rPr/>
      </w:pPr>
      <w:r>
        <w:t xml:space="preserve">Water Absorption</w:t>
      </w:r>
      <w:r/>
    </w:p>
    <w:p>
      <w:pPr>
        <w:pStyle w:val="708"/>
        <w:pBdr/>
        <w:spacing/>
        <w:ind/>
        <w:rPr/>
      </w:pPr>
      <w:r>
        <w:t xml:space="preserve">Most water is absorbed in the small intestine, but some is also absorbed in the colon.</w:t>
      </w:r>
      <w:r/>
    </w:p>
    <w:p>
      <w:pPr>
        <w:pStyle w:val="702"/>
        <w:pBdr/>
        <w:spacing w:after="60" w:before="0"/>
        <w:ind/>
        <w:rPr/>
      </w:p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440"/>
      </w:pPr>
      <w:rPr/>
      <w:start w:val="1"/>
      <w:suff w:val="tab"/>
    </w:lvl>
    <w:lvl w:ilvl="2">
      <w:isLgl w:val="false"/>
      <w:lvlJc w:val="left"/>
      <w:lvlText w:val="%1.%2.%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3"/>
    <w:uiPriority w:val="9"/>
    <w:pPr>
      <w:pBdr/>
      <w:spacing/>
      <w:ind/>
    </w:pPr>
    <w:rPr>
      <w:rFonts w:ascii="Arial" w:hAnsi="Arial" w:eastAsia="Arial" w:cs="Arial"/>
      <w:i/>
      <w:iCs/>
      <w:color w:val="0f4761" w:themeColor="accent1" w:themeShade="BF"/>
    </w:rPr>
  </w:style>
  <w:style w:type="character" w:styleId="154">
    <w:name w:val="Heading 5 Char"/>
    <w:basedOn w:val="148"/>
    <w:link w:val="694"/>
    <w:uiPriority w:val="9"/>
    <w:pPr>
      <w:pBdr/>
      <w:spacing/>
      <w:ind/>
    </w:pPr>
    <w:rPr>
      <w:rFonts w:ascii="Arial" w:hAnsi="Arial" w:eastAsia="Arial" w:cs="Arial"/>
      <w:color w:val="0f4761" w:themeColor="accent1" w:themeShade="BF"/>
    </w:rPr>
  </w:style>
  <w:style w:type="character" w:styleId="155">
    <w:name w:val="Heading 6 Char"/>
    <w:basedOn w:val="148"/>
    <w:link w:val="69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9">
    <w:name w:val="Title"/>
    <w:qFormat/>
    <w:pPr>
      <w:pBdr/>
      <w:spacing/>
      <w:ind/>
    </w:pPr>
    <w:rPr>
      <w:sz w:val="56"/>
      <w:szCs w:val="56"/>
    </w:rPr>
  </w:style>
  <w:style w:type="paragraph" w:styleId="690">
    <w:name w:val="Heading 1"/>
    <w:qFormat/>
    <w:pPr>
      <w:pBdr/>
      <w:spacing/>
      <w:ind/>
    </w:pPr>
    <w:rPr>
      <w:color w:val="2e74b5"/>
      <w:sz w:val="32"/>
      <w:szCs w:val="32"/>
    </w:rPr>
  </w:style>
  <w:style w:type="paragraph" w:styleId="691">
    <w:name w:val="Heading 2"/>
    <w:qFormat/>
    <w:pPr>
      <w:pBdr/>
      <w:spacing/>
      <w:ind/>
    </w:pPr>
    <w:rPr>
      <w:color w:val="2e74b5"/>
      <w:sz w:val="26"/>
      <w:szCs w:val="26"/>
    </w:rPr>
  </w:style>
  <w:style w:type="paragraph" w:styleId="692">
    <w:name w:val="Heading 3"/>
    <w:qFormat/>
    <w:pPr>
      <w:pBdr/>
      <w:spacing/>
      <w:ind/>
    </w:pPr>
    <w:rPr>
      <w:color w:val="1f4d78"/>
      <w:sz w:val="24"/>
      <w:szCs w:val="24"/>
    </w:rPr>
  </w:style>
  <w:style w:type="paragraph" w:styleId="693">
    <w:name w:val="Heading 4"/>
    <w:qFormat/>
    <w:pPr>
      <w:pBdr/>
      <w:spacing/>
      <w:ind/>
    </w:pPr>
    <w:rPr>
      <w:i/>
      <w:iCs/>
      <w:color w:val="2e74b5"/>
    </w:rPr>
  </w:style>
  <w:style w:type="paragraph" w:styleId="694">
    <w:name w:val="Heading 5"/>
    <w:qFormat/>
    <w:pPr>
      <w:pBdr/>
      <w:spacing/>
      <w:ind/>
    </w:pPr>
    <w:rPr>
      <w:color w:val="2e74b5"/>
    </w:rPr>
  </w:style>
  <w:style w:type="paragraph" w:styleId="695">
    <w:name w:val="Heading 6"/>
    <w:qFormat/>
    <w:pPr>
      <w:pBdr/>
      <w:spacing/>
      <w:ind/>
    </w:pPr>
    <w:rPr>
      <w:color w:val="1f4d78"/>
    </w:rPr>
  </w:style>
  <w:style w:type="paragraph" w:styleId="696">
    <w:name w:val="Strong"/>
    <w:qFormat/>
    <w:pPr>
      <w:pBdr/>
      <w:spacing/>
      <w:ind/>
    </w:pPr>
    <w:rPr>
      <w:b/>
      <w:bCs/>
    </w:rPr>
  </w:style>
  <w:style w:type="paragraph" w:styleId="697">
    <w:name w:val="List Paragraph"/>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MdSpace"/>
    <w:qFormat/>
    <w:pPr>
      <w:pBdr/>
      <w:spacing w:after="0" w:before="0"/>
      <w:ind/>
    </w:pPr>
    <w:rPr>
      <w:sz w:val="12"/>
      <w:szCs w:val="12"/>
    </w:rPr>
  </w:style>
  <w:style w:type="paragraph" w:styleId="703">
    <w:name w:val="MdCode"/>
    <w:qFormat/>
    <w:pPr>
      <w:pBdr>
        <w:top w:val="single" w:color="a5a5a5" w:sz="1" w:space="8"/>
        <w:left w:val="single" w:color="a5a5a5" w:sz="1" w:space="8"/>
        <w:bottom w:val="single" w:color="a5a5a5" w:sz="1" w:space="8"/>
        <w:right w:val="single" w:color="a5a5a5" w:sz="1" w:space="8"/>
      </w:pBdr>
      <w:spacing w:after="200" w:before="200"/>
      <w:ind/>
    </w:pPr>
    <w:rPr>
      <w:rFonts w:ascii="Courier New" w:hAnsi="Courier New" w:eastAsia="Courier New" w:cs="Courier New"/>
      <w:color w:val="70ad47"/>
      <w:sz w:val="22"/>
      <w:szCs w:val="22"/>
    </w:rPr>
  </w:style>
  <w:style w:type="paragraph" w:styleId="704">
    <w:name w:val="MdHr"/>
    <w:qFormat/>
    <w:pPr>
      <w:pBdr>
        <w:bottom w:val="single" w:color="a5a5a5" w:sz="1" w:space="1"/>
      </w:pBdr>
      <w:spacing w:after="240" w:before="240"/>
      <w:ind/>
    </w:pPr>
  </w:style>
  <w:style w:type="paragraph" w:styleId="705">
    <w:name w:val="MdBlockquote"/>
    <w:qFormat/>
    <w:pPr>
      <w:pBdr>
        <w:left w:val="single" w:color="a5a5a5" w:sz="20" w:space="12"/>
      </w:pBdr>
      <w:spacing w:after="200" w:before="200"/>
      <w:ind w:left="360"/>
    </w:pPr>
    <w:rPr>
      <w:i/>
      <w:iCs/>
      <w:color w:val="666666"/>
    </w:rPr>
  </w:style>
  <w:style w:type="paragraph" w:styleId="706">
    <w:name w:val="MdHtml"/>
    <w:qFormat/>
    <w:pPr>
      <w:pBdr/>
      <w:spacing/>
      <w:ind/>
    </w:pPr>
    <w:rPr>
      <w:rFonts w:ascii="Courier New" w:hAnsi="Courier New" w:eastAsia="Courier New" w:cs="Courier New"/>
      <w:color w:val="ed7d31"/>
    </w:rPr>
  </w:style>
  <w:style w:type="paragraph" w:styleId="707">
    <w:name w:val="MdDef"/>
    <w:qFormat/>
    <w:pPr>
      <w:pBdr/>
      <w:spacing/>
      <w:ind w:hanging="360" w:left="720"/>
    </w:pPr>
  </w:style>
  <w:style w:type="paragraph" w:styleId="708">
    <w:name w:val="MdParagraph"/>
    <w:qFormat/>
    <w:pPr>
      <w:pBdr/>
      <w:spacing w:after="120" w:before="120"/>
      <w:ind/>
    </w:pPr>
  </w:style>
  <w:style w:type="paragraph" w:styleId="709">
    <w:name w:val="MdText"/>
    <w:qFormat/>
    <w:pPr>
      <w:pBdr/>
      <w:spacing/>
      <w:ind/>
    </w:pPr>
  </w:style>
  <w:style w:type="paragraph" w:styleId="710">
    <w:name w:val="MdFootnote"/>
    <w:qFormat/>
    <w:pPr>
      <w:pBdr/>
      <w:spacing/>
      <w:ind/>
    </w:pPr>
    <w:rPr>
      <w:vertAlign w:val="superscript"/>
    </w:rPr>
  </w:style>
  <w:style w:type="paragraph" w:styleId="711">
    <w:name w:val="MdListItem"/>
    <w:qFormat/>
    <w:pPr>
      <w:pBdr/>
      <w:spacing w:after="60" w:before="60"/>
      <w:ind w:hanging="360" w:left="720"/>
    </w:pPr>
  </w:style>
  <w:style w:type="paragraph" w:styleId="712">
    <w:name w:val="MdTable"/>
    <w:qFormat/>
    <w:pPr>
      <w:pBdr/>
      <w:spacing w:after="60" w:before="60"/>
      <w:ind/>
    </w:pPr>
  </w:style>
  <w:style w:type="paragraph" w:styleId="713">
    <w:name w:val="MdTableHeader"/>
    <w:qFormat/>
    <w:pPr>
      <w:pBdr/>
      <w:spacing w:after="60" w:before="60"/>
      <w:ind/>
    </w:pPr>
    <w:rPr>
      <w:b/>
      <w:bCs/>
      <w:sz w:val="22"/>
      <w:szCs w:val="22"/>
    </w:rPr>
  </w:style>
  <w:style w:type="paragraph" w:styleId="714">
    <w:name w:val="MdTableCell"/>
    <w:qFormat/>
    <w:pPr>
      <w:pBdr/>
      <w:spacing w:after="40" w:before="40"/>
      <w:ind/>
    </w:pPr>
    <w:rPr>
      <w:sz w:val="20"/>
      <w:szCs w:val="20"/>
    </w:rPr>
  </w:style>
  <w:style w:type="paragraph" w:styleId="715">
    <w:name w:val="MdHeading1"/>
    <w:qFormat/>
    <w:pPr>
      <w:keepNext w:val="true"/>
      <w:pBdr/>
      <w:spacing w:after="240" w:before="480"/>
      <w:ind/>
      <w:outlineLvl w:val="0"/>
    </w:pPr>
    <w:rPr>
      <w:b/>
      <w:bCs/>
      <w:sz w:val="36"/>
      <w:szCs w:val="36"/>
    </w:rPr>
  </w:style>
  <w:style w:type="paragraph" w:styleId="716">
    <w:name w:val="MdHeading2"/>
    <w:qFormat/>
    <w:pPr>
      <w:keepNext w:val="true"/>
      <w:pBdr/>
      <w:spacing w:after="200" w:before="400"/>
      <w:ind/>
      <w:outlineLvl w:val="1"/>
    </w:pPr>
    <w:rPr>
      <w:b/>
      <w:bCs/>
      <w:sz w:val="32"/>
      <w:szCs w:val="32"/>
    </w:rPr>
  </w:style>
  <w:style w:type="paragraph" w:styleId="717">
    <w:name w:val="MdHeading3"/>
    <w:qFormat/>
    <w:pPr>
      <w:keepNext w:val="true"/>
      <w:pBdr/>
      <w:spacing w:after="160" w:before="320"/>
      <w:ind/>
      <w:outlineLvl w:val="2"/>
    </w:pPr>
    <w:rPr>
      <w:b/>
      <w:bCs/>
      <w:sz w:val="28"/>
      <w:szCs w:val="28"/>
    </w:rPr>
  </w:style>
  <w:style w:type="paragraph" w:styleId="718">
    <w:name w:val="MdHeading4"/>
    <w:qFormat/>
    <w:pPr>
      <w:keepNext w:val="true"/>
      <w:pBdr/>
      <w:spacing w:after="140" w:before="280"/>
      <w:ind/>
      <w:outlineLvl w:val="3"/>
    </w:pPr>
    <w:rPr>
      <w:b/>
      <w:bCs/>
      <w:sz w:val="26"/>
      <w:szCs w:val="26"/>
    </w:rPr>
  </w:style>
  <w:style w:type="paragraph" w:styleId="719">
    <w:name w:val="MdHeading5"/>
    <w:qFormat/>
    <w:pPr>
      <w:keepNext w:val="true"/>
      <w:pBdr/>
      <w:spacing w:after="120" w:before="240"/>
      <w:ind/>
      <w:outlineLvl w:val="4"/>
    </w:pPr>
    <w:rPr>
      <w:b/>
      <w:bCs/>
      <w:i/>
      <w:iCs/>
      <w:sz w:val="24"/>
      <w:szCs w:val="24"/>
    </w:rPr>
  </w:style>
  <w:style w:type="paragraph" w:styleId="720">
    <w:name w:val="MdHeading6"/>
    <w:qFormat/>
    <w:pPr>
      <w:keepNext w:val="true"/>
      <w:pBdr/>
      <w:spacing w:after="120" w:before="240"/>
      <w:ind/>
      <w:outlineLvl w:val="5"/>
    </w:pPr>
    <w:rPr>
      <w:b w:val="0"/>
      <w:bCs w:val="0"/>
      <w:i/>
      <w:iCs/>
      <w:sz w:val="24"/>
      <w:szCs w:val="24"/>
    </w:rPr>
  </w:style>
  <w:style w:type="character" w:styleId="721">
    <w:name w:val="MdTag"/>
    <w:uiPriority w:val="99"/>
    <w:unhideWhenUsed/>
    <w:qFormat/>
    <w:pPr>
      <w:pBdr/>
      <w:spacing/>
      <w:ind/>
    </w:pPr>
    <w:rPr>
      <w:rFonts w:ascii="Courier New" w:hAnsi="Courier New" w:eastAsia="Courier New" w:cs="Courier New"/>
      <w:color w:val="ed7d31"/>
    </w:rPr>
  </w:style>
  <w:style w:type="character" w:styleId="722">
    <w:name w:val="MdLink"/>
    <w:uiPriority w:val="99"/>
    <w:unhideWhenUsed/>
    <w:qFormat/>
    <w:pPr>
      <w:pBdr/>
      <w:spacing/>
      <w:ind/>
    </w:pPr>
    <w:rPr>
      <w:color w:val="0563c1"/>
      <w:u w:val="single"/>
    </w:rPr>
  </w:style>
  <w:style w:type="character" w:styleId="723">
    <w:name w:val="MdStrong"/>
    <w:uiPriority w:val="99"/>
    <w:unhideWhenUsed/>
    <w:qFormat/>
    <w:pPr>
      <w:pBdr/>
      <w:spacing/>
      <w:ind/>
    </w:pPr>
    <w:rPr>
      <w:b/>
      <w:bCs/>
    </w:rPr>
  </w:style>
  <w:style w:type="character" w:styleId="724">
    <w:name w:val="MdEm"/>
    <w:uiPriority w:val="99"/>
    <w:unhideWhenUsed/>
    <w:qFormat/>
    <w:pPr>
      <w:pBdr/>
      <w:spacing/>
      <w:ind/>
    </w:pPr>
    <w:rPr>
      <w:i/>
      <w:iCs/>
    </w:rPr>
  </w:style>
  <w:style w:type="character" w:styleId="725">
    <w:name w:val="MdCodespan"/>
    <w:uiPriority w:val="99"/>
    <w:unhideWhenUsed/>
    <w:qFormat/>
    <w:pPr>
      <w:pBdr/>
      <w:spacing/>
      <w:ind/>
    </w:pPr>
    <w:rPr>
      <w:rFonts w:ascii="Courier New" w:hAnsi="Courier New" w:eastAsia="Courier New" w:cs="Courier New"/>
      <w:color w:val="70ad47"/>
    </w:rPr>
  </w:style>
  <w:style w:type="character" w:styleId="726">
    <w:name w:val="MdDel"/>
    <w:uiPriority w:val="99"/>
    <w:unhideWhenUsed/>
    <w:qFormat/>
    <w:pPr>
      <w:pBdr/>
      <w:spacing/>
      <w:ind/>
    </w:pPr>
    <w:rPr>
      <w:strike/>
    </w:rPr>
  </w:style>
  <w:style w:type="character" w:styleId="727">
    <w:name w:val="MdBr"/>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revision>2</cp:revision>
  <dcterms:created xsi:type="dcterms:W3CDTF">2025-10-14T16:33:55Z</dcterms:created>
  <dcterms:modified xsi:type="dcterms:W3CDTF">2025-10-14T19:13:41Z</dcterms:modified>
</cp:coreProperties>
</file>