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ПУБЛІЧНА ОФЕРТА</w:t>
      </w:r>
    </w:p>
    <w:p>
      <w:pPr>
        <w:spacing w:after="140"/>
      </w:pPr>
      <w:r>
        <w:rPr>
          <w:b/>
          <w:color w:val="585F6D"/>
          <w:sz w:val="22"/>
        </w:rPr>
        <w:t>Договір про надання креативних та digital-послуг VDOSTAL</w:t>
      </w:r>
    </w:p>
    <w:p>
      <w:pPr>
        <w:pStyle w:val="VDNote"/>
      </w:pPr>
      <w:r>
        <w:t>Редакція від 22 жовтня 2026 року</w:t>
      </w:r>
    </w:p>
    <w:p>
      <w:pPr>
        <w:pStyle w:val="VDLead"/>
        <w:widowControl/>
      </w:pPr>
      <w:r>
        <w:t>Цей документ є офіційною публічною пропозицією фізичної особи-підприємця Дячок Віталій Олегович, який діє на підставі виписки з Єдиного державного реєстру юридичних осіб, фізичних осіб-підприємців та громадських формувань № 2010350000000760058 від 08.04.2025 та надає послуги під брендом VDOSTAL (далі — «Виконавець»), укласти договір про надання креативних та digital-послуг з дієздатною фізичною особою, фізичною особою-підприємцем або юридичною особою (далі — «Замовник»).</w:t>
      </w:r>
    </w:p>
    <w:p>
      <w:pPr>
        <w:pStyle w:val="VDLead"/>
        <w:widowControl/>
      </w:pPr>
      <w:r>
        <w:t>Ця Публічна оферта (далі — «Договір» або «Оферта») визначає загальні правила співпраці. Конкретний обсяг послуг, їх вартість, строки й інші індивідуальні умови погоджуються Сторонами окремо в письмовій, зокрема електронній, формі.</w:t>
      </w:r>
    </w:p>
    <w:p>
      <w:pPr>
        <w:pStyle w:val="VDSection"/>
      </w:pPr>
      <w:r>
        <w:t>1. ЗАГАЛЬНІ ПОЛОЖЕННЯ</w:t>
      </w:r>
    </w:p>
    <w:p>
      <w:pPr>
        <w:pStyle w:val="VDClause"/>
        <w:widowControl/>
      </w:pPr>
      <w:r>
        <w:t>1.1. VDOSTAL — назва креативної агенції (бренд), під якою Виконавець надає послуги зі створення відеоконтенту, монтажу, motion design, SMM-дизайну, AI-контенту та візуальних рішень для брендів, бізнесів і персональних проєктів. VDOSTAL не є окремою стороною цього Договору.</w:t>
      </w:r>
    </w:p>
    <w:p>
      <w:pPr>
        <w:pStyle w:val="VDClause"/>
        <w:widowControl/>
      </w:pPr>
      <w:r>
        <w:rPr>
          <w:b/>
          <w:color w:val="151C29"/>
        </w:rPr>
        <w:t xml:space="preserve">1.2. </w:t>
      </w:r>
      <w:r>
        <w:t>Цей Договір регулюється законодавством України, зокрема Цивільним кодексом України та Законом України «Про електронну комерцію».</w:t>
      </w:r>
    </w:p>
    <w:p>
      <w:pPr>
        <w:pStyle w:val="VDClause"/>
        <w:widowControl/>
      </w:pPr>
      <w:r>
        <w:rPr>
          <w:b/>
          <w:color w:val="151C29"/>
        </w:rPr>
        <w:t xml:space="preserve">1.3. </w:t>
      </w:r>
      <w:r>
        <w:t>Акцептом Оферти є прийняття Замовником її умов після погодження конкретного замовлення шляхом повної або часткової оплати чи іншого однозначного письмового підтвердження, погодженого Сторонами.</w:t>
      </w:r>
    </w:p>
    <w:p>
      <w:pPr>
        <w:pStyle w:val="VDClause"/>
        <w:widowControl/>
      </w:pPr>
      <w:r>
        <w:rPr>
          <w:b/>
          <w:color w:val="151C29"/>
        </w:rPr>
        <w:t xml:space="preserve">1.4. </w:t>
      </w:r>
      <w:r>
        <w:t>Саме по собі відвідування вебсайту VDOSTAL, заповнення контактної форми або звернення за консультацією не означає акцепту цієї Оферти.</w:t>
      </w:r>
    </w:p>
    <w:p>
      <w:pPr>
        <w:pStyle w:val="VDClause"/>
        <w:widowControl/>
      </w:pPr>
      <w:r>
        <w:rPr>
          <w:b/>
          <w:color w:val="151C29"/>
        </w:rPr>
        <w:t xml:space="preserve">1.5. </w:t>
      </w:r>
      <w:r>
        <w:t>Акцептуючи Оферту, Замовник підтверджує ознайомлення з її умовами. Договір діє до належного виконання зобов’язань або припинення на передбачених ним чи законом підставах.</w:t>
      </w:r>
    </w:p>
    <w:p>
      <w:pPr>
        <w:pStyle w:val="VDSection"/>
      </w:pPr>
      <w:r>
        <w:t>2. ПРЕДМЕТ ДОГОВОРУ</w:t>
      </w:r>
    </w:p>
    <w:p>
      <w:pPr>
        <w:pStyle w:val="VDClause"/>
        <w:widowControl/>
      </w:pPr>
      <w:r>
        <w:rPr>
          <w:b/>
          <w:color w:val="151C29"/>
        </w:rPr>
        <w:t xml:space="preserve">2.1. </w:t>
      </w:r>
      <w:r>
        <w:t>Виконавець зобов’язується надати Замовнику погоджені креативні та digital-послуги (далі — «Послуги»), а Замовник — прийняти та оплатити їх.</w:t>
      </w:r>
    </w:p>
    <w:p>
      <w:pPr>
        <w:pStyle w:val="VDClause"/>
        <w:widowControl/>
      </w:pPr>
      <w:r>
        <w:rPr>
          <w:b/>
          <w:color w:val="151C29"/>
        </w:rPr>
        <w:t xml:space="preserve">2.2. </w:t>
      </w:r>
      <w:r>
        <w:t>Послуги можуть охоплювати такі напрями:</w:t>
      </w:r>
    </w:p>
    <w:p>
      <w:pPr>
        <w:pStyle w:val="VDBullet"/>
      </w:pPr>
      <w:r>
        <w:rPr>
          <w:color w:val="225AC9"/>
        </w:rPr>
        <w:t xml:space="preserve">•  </w:t>
      </w:r>
      <w:r>
        <w:rPr>
          <w:b/>
        </w:rPr>
        <w:t xml:space="preserve">Відеомонтаж — </w:t>
      </w:r>
      <w:r>
        <w:t>Reels, TikTok, Shorts, YouTube-відео, рекламні, експертні та комерційні відеоматеріали.</w:t>
      </w:r>
    </w:p>
    <w:p>
      <w:pPr>
        <w:pStyle w:val="VDBullet"/>
      </w:pPr>
      <w:r>
        <w:rPr>
          <w:color w:val="225AC9"/>
        </w:rPr>
        <w:t xml:space="preserve">•  </w:t>
      </w:r>
      <w:r>
        <w:rPr>
          <w:b/>
        </w:rPr>
        <w:t xml:space="preserve">Motion design — </w:t>
      </w:r>
      <w:r>
        <w:t>анімація, титри, візуальні ефекти, графіка, переходи й анімовані відеоматеріали.</w:t>
      </w:r>
    </w:p>
    <w:p>
      <w:pPr>
        <w:pStyle w:val="VDBullet"/>
      </w:pPr>
      <w:r>
        <w:rPr>
          <w:color w:val="225AC9"/>
        </w:rPr>
        <w:t xml:space="preserve">•  </w:t>
      </w:r>
      <w:r>
        <w:rPr>
          <w:b/>
        </w:rPr>
        <w:t xml:space="preserve">SMM-дизайн — </w:t>
      </w:r>
      <w:r>
        <w:t>оформлення публікацій, Stories, обкладинок, рекламних креативів та візуальної стилістики.</w:t>
      </w:r>
    </w:p>
    <w:p>
      <w:pPr>
        <w:pStyle w:val="VDBullet"/>
      </w:pPr>
      <w:r>
        <w:rPr>
          <w:color w:val="225AC9"/>
        </w:rPr>
        <w:t xml:space="preserve">•  </w:t>
      </w:r>
      <w:r>
        <w:rPr>
          <w:b/>
        </w:rPr>
        <w:t xml:space="preserve">AI-контент — </w:t>
      </w:r>
      <w:r>
        <w:t>створення й обробка зображень, відео та інших візуальних матеріалів за допомогою технологій штучного інтелекту.</w:t>
      </w:r>
    </w:p>
    <w:p>
      <w:pPr>
        <w:pStyle w:val="VDBullet"/>
      </w:pPr>
      <w:r>
        <w:rPr>
          <w:color w:val="225AC9"/>
        </w:rPr>
        <w:t xml:space="preserve">•  </w:t>
      </w:r>
      <w:r>
        <w:rPr>
          <w:b/>
        </w:rPr>
        <w:t xml:space="preserve">Контент-рішення — </w:t>
      </w:r>
      <w:r>
        <w:t>розробка візуальних концепцій, контент-систем та адаптацій під цифрові платформи.</w:t>
      </w:r>
    </w:p>
    <w:p>
      <w:pPr>
        <w:pStyle w:val="VDClause"/>
        <w:widowControl/>
      </w:pPr>
      <w:r>
        <w:rPr>
          <w:b/>
          <w:color w:val="151C29"/>
        </w:rPr>
        <w:t xml:space="preserve">2.3. </w:t>
      </w:r>
      <w:r>
        <w:t>Конкретні послуги, кількість одиниць контенту, тривалість, формати, складність робіт та інші параметри визначаються окремим замовленням.</w:t>
      </w:r>
    </w:p>
    <w:p>
      <w:pPr>
        <w:pStyle w:val="VDClause"/>
        <w:widowControl/>
      </w:pPr>
      <w:r>
        <w:rPr>
          <w:b/>
          <w:color w:val="151C29"/>
        </w:rPr>
        <w:t xml:space="preserve">2.4. </w:t>
      </w:r>
      <w:r>
        <w:t>Послуги поза погодженим обсягом виконуються лише після додаткового узгодження їхньої вартості та строків.</w:t>
      </w:r>
    </w:p>
    <w:p>
      <w:pPr>
        <w:pStyle w:val="VDSection"/>
      </w:pPr>
      <w:r>
        <w:t>3. ОФОРМЛЕННЯ ТА ПОГОДЖЕННЯ ЗАМОВЛЕННЯ</w:t>
      </w:r>
    </w:p>
    <w:p>
      <w:pPr>
        <w:pStyle w:val="VDClause"/>
        <w:widowControl/>
      </w:pPr>
      <w:r>
        <w:rPr>
          <w:b/>
          <w:color w:val="151C29"/>
        </w:rPr>
        <w:t xml:space="preserve">3.1. </w:t>
      </w:r>
      <w:r>
        <w:t>Замовник звертається до VDOSTAL через вебсайт, електронну пошту, соціальні мережі або месенджери.</w:t>
      </w:r>
    </w:p>
    <w:p>
      <w:pPr>
        <w:pStyle w:val="VDClause"/>
        <w:widowControl/>
      </w:pPr>
      <w:r>
        <w:rPr>
          <w:b/>
          <w:color w:val="151C29"/>
        </w:rPr>
        <w:t xml:space="preserve">3.2. </w:t>
      </w:r>
      <w:r>
        <w:t>До початку роботи Сторони погоджують технічне завдання (ТЗ), перелік і обсяг робіт, вихідні матеріали, референси, вимоги до результату, формат передачі, строки, вартість, оплату та кількість раундів правок.</w:t>
      </w:r>
    </w:p>
    <w:p>
      <w:pPr>
        <w:pStyle w:val="VDClause"/>
        <w:widowControl/>
      </w:pPr>
      <w:r>
        <w:rPr>
          <w:b/>
          <w:color w:val="151C29"/>
        </w:rPr>
        <w:t xml:space="preserve">3.3. </w:t>
      </w:r>
      <w:r>
        <w:t>Погоджені умови можуть фіксуватися в комерційній пропозиції, ТЗ, рахунку або електронному листуванні та є частиною домовленостей Сторін.</w:t>
      </w:r>
    </w:p>
    <w:p>
      <w:pPr>
        <w:pStyle w:val="VDClause"/>
        <w:widowControl/>
      </w:pPr>
      <w:r>
        <w:rPr>
          <w:b/>
          <w:color w:val="151C29"/>
        </w:rPr>
        <w:t xml:space="preserve">3.4. </w:t>
      </w:r>
      <w:r>
        <w:t>Виконання робіт розпочинається після погодження замовлення, отримання необхідних матеріалів і передоплати, якщо вона передбачена індивідуальними умовами.</w:t>
      </w:r>
    </w:p>
    <w:p>
      <w:pPr>
        <w:pStyle w:val="VDClause"/>
        <w:widowControl/>
      </w:pPr>
      <w:r>
        <w:rPr>
          <w:b/>
          <w:color w:val="151C29"/>
        </w:rPr>
        <w:t xml:space="preserve">3.5. </w:t>
      </w:r>
      <w:r>
        <w:t>Суттєва зміна ТЗ після початку роботи, зокрема зміна концепції, сценарію чи значної частини матеріалів, може впливати на вартість і строки та потребує нового погодження.</w:t>
      </w:r>
    </w:p>
    <w:p>
      <w:pPr>
        <w:pStyle w:val="VDSection"/>
      </w:pPr>
      <w:r>
        <w:t>4. ПРАВА ТА ОБОВ’ЯЗКИ ВИКОНАВЦЯ</w:t>
      </w:r>
    </w:p>
    <w:p>
      <w:pPr>
        <w:pStyle w:val="VDClause"/>
        <w:widowControl/>
      </w:pPr>
      <w:r>
        <w:rPr>
          <w:b/>
          <w:color w:val="151C29"/>
        </w:rPr>
        <w:t xml:space="preserve">4.1. </w:t>
      </w:r>
      <w:r>
        <w:t>Виконавець зобов’язується надавати Послуги відповідно до погодженого ТЗ, дотримуватися погоджених строків за умови належного виконання зустрічних зобов’язань Замовником, інформувати про суттєві зміни й передати результат у погодженому форматі.</w:t>
      </w:r>
    </w:p>
    <w:p>
      <w:pPr>
        <w:pStyle w:val="VDClause"/>
        <w:widowControl/>
      </w:pPr>
      <w:r>
        <w:rPr>
          <w:b/>
          <w:color w:val="151C29"/>
        </w:rPr>
        <w:t xml:space="preserve">4.2. </w:t>
      </w:r>
      <w:r>
        <w:t>Виконавець самостійно визначає інструменти та технологічні способи виконання робіт, якщо інше не передбачено ТЗ.</w:t>
      </w:r>
    </w:p>
    <w:p>
      <w:pPr>
        <w:pStyle w:val="VDClause"/>
        <w:widowControl/>
      </w:pPr>
      <w:r>
        <w:rPr>
          <w:b/>
          <w:color w:val="151C29"/>
        </w:rPr>
        <w:t xml:space="preserve">4.3. </w:t>
      </w:r>
      <w:r>
        <w:t>Виконавець може залучати до виконання робіт дизайнерів, монтажерів та інших спеціалістів, відповідаючи перед Замовником за належне виконання своїх договірних зобов’язань.</w:t>
      </w:r>
    </w:p>
    <w:p>
      <w:pPr>
        <w:pStyle w:val="VDClause"/>
        <w:widowControl/>
      </w:pPr>
      <w:r>
        <w:rPr>
          <w:b/>
          <w:color w:val="151C29"/>
        </w:rPr>
        <w:t xml:space="preserve">4.4. </w:t>
      </w:r>
      <w:r>
        <w:t>Виконавець має право призупиняти роботу в разі прострочення оплати, ненадання необхідних матеріалів або погоджень, повідомивши Замовника.</w:t>
      </w:r>
    </w:p>
    <w:p>
      <w:pPr>
        <w:pStyle w:val="VDClause"/>
        <w:widowControl/>
      </w:pPr>
      <w:r>
        <w:rPr>
          <w:b/>
          <w:color w:val="151C29"/>
        </w:rPr>
        <w:t xml:space="preserve">4.5. </w:t>
      </w:r>
      <w:r>
        <w:t>Виконавець може відмовитися від виконання завдань, що порушують законодавство або права третіх осіб, із проведенням розрахунків відповідно до закону.</w:t>
      </w:r>
    </w:p>
    <w:p>
      <w:pPr>
        <w:pStyle w:val="VDSection"/>
      </w:pPr>
      <w:r>
        <w:t>5. ПРАВА ТА ОБОВ’ЯЗКИ ЗАМОВНИКА</w:t>
      </w:r>
    </w:p>
    <w:p>
      <w:pPr>
        <w:pStyle w:val="VDClause"/>
        <w:widowControl/>
      </w:pPr>
      <w:r>
        <w:rPr>
          <w:b/>
          <w:color w:val="151C29"/>
        </w:rPr>
        <w:t xml:space="preserve">5.1. </w:t>
      </w:r>
      <w:r>
        <w:t>Замовник зобов’язується своєчасно надати коректне ТЗ, вихідні матеріали, доступи, тексти й іншу інформацію, потрібну для роботи.</w:t>
      </w:r>
    </w:p>
    <w:p>
      <w:pPr>
        <w:pStyle w:val="VDClause"/>
        <w:widowControl/>
      </w:pPr>
      <w:r>
        <w:rPr>
          <w:b/>
          <w:color w:val="151C29"/>
        </w:rPr>
        <w:t xml:space="preserve">5.2. </w:t>
      </w:r>
      <w:r>
        <w:t>Замовник підтверджує, що має необхідні права, дозволи та згоди на використання матеріалів, переданих Виконавцю.</w:t>
      </w:r>
    </w:p>
    <w:p>
      <w:pPr>
        <w:pStyle w:val="VDClause"/>
        <w:widowControl/>
      </w:pPr>
      <w:r>
        <w:rPr>
          <w:b/>
          <w:color w:val="151C29"/>
        </w:rPr>
        <w:t xml:space="preserve">5.3. </w:t>
      </w:r>
      <w:r>
        <w:t>Замовник зобов’язується своєчасно оплачувати Послуги, надавати зворотний зв’язок та погоджувати проміжні результати у визначені Сторонами строки.</w:t>
      </w:r>
    </w:p>
    <w:p>
      <w:pPr>
        <w:pStyle w:val="VDClause"/>
        <w:widowControl/>
      </w:pPr>
      <w:r>
        <w:rPr>
          <w:b/>
          <w:color w:val="151C29"/>
        </w:rPr>
        <w:t xml:space="preserve">5.4. </w:t>
      </w:r>
      <w:r>
        <w:t>Замовник має право отримувати інформацію про хід виконання робіт, надавати обґрунтовані зауваження й отримати узгоджений результат після виконання передбачених умов оплати.</w:t>
      </w:r>
    </w:p>
    <w:p>
      <w:pPr>
        <w:pStyle w:val="VDSection"/>
      </w:pPr>
      <w:r>
        <w:t>6. ВАРТІСТЬ ТА ПОРЯДОК ОПЛАТИ</w:t>
      </w:r>
    </w:p>
    <w:p>
      <w:pPr>
        <w:pStyle w:val="VDClause"/>
        <w:widowControl/>
      </w:pPr>
      <w:r>
        <w:rPr>
          <w:b/>
          <w:color w:val="151C29"/>
        </w:rPr>
        <w:t xml:space="preserve">6.1. </w:t>
      </w:r>
      <w:r>
        <w:t>Вартість кожного замовлення визначається індивідуально залежно від обсягу, складності, терміновості та додаткових вимог.</w:t>
      </w:r>
    </w:p>
    <w:p>
      <w:pPr>
        <w:pStyle w:val="VDClause"/>
        <w:widowControl/>
      </w:pPr>
      <w:r>
        <w:rPr>
          <w:b/>
          <w:color w:val="151C29"/>
        </w:rPr>
        <w:t xml:space="preserve">6.2. </w:t>
      </w:r>
      <w:r>
        <w:t>Розмір передоплати, графік платежів і строки остаточного розрахунку узгоджуються індивідуально до початку виконання робіт. Єдиного фіксованого відсотка передоплати цей Договір не встановлює.</w:t>
      </w:r>
    </w:p>
    <w:p>
      <w:pPr>
        <w:pStyle w:val="VDClause"/>
        <w:widowControl/>
      </w:pPr>
      <w:r>
        <w:rPr>
          <w:b/>
          <w:color w:val="151C29"/>
        </w:rPr>
        <w:t xml:space="preserve">6.3. </w:t>
      </w:r>
      <w:r>
        <w:t>Умови оплати підтверджуються комерційною пропозицією, рахунком, ТЗ або листуванням. Оплата здійснюється в спосіб та валюті, що відповідають законодавству й погоджені Сторонами.</w:t>
      </w:r>
    </w:p>
    <w:p>
      <w:pPr>
        <w:pStyle w:val="VDClause"/>
        <w:widowControl/>
      </w:pPr>
      <w:r>
        <w:rPr>
          <w:b/>
          <w:color w:val="151C29"/>
        </w:rPr>
        <w:t xml:space="preserve">6.4. </w:t>
      </w:r>
      <w:r>
        <w:t>Придбання платних шрифтів, музики, стокових матеріалів, ліцензій або сторонніх сервісів оплачується додатково, якщо інше прямо не погоджено та такі витрати попередньо схвалені Замовником.</w:t>
      </w:r>
    </w:p>
    <w:p>
      <w:pPr>
        <w:pStyle w:val="VDClause"/>
        <w:widowControl/>
      </w:pPr>
      <w:r>
        <w:rPr>
          <w:b/>
          <w:color w:val="151C29"/>
        </w:rPr>
        <w:t xml:space="preserve">6.5. </w:t>
      </w:r>
      <w:r>
        <w:t>За прострочення платежу Виконавець може призупинити виконання робіт до отримання коштів; нові строки погоджуються з урахуванням впливу затримки на робочий графік.</w:t>
      </w:r>
    </w:p>
    <w:p>
      <w:pPr>
        <w:pStyle w:val="VDSection"/>
      </w:pPr>
      <w:r>
        <w:t>7. СТРОКИ ВИКОНАННЯ ТА ПРАВКИ</w:t>
      </w:r>
    </w:p>
    <w:p>
      <w:pPr>
        <w:pStyle w:val="VDClause"/>
        <w:widowControl/>
      </w:pPr>
      <w:r>
        <w:rPr>
          <w:b/>
          <w:color w:val="151C29"/>
        </w:rPr>
        <w:t xml:space="preserve">7.1. </w:t>
      </w:r>
      <w:r>
        <w:t>Строки виконання встановлюються індивідуально. Відлік розпочинається після погодження ТЗ, надходження необхідних матеріалів та передоплати, якщо вона погоджена.</w:t>
      </w:r>
    </w:p>
    <w:p>
      <w:pPr>
        <w:pStyle w:val="VDClause"/>
        <w:widowControl/>
      </w:pPr>
      <w:r>
        <w:rPr>
          <w:b/>
          <w:color w:val="151C29"/>
        </w:rPr>
        <w:t xml:space="preserve">7.2. </w:t>
      </w:r>
      <w:r>
        <w:t>До погодженої вартості зазвичай входить 1–2 раунди правок залежно від формату та складності послуги. Точна кількість раундів визначається для кожного замовлення до початку робіт.</w:t>
      </w:r>
    </w:p>
    <w:p>
      <w:pPr>
        <w:pStyle w:val="VDClause"/>
        <w:widowControl/>
      </w:pPr>
      <w:r>
        <w:rPr>
          <w:b/>
          <w:color w:val="151C29"/>
        </w:rPr>
        <w:t xml:space="preserve">7.3. </w:t>
      </w:r>
      <w:r>
        <w:t>Один раунд правок — це один узгоджений перелік зауважень Замовника до переданої версії результату. Правки мають стосуватися початково погодженого ТЗ.</w:t>
      </w:r>
    </w:p>
    <w:p>
      <w:pPr>
        <w:pStyle w:val="VDClause"/>
        <w:widowControl/>
      </w:pPr>
      <w:r>
        <w:rPr>
          <w:b/>
          <w:color w:val="151C29"/>
        </w:rPr>
        <w:t xml:space="preserve">7.4. </w:t>
      </w:r>
      <w:r>
        <w:t>Зміна концепції, сценарію, значна заміна вихідних матеріалів, додаткові версії та нові завдання не вважаються правками в межах погодженого ТЗ; їхні вартість і строки узгоджуються окремо.</w:t>
      </w:r>
    </w:p>
    <w:p>
      <w:pPr>
        <w:pStyle w:val="VDClause"/>
        <w:widowControl/>
      </w:pPr>
      <w:r>
        <w:rPr>
          <w:b/>
          <w:color w:val="151C29"/>
        </w:rPr>
        <w:t xml:space="preserve">7.5. </w:t>
      </w:r>
      <w:r>
        <w:t>Помилки та невідповідності погодженому ТЗ, допущені з вини Виконавця, усуваються без додаткової оплати.</w:t>
      </w:r>
    </w:p>
    <w:p>
      <w:pPr>
        <w:pStyle w:val="VDClause"/>
        <w:widowControl/>
      </w:pPr>
      <w:r>
        <w:rPr>
          <w:b/>
          <w:color w:val="151C29"/>
        </w:rPr>
        <w:t xml:space="preserve">7.6. </w:t>
      </w:r>
      <w:r>
        <w:t>Затримка матеріалів, відповіді чи погодження з боку Замовника може стати підставою для відповідного перегляду строків після повідомлення Замовника.</w:t>
      </w:r>
    </w:p>
    <w:p>
      <w:pPr>
        <w:pStyle w:val="VDSection"/>
      </w:pPr>
      <w:r>
        <w:t>8. ПЕРЕДАЧА ТА ПРИЙМАННЯ РЕЗУЛЬТАТІВ</w:t>
      </w:r>
    </w:p>
    <w:p>
      <w:pPr>
        <w:pStyle w:val="VDClause"/>
        <w:widowControl/>
      </w:pPr>
      <w:r>
        <w:rPr>
          <w:b/>
          <w:color w:val="151C29"/>
        </w:rPr>
        <w:t xml:space="preserve">8.1. </w:t>
      </w:r>
      <w:r>
        <w:t>Готові матеріали передаються електронно через хмарне сховище, файловий сервіс, електронну пошту або інший погоджений канал.</w:t>
      </w:r>
    </w:p>
    <w:p>
      <w:pPr>
        <w:pStyle w:val="VDClause"/>
        <w:widowControl/>
      </w:pPr>
      <w:r>
        <w:rPr>
          <w:b/>
          <w:color w:val="151C29"/>
        </w:rPr>
        <w:t xml:space="preserve">8.2. </w:t>
      </w:r>
      <w:r>
        <w:t>Формати фінальних файлів, зокрема MP4, MOV, PNG, JPG, PDF та інші, визначаються ТЗ.</w:t>
      </w:r>
    </w:p>
    <w:p>
      <w:pPr>
        <w:pStyle w:val="VDClause"/>
        <w:widowControl/>
      </w:pPr>
      <w:r>
        <w:rPr>
          <w:b/>
          <w:color w:val="151C29"/>
        </w:rPr>
        <w:t xml:space="preserve">8.3. </w:t>
      </w:r>
      <w:r>
        <w:t>Вихідні (робочі) файли проєктів у Premiere Pro, After Effects, Photoshop, Illustrator, Figma та інших програмах не входять автоматично до складу переданих результатів і надаються лише за окремою домовленістю Сторін.</w:t>
      </w:r>
    </w:p>
    <w:p>
      <w:pPr>
        <w:pStyle w:val="VDClause"/>
        <w:widowControl/>
      </w:pPr>
      <w:r>
        <w:rPr>
          <w:b/>
          <w:color w:val="151C29"/>
        </w:rPr>
        <w:t xml:space="preserve">8.4. </w:t>
      </w:r>
      <w:r>
        <w:t>Замовник перевіряє передані матеріали та протягом 5 робочих днів надає обґрунтовані зауваження, якщо інший строк не погоджений Сторонами.</w:t>
      </w:r>
    </w:p>
    <w:p>
      <w:pPr>
        <w:pStyle w:val="VDClause"/>
        <w:widowControl/>
      </w:pPr>
      <w:r>
        <w:rPr>
          <w:b/>
          <w:color w:val="151C29"/>
        </w:rPr>
        <w:t xml:space="preserve">8.5. </w:t>
      </w:r>
      <w:r>
        <w:t>Якщо у вказаний строк зауважень не надійшло, відповідний результат вважається погодженим для цілей завершення етапу робіт, без обмеження прав Замовника, передбачених законом.</w:t>
      </w:r>
    </w:p>
    <w:p>
      <w:pPr>
        <w:pStyle w:val="VDClause"/>
        <w:widowControl/>
      </w:pPr>
      <w:r>
        <w:rPr>
          <w:b/>
          <w:color w:val="151C29"/>
        </w:rPr>
        <w:t xml:space="preserve">8.6. </w:t>
      </w:r>
      <w:r>
        <w:t>За необхідності Сторони можуть оформити акт приймання-передачі наданих послуг.</w:t>
      </w:r>
    </w:p>
    <w:p>
      <w:pPr>
        <w:pStyle w:val="VDSection"/>
      </w:pPr>
      <w:r>
        <w:t>9. ПРАВА ІНТЕЛЕКТУАЛЬНОЇ ВЛАСНОСТІ</w:t>
      </w:r>
    </w:p>
    <w:p>
      <w:pPr>
        <w:pStyle w:val="VDClause"/>
        <w:widowControl/>
      </w:pPr>
      <w:r>
        <w:rPr>
          <w:b/>
          <w:color w:val="151C29"/>
        </w:rPr>
        <w:t xml:space="preserve">9.1. </w:t>
      </w:r>
      <w:r>
        <w:t>Майнові права інтелектуальної власності на оригінальні фінальні результати, спеціально створені в межах замовлення, передаються Замовнику після повної оплати відповідних робіт, якщо інше не узгоджено Сторонами або не передбачено імперативними нормами законодавства.</w:t>
      </w:r>
    </w:p>
    <w:p>
      <w:pPr>
        <w:pStyle w:val="VDClause"/>
        <w:widowControl/>
      </w:pPr>
      <w:r>
        <w:rPr>
          <w:b/>
          <w:color w:val="151C29"/>
        </w:rPr>
        <w:t xml:space="preserve">9.2. </w:t>
      </w:r>
      <w:r>
        <w:t>Передача охоплює право використання результатів, зокрема їх відтворення, оприлюднення, адаптації, поширення та використання з комерційною метою, без територіальних обмежень протягом строку чинності відповідних майнових прав, якщо інше не встановлено індивідуальною домовленістю. Винагорода за передання прав включена до погодженої ціни.</w:t>
      </w:r>
    </w:p>
    <w:p>
      <w:pPr>
        <w:pStyle w:val="VDClause"/>
        <w:widowControl/>
      </w:pPr>
      <w:r>
        <w:rPr>
          <w:b/>
          <w:color w:val="151C29"/>
        </w:rPr>
        <w:t xml:space="preserve">9.3. </w:t>
      </w:r>
      <w:r>
        <w:t>Права на сторонні шрифти, музику, стоки, шаблони, програмні компоненти та інші ліцензійні ресурси визначаються умовами їхніх правовласників.</w:t>
      </w:r>
    </w:p>
    <w:p>
      <w:pPr>
        <w:pStyle w:val="VDClause"/>
        <w:widowControl/>
      </w:pPr>
      <w:r>
        <w:rPr>
          <w:b/>
          <w:color w:val="151C29"/>
        </w:rPr>
        <w:t xml:space="preserve">9.4. </w:t>
      </w:r>
      <w:r>
        <w:t>Виконавець зберігає права на власні методики, процеси, універсальні шаблони та інструменти, які не створювалися спеціально для Замовника.</w:t>
      </w:r>
    </w:p>
    <w:p>
      <w:pPr>
        <w:pStyle w:val="VDClause"/>
        <w:widowControl/>
      </w:pPr>
      <w:r>
        <w:rPr>
          <w:b/>
          <w:color w:val="151C29"/>
        </w:rPr>
        <w:t xml:space="preserve">9.5. </w:t>
      </w:r>
      <w:r>
        <w:t>Стосовно AI-контенту діють правила чинного законодавства та ліцензійні умови застосованих сервісів. Виконавець не гарантує абсолютної унікальності автоматично згенерованих елементів.</w:t>
      </w:r>
    </w:p>
    <w:p>
      <w:pPr>
        <w:pStyle w:val="VDSection"/>
      </w:pPr>
      <w:r>
        <w:t>10. ПОРТФОЛІО ТА ПУБЛІЧНІ КЕЙСИ</w:t>
      </w:r>
    </w:p>
    <w:p>
      <w:pPr>
        <w:pStyle w:val="VDClause"/>
        <w:widowControl/>
      </w:pPr>
      <w:r>
        <w:rPr>
          <w:b/>
          <w:color w:val="151C29"/>
        </w:rPr>
        <w:t xml:space="preserve">10.1. </w:t>
      </w:r>
      <w:r>
        <w:t>Виконавець може розміщувати створені роботи у портфоліо VDOSTAL, на власному сайті, у соціальних мережах, презентаціях і комерційних пропозиціях після їх публічного оприлюднення Замовником, якщо Замовник не повідомив письмово про обмеження такого використання.</w:t>
      </w:r>
    </w:p>
    <w:p>
      <w:pPr>
        <w:pStyle w:val="VDClause"/>
        <w:widowControl/>
      </w:pPr>
      <w:r>
        <w:rPr>
          <w:b/>
          <w:color w:val="151C29"/>
        </w:rPr>
        <w:t xml:space="preserve">10.2. </w:t>
      </w:r>
      <w:r>
        <w:t>Публікація конфіденційної інформації, неопублікованих матеріалів, персональних даних, зображень осіб або комерційних показників, що не є публічними, здійснюється лише за наявності необхідних правових підстав і дозволів.</w:t>
      </w:r>
    </w:p>
    <w:p>
      <w:pPr>
        <w:pStyle w:val="VDClause"/>
        <w:widowControl/>
      </w:pPr>
      <w:r>
        <w:rPr>
          <w:b/>
          <w:color w:val="151C29"/>
        </w:rPr>
        <w:t xml:space="preserve">10.3. </w:t>
      </w:r>
      <w:r>
        <w:t>Окрема угода про нерозголошення (NDA) має перевагу щодо відповідних питань конфіденційності.</w:t>
      </w:r>
    </w:p>
    <w:p>
      <w:pPr>
        <w:pStyle w:val="VDSection"/>
      </w:pPr>
      <w:r>
        <w:t>11. РЕЗУЛЬТАТИ СПІВПРАЦІ ТА ВІДПОВІДАЛЬНІСТЬ</w:t>
      </w:r>
    </w:p>
    <w:p>
      <w:pPr>
        <w:pStyle w:val="VDClause"/>
        <w:widowControl/>
      </w:pPr>
      <w:r>
        <w:rPr>
          <w:b/>
          <w:color w:val="151C29"/>
        </w:rPr>
        <w:t xml:space="preserve">11.1. </w:t>
      </w:r>
      <w:r>
        <w:t>Виконавець відповідає за належне надання Послуг відповідно до погодженого ТЗ.</w:t>
      </w:r>
    </w:p>
    <w:p>
      <w:pPr>
        <w:pStyle w:val="VDClause"/>
        <w:widowControl/>
      </w:pPr>
      <w:r>
        <w:rPr>
          <w:b/>
          <w:color w:val="151C29"/>
        </w:rPr>
        <w:t xml:space="preserve">11.2. </w:t>
      </w:r>
      <w:r>
        <w:t>Кількість переглядів, охоплень, заявок, продажів, підписників або дохід Замовника залежать також від змісту продукту, рекламного бюджету, дій Замовника, алгоритмів платформ та інших чинників.</w:t>
      </w:r>
    </w:p>
    <w:p>
      <w:pPr>
        <w:pStyle w:val="VDClause"/>
        <w:widowControl/>
      </w:pPr>
      <w:r>
        <w:rPr>
          <w:b/>
          <w:color w:val="151C29"/>
        </w:rPr>
        <w:t xml:space="preserve">11.3. </w:t>
      </w:r>
      <w:r>
        <w:t>Результати попередніх проєктів VDOSTAL демонструють показники конкретних кейсів і не гарантують їх повторення для інших Замовників.</w:t>
      </w:r>
    </w:p>
    <w:p>
      <w:pPr>
        <w:pStyle w:val="VDClause"/>
        <w:widowControl/>
      </w:pPr>
      <w:r>
        <w:rPr>
          <w:b/>
          <w:color w:val="151C29"/>
        </w:rPr>
        <w:t xml:space="preserve">11.4. </w:t>
      </w:r>
      <w:r>
        <w:t>Гарантії конкретних маркетингових або комерційних показників діють лише за умови, що вони прямо закріплені у погоджених Сторонами індивідуальних умовах.</w:t>
      </w:r>
    </w:p>
    <w:p>
      <w:pPr>
        <w:pStyle w:val="VDClause"/>
        <w:widowControl/>
      </w:pPr>
      <w:r>
        <w:rPr>
          <w:b/>
          <w:color w:val="151C29"/>
        </w:rPr>
        <w:t xml:space="preserve">11.5. </w:t>
      </w:r>
      <w:r>
        <w:t>Виконавець не відповідає за незалежні від нього технічні збої сторонніх сервісів чи зміну алгоритмів платформ, якщо вони не зумовлені порушенням обов’язків Виконавця.</w:t>
      </w:r>
    </w:p>
    <w:p>
      <w:pPr>
        <w:pStyle w:val="VDClause"/>
        <w:widowControl/>
      </w:pPr>
      <w:r>
        <w:rPr>
          <w:b/>
          <w:color w:val="151C29"/>
        </w:rPr>
        <w:t xml:space="preserve">11.6. </w:t>
      </w:r>
      <w:r>
        <w:t>Відповідальність Сторін за порушення Договору визначається умовами цього Договору та чинним законодавством України.</w:t>
      </w:r>
    </w:p>
    <w:p>
      <w:pPr>
        <w:pStyle w:val="VDSection"/>
      </w:pPr>
      <w:r>
        <w:t>12. СКАСУВАННЯ ЗАМОВЛЕННЯ ТА ПОВЕРНЕННЯ КОШТІВ</w:t>
      </w:r>
    </w:p>
    <w:p>
      <w:pPr>
        <w:pStyle w:val="VDClause"/>
        <w:widowControl/>
      </w:pPr>
      <w:r>
        <w:rPr>
          <w:b/>
          <w:color w:val="151C29"/>
        </w:rPr>
        <w:t xml:space="preserve">12.1. </w:t>
      </w:r>
      <w:r>
        <w:t>Замовник має право ініціювати скасування замовлення, повідомивши Виконавця.</w:t>
      </w:r>
    </w:p>
    <w:p>
      <w:pPr>
        <w:pStyle w:val="VDClause"/>
        <w:widowControl/>
      </w:pPr>
      <w:r>
        <w:rPr>
          <w:b/>
          <w:color w:val="151C29"/>
        </w:rPr>
        <w:t xml:space="preserve">12.2. </w:t>
      </w:r>
      <w:r>
        <w:t>У разі припинення співпраці після початку робіт Сторони здійснюють розрахунок за фактично надані послуги та обґрунтовані витрати, які відповідно до закону або погоджених умов підлягають оплаті.</w:t>
      </w:r>
    </w:p>
    <w:p>
      <w:pPr>
        <w:pStyle w:val="VDClause"/>
        <w:widowControl/>
      </w:pPr>
      <w:r>
        <w:rPr>
          <w:b/>
          <w:color w:val="151C29"/>
        </w:rPr>
        <w:t xml:space="preserve">12.3. </w:t>
      </w:r>
      <w:r>
        <w:t>Якщо внесена передоплата перевищує суму, належну Виконавцю за виконані роботи та відповідні витрати, різниця повертається Замовнику в законному порядку.</w:t>
      </w:r>
    </w:p>
    <w:p>
      <w:pPr>
        <w:pStyle w:val="VDClause"/>
        <w:widowControl/>
      </w:pPr>
      <w:r>
        <w:rPr>
          <w:b/>
          <w:color w:val="151C29"/>
        </w:rPr>
        <w:t xml:space="preserve">12.4. </w:t>
      </w:r>
      <w:r>
        <w:t>Якщо Виконавець не може виконати замовлення з причин, за які відповідає, Сторони погоджують зміну строків, альтернативне виконання або врегулювання оплати згідно із законом.</w:t>
      </w:r>
    </w:p>
    <w:p>
      <w:pPr>
        <w:pStyle w:val="VDClause"/>
        <w:widowControl/>
      </w:pPr>
      <w:r>
        <w:rPr>
          <w:b/>
          <w:color w:val="151C29"/>
        </w:rPr>
        <w:t xml:space="preserve">12.5. </w:t>
      </w:r>
      <w:r>
        <w:t>Цей розділ не обмежує обов’язкових прав Замовника як споживача, зокрема передбачених законом прав у разі укладення дистанційного договору.</w:t>
      </w:r>
    </w:p>
    <w:p>
      <w:pPr>
        <w:pStyle w:val="VDSection"/>
      </w:pPr>
      <w:r>
        <w:t>13. КОНФІДЕНЦІЙНІСТЬ І ПЕРСОНАЛЬНІ ДАНІ</w:t>
      </w:r>
    </w:p>
    <w:p>
      <w:pPr>
        <w:pStyle w:val="VDClause"/>
        <w:widowControl/>
      </w:pPr>
      <w:r>
        <w:rPr>
          <w:b/>
          <w:color w:val="151C29"/>
        </w:rPr>
        <w:t xml:space="preserve">13.1. </w:t>
      </w:r>
      <w:r>
        <w:t>Сторони не розголошують конфіденційну інформацію, отриману під час співпраці, без належної підстави чи дозволу іншої Сторони.</w:t>
      </w:r>
    </w:p>
    <w:p>
      <w:pPr>
        <w:pStyle w:val="VDClause"/>
        <w:widowControl/>
      </w:pPr>
      <w:r>
        <w:rPr>
          <w:b/>
          <w:color w:val="151C29"/>
        </w:rPr>
        <w:t xml:space="preserve">13.2. </w:t>
      </w:r>
      <w:r>
        <w:t>Конфіденційною можуть бути комерційні умови, внутрішні документи, доступи, неопубліковані матеріали, стратегії та інші дані, визначені Сторонами як конфіденційні.</w:t>
      </w:r>
    </w:p>
    <w:p>
      <w:pPr>
        <w:pStyle w:val="VDClause"/>
        <w:widowControl/>
      </w:pPr>
      <w:r>
        <w:rPr>
          <w:b/>
          <w:color w:val="151C29"/>
        </w:rPr>
        <w:t xml:space="preserve">13.3. </w:t>
      </w:r>
      <w:r>
        <w:t>Виконавець обробляє персональні дані в обсязі, потрібному для комунікації, укладення та виконання Договору, розрахунків і виконання законодавчих вимог.</w:t>
      </w:r>
    </w:p>
    <w:p>
      <w:pPr>
        <w:pStyle w:val="VDClause"/>
        <w:widowControl/>
      </w:pPr>
      <w:r>
        <w:rPr>
          <w:b/>
          <w:color w:val="151C29"/>
        </w:rPr>
        <w:t xml:space="preserve">13.4. </w:t>
      </w:r>
      <w:r>
        <w:t>Детальні положення щодо обробки персональних даних можуть встановлюватися Політикою конфіденційності, оприлюдненою на сайті VDOSTAL.</w:t>
      </w:r>
    </w:p>
    <w:p>
      <w:pPr>
        <w:pStyle w:val="VDClause"/>
        <w:widowControl/>
      </w:pPr>
      <w:r>
        <w:rPr>
          <w:b/>
          <w:color w:val="151C29"/>
        </w:rPr>
        <w:t xml:space="preserve">13.5. </w:t>
      </w:r>
      <w:r>
        <w:t>Конфіденційні матеріали передаються стороннім AI-сервісам лише за наявності відповідних правових підстав і з дотриманням погоджених обмежень.</w:t>
      </w:r>
    </w:p>
    <w:p>
      <w:pPr>
        <w:pStyle w:val="VDSection"/>
      </w:pPr>
      <w:r>
        <w:t>14. ФОРС-МАЖОР</w:t>
      </w:r>
    </w:p>
    <w:p>
      <w:pPr>
        <w:pStyle w:val="VDClause"/>
        <w:widowControl/>
      </w:pPr>
      <w:r>
        <w:rPr>
          <w:b/>
          <w:color w:val="151C29"/>
        </w:rPr>
        <w:t xml:space="preserve">14.1. </w:t>
      </w:r>
      <w:r>
        <w:t>Сторона звільняється від відповідальності за порушення зобов’язань, спричинене належним чином підтвердженими обставинами непереборної сили, які об’єктивно унеможливили виконання відповідного зобов’язання.</w:t>
      </w:r>
    </w:p>
    <w:p>
      <w:pPr>
        <w:pStyle w:val="VDClause"/>
        <w:widowControl/>
      </w:pPr>
      <w:r>
        <w:rPr>
          <w:b/>
          <w:color w:val="151C29"/>
        </w:rPr>
        <w:t xml:space="preserve">14.2. </w:t>
      </w:r>
      <w:r>
        <w:t>До таких обставин за наявності встановленого законом причинного зв’язку можуть належати воєнні дії, стихійні лиха, надзвичайні ситуації, масштабні аварії, тривалі відключення електроенергії та рішення органів влади.</w:t>
      </w:r>
    </w:p>
    <w:p>
      <w:pPr>
        <w:pStyle w:val="VDClause"/>
        <w:widowControl/>
      </w:pPr>
      <w:r>
        <w:rPr>
          <w:b/>
          <w:color w:val="151C29"/>
        </w:rPr>
        <w:t xml:space="preserve">14.3. </w:t>
      </w:r>
      <w:r>
        <w:t>Сторона, яка посилається на такі обставини, повідомляє іншу Сторону в розумний строк. Подальші строки або способи виконання погоджуються окремо.</w:t>
      </w:r>
    </w:p>
    <w:p>
      <w:pPr>
        <w:pStyle w:val="VDClause"/>
        <w:widowControl/>
      </w:pPr>
      <w:r>
        <w:rPr>
          <w:b/>
          <w:color w:val="151C29"/>
        </w:rPr>
        <w:t xml:space="preserve">14.4. </w:t>
      </w:r>
      <w:r>
        <w:t>Сам по собі факт дії воєнного стану без доведеного впливу на конкретне зобов’язання не є достатньою підставою для звільнення від відповідальності.</w:t>
      </w:r>
    </w:p>
    <w:p>
      <w:pPr>
        <w:pStyle w:val="VDSection"/>
      </w:pPr>
      <w:r>
        <w:t>15. ВИРІШЕННЯ СПОРІВ ТА ЗМІНИ ДОГОВОРУ</w:t>
      </w:r>
    </w:p>
    <w:p>
      <w:pPr>
        <w:pStyle w:val="VDClause"/>
        <w:widowControl/>
      </w:pPr>
      <w:r>
        <w:rPr>
          <w:b/>
          <w:color w:val="151C29"/>
        </w:rPr>
        <w:t xml:space="preserve">15.1. </w:t>
      </w:r>
      <w:r>
        <w:t>Сторони прагнуть вирішувати спори шляхом переговорів; за відсутності згоди спір розглядається в порядку, визначеному законодавством України.</w:t>
      </w:r>
    </w:p>
    <w:p>
      <w:pPr>
        <w:pStyle w:val="VDClause"/>
        <w:widowControl/>
      </w:pPr>
      <w:r>
        <w:rPr>
          <w:b/>
          <w:color w:val="151C29"/>
        </w:rPr>
        <w:t xml:space="preserve">15.2. </w:t>
      </w:r>
      <w:r>
        <w:t>Виконавець може оновлювати текст Оферти шляхом оприлюднення нової редакції на своєму сайті. Нова редакція діє щодо нових замовлень із дати її публікації, якщо інше не передбачено законом.</w:t>
      </w:r>
    </w:p>
    <w:p>
      <w:pPr>
        <w:pStyle w:val="VDClause"/>
        <w:widowControl/>
      </w:pPr>
      <w:r>
        <w:rPr>
          <w:b/>
          <w:color w:val="151C29"/>
        </w:rPr>
        <w:t xml:space="preserve">15.3. </w:t>
      </w:r>
      <w:r>
        <w:t>Раніше погоджені індивідуальні умови не можуть змінюватися в односторонньому порядку всупереч закону та домовленостям Сторін.</w:t>
      </w:r>
    </w:p>
    <w:p>
      <w:pPr>
        <w:pStyle w:val="VDClause"/>
        <w:widowControl/>
      </w:pPr>
      <w:r>
        <w:rPr>
          <w:b/>
          <w:color w:val="151C29"/>
        </w:rPr>
        <w:t xml:space="preserve">15.4. </w:t>
      </w:r>
      <w:r>
        <w:t>Якщо індивідуальні умови замовлення відрізняються від положень цієї Оферти, застосовуються індивідуально погоджені умови в межах, дозволених законом.</w:t>
      </w:r>
    </w:p>
    <w:p>
      <w:pPr>
        <w:pStyle w:val="VDSection"/>
      </w:pPr>
      <w:r>
        <w:t>16. РЕКВІЗИТИ ВИКОНАВЦЯ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2376"/>
            <w:vAlign w:val="center"/>
            <w:shd w:fill="F6F8FB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585F6D"/>
                <w:sz w:val="18"/>
              </w:rPr>
              <w:t>Комерційна назва</w:t>
            </w:r>
          </w:p>
        </w:tc>
        <w:tc>
          <w:tcPr>
            <w:tcW w:type="dxa" w:w="6408"/>
            <w:vAlign w:val="center"/>
            <w:shd w:fill="F6F8FB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VDOSTAL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585F6D"/>
                <w:sz w:val="18"/>
              </w:rPr>
              <w:t>Виконавець</w:t>
            </w:r>
          </w:p>
        </w:tc>
        <w:tc>
          <w:tcPr>
            <w:tcW w:type="dxa" w:w="6408"/>
            <w:vAlign w:val="center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Фізична особа-підприємець Дячок Віталій Олегович</w:t>
            </w:r>
          </w:p>
        </w:tc>
      </w:tr>
      <w:tr>
        <w:tc>
          <w:tcPr>
            <w:tcW w:type="dxa" w:w="237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Державна реєстрація</w:t>
            </w:r>
          </w:p>
        </w:tc>
        <w:tc>
          <w:tcPr>
            <w:tcW w:type="dxa" w:w="6408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Виписка з ЄДР № 2010350000000760058 від 08.04.2025</w:t>
            </w:r>
          </w:p>
        </w:tc>
      </w:tr>
      <w:tr>
        <w:tc>
          <w:tcPr>
            <w:tcW w:type="dxa" w:w="2376"/>
            <w:vAlign w:val="center"/>
            <w:shd w:fill="F6F8FB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585F6D"/>
                <w:sz w:val="18"/>
              </w:rPr>
              <w:t>РНОКПП</w:t>
            </w:r>
          </w:p>
        </w:tc>
        <w:tc>
          <w:tcPr>
            <w:tcW w:type="dxa" w:w="6408"/>
            <w:vAlign w:val="center"/>
            <w:shd w:fill="F6F8FB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9D2C35"/>
                <w:sz w:val="18"/>
              </w:rPr>
              <w:t>[ПОТРІБНО ВКАЗАТИ ПІДТВЕРДЖЕНИЙ РНОКПП ФОП]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585F6D"/>
                <w:sz w:val="18"/>
              </w:rPr>
              <w:t>Адреса</w:t>
            </w:r>
          </w:p>
        </w:tc>
        <w:tc>
          <w:tcPr>
            <w:tcW w:type="dxa" w:w="6408"/>
            <w:vAlign w:val="center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Україна, 02156, м. Київ, вул. Іваниса Василя, будинок 2</w:t>
            </w:r>
          </w:p>
        </w:tc>
      </w:tr>
      <w:tr>
        <w:tc>
          <w:tcPr>
            <w:tcW w:type="dxa" w:w="2376"/>
            <w:vAlign w:val="center"/>
            <w:shd w:fill="F6F8FB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585F6D"/>
                <w:sz w:val="18"/>
              </w:rPr>
              <w:t>IBAN</w:t>
            </w:r>
          </w:p>
        </w:tc>
        <w:tc>
          <w:tcPr>
            <w:tcW w:type="dxa" w:w="6408"/>
            <w:vAlign w:val="center"/>
            <w:shd w:fill="F6F8FB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UA183220010000026006350071982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585F6D"/>
                <w:sz w:val="18"/>
              </w:rPr>
              <w:t>Банк</w:t>
            </w:r>
          </w:p>
        </w:tc>
        <w:tc>
          <w:tcPr>
            <w:tcW w:type="dxa" w:w="6408"/>
            <w:vAlign w:val="center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АТ «УНІВЕРСАЛ БАНК»</w:t>
            </w:r>
          </w:p>
        </w:tc>
      </w:tr>
      <w:tr>
        <w:tc>
          <w:tcPr>
            <w:tcW w:type="dxa" w:w="2376"/>
            <w:vAlign w:val="center"/>
            <w:shd w:fill="F6F8FB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585F6D"/>
                <w:sz w:val="18"/>
              </w:rPr>
              <w:t>МФО</w:t>
            </w:r>
          </w:p>
        </w:tc>
        <w:tc>
          <w:tcPr>
            <w:tcW w:type="dxa" w:w="6408"/>
            <w:vAlign w:val="center"/>
            <w:shd w:fill="F6F8FB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322001</w:t>
            </w:r>
          </w:p>
        </w:tc>
      </w:tr>
      <w:tr>
        <w:tc>
          <w:tcPr>
            <w:tcW w:type="dxa" w:w="2376"/>
            <w:vAlign w:val="center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585F6D"/>
                <w:sz w:val="18"/>
              </w:rPr>
              <w:t>Електронна пошта</w:t>
            </w:r>
          </w:p>
        </w:tc>
        <w:tc>
          <w:tcPr>
            <w:tcW w:type="dxa" w:w="6408"/>
            <w:vAlign w:val="center"/>
            <w:tcMar>
              <w:top w:w="55" w:type="dxa"/>
              <w:bottom w:w="55" w:type="dxa"/>
              <w:left w:w="115" w:type="dxa"/>
              <w:right w:w="11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vdostalagency@gmail.com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95" w:right="1368" w:bottom="1037" w:left="1368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85F6D"/>
        <w:sz w:val="16"/>
      </w:rPr>
      <w:t xml:space="preserve">VDOSTAL  •  ПУБЛІЧНА ОФЕРТА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color="225AC9"/>
      </w:pBdr>
    </w:pPr>
    <w:r>
      <w:rPr>
        <w:rFonts w:ascii="Arial" w:hAnsi="Arial"/>
        <w:b/>
        <w:color w:val="585F6D"/>
        <w:sz w:val="16"/>
      </w:rPr>
      <w:t>VDOSTAL   / 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/>
      <w:color w:val="151C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51C2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DSection">
    <w:name w:val="VD Section"/>
    <w:basedOn w:val="Normal"/>
    <w:pPr>
      <w:keepNext/>
      <w:spacing w:before="280" w:after="120"/>
    </w:pPr>
    <w:rPr>
      <w:rFonts w:ascii="Arial" w:hAnsi="Arial"/>
      <w:b/>
      <w:color w:val="225AC9"/>
      <w:sz w:val="22"/>
    </w:rPr>
  </w:style>
  <w:style w:type="paragraph" w:customStyle="1" w:styleId="VDLead">
    <w:name w:val="VD Lead"/>
    <w:basedOn w:val="Normal"/>
    <w:pPr>
      <w:spacing w:after="180" w:line="293" w:lineRule="auto"/>
    </w:pPr>
    <w:rPr>
      <w:sz w:val="20"/>
    </w:rPr>
  </w:style>
  <w:style w:type="paragraph" w:customStyle="1" w:styleId="VDClause">
    <w:name w:val="VD Clause"/>
    <w:basedOn w:val="Normal"/>
    <w:pPr>
      <w:spacing w:after="100"/>
      <w:ind w:left="0"/>
    </w:pPr>
  </w:style>
  <w:style w:type="paragraph" w:customStyle="1" w:styleId="VDBullet">
    <w:name w:val="VD Bullet"/>
    <w:basedOn w:val="Normal"/>
    <w:pPr>
      <w:spacing w:after="60"/>
      <w:ind w:left="331" w:hanging="202"/>
    </w:pPr>
  </w:style>
  <w:style w:type="paragraph" w:customStyle="1" w:styleId="VDNote">
    <w:name w:val="VD Note"/>
    <w:basedOn w:val="Normal"/>
    <w:pPr>
      <w:spacing w:after="80"/>
    </w:pPr>
    <w:rPr>
      <w:color w:val="585F6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Публічна оферта VDOSTAL — ФОП Дячок Віталій Олегович</dc:title>
  <dc:subject>Договір про надання креативних та digital-послуг</dc:subject>
  <dc:creator>VDOSTAL</dc:creator>
  <cp:keywords>VDOSTAL, публічна оферта, ФОП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