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2020-05-21</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806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2019-01-31 to 2020-02-14.</w:t>
      </w:r>
    </w:p>
    <w:p w14:paraId="5DCDDBFB" w14:textId="60A670FF" w:rsidP="00105D76" w:rsidR="00105D76" w:rsidRDefault="00105D76">
      <w:pPr>
        <w:pStyle w:val="ListParagraph"/>
        <w:numPr>
          <w:ilvl w:val="0"/>
          <w:numId w:val="21"/>
        </w:numPr>
      </w:pPr>
      <w:r>
        <w:t>The issue records that contains 274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806 </w:t>
      </w:r>
      <w:r>
        <w:t xml:space="preserve">files, of which </w:t>
      </w:r>
      <w:r w:rsidRPr="001B70B1">
        <w:t>49</w:t>
      </w:r>
      <w:r>
        <w:t xml:space="preserve"> are isolated from the rest.</w:t>
      </w:r>
    </w:p>
    <w:p w14:paraId="4F82C79E" w14:textId="7513FFBB" w:rsidP="00EC24F3" w:rsidR="00EC24F3" w:rsidRDefault="00EC24F3">
      <w:r>
        <w:t xml:space="preserve">        </w:t>
      </w:r>
      <w:r w:rsidR="0071025E" w:rsidRPr="0071025E">
        <w:t>-    Considering all the files, the Decoupling Level is 74.02%, and the Propagation Cost is 21.1%.</w:t>
      </w:r>
    </w:p>
    <w:p w14:paraId="7B2DD8BC" w14:textId="1A676FDE" w:rsidP="00EC24F3" w:rsidR="00337E1C" w:rsidRDefault="00EC24F3">
      <w:r>
        <w:t xml:space="preserve">        </w:t>
      </w:r>
      <w:r w:rsidR="00917B9A" w:rsidRPr="00917B9A">
        <w:t>-    Considering only the connected files (excluding isolated ones), the Decoupling Level is 65.11%, and the Propagation Cost is 23.91%.</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143 (17.7%)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733 (22.2%)</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16,972 (27.8%)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17</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160 (19.9%)</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1,167 (35.3%)</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29,459 (48.3%)</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353 (43.8%)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2,075 (62.8%)</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43,549 (71.4%)</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38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385 (47.8%)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1,745 (52.8%)</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41,031 (67.3%)</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81</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391 (48.5%)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2,010 (60.8%)</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43,517 (71.4%)</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58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494 (61.3%)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2,659 (80.4%)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56,053 (91.9%)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806</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3,306</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60,986</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