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2020-05-22</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1658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2017-06-28 to 2020-04-24.</w:t>
      </w:r>
    </w:p>
    <w:p w14:paraId="5DCDDBFB" w14:textId="60A670FF" w:rsidP="00105D76" w:rsidR="00105D76" w:rsidRDefault="00105D76">
      <w:pPr>
        <w:pStyle w:val="ListParagraph"/>
        <w:numPr>
          <w:ilvl w:val="0"/>
          <w:numId w:val="21"/>
        </w:numPr>
      </w:pPr>
      <w:r>
        <w:t>The issue records that contains 486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1658 </w:t>
      </w:r>
      <w:r>
        <w:t xml:space="preserve">files, of which </w:t>
      </w:r>
      <w:r w:rsidRPr="001B70B1">
        <w:t>10</w:t>
      </w:r>
      <w:r>
        <w:t xml:space="preserve"> are isolated from the rest.</w:t>
      </w:r>
    </w:p>
    <w:p w14:paraId="4F82C79E" w14:textId="7513FFBB" w:rsidP="00EC24F3" w:rsidR="00EC24F3" w:rsidRDefault="00EC24F3">
      <w:r>
        <w:t xml:space="preserve">        </w:t>
      </w:r>
      <w:r w:rsidR="0071025E" w:rsidRPr="0071025E">
        <w:t>-    Considering all the files, the Decoupling Level is 78.29%, and the Propagation Cost is 17.49%.</w:t>
      </w:r>
    </w:p>
    <w:p w14:paraId="7B2DD8BC" w14:textId="1A676FDE" w:rsidP="00EC24F3" w:rsidR="00337E1C" w:rsidRDefault="00EC24F3">
      <w:r>
        <w:t xml:space="preserve">        </w:t>
      </w:r>
      <w:r w:rsidR="00917B9A" w:rsidRPr="00917B9A">
        <w:t>-    Considering only the connected files (excluding isolated ones), the Decoupling Level is 76.42%, and the Propagation Cost is 17.7%.</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26</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146 (8.8%)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30 (33.7%)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451 (27.9%)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862 (14.2%)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15,712 (16.9%)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243 (14.7%)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 (15.7%)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358 (22.1%)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2,210 (36.3%)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27,245 (29.3%)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10</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433 (26.1%)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 (15.7%)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395 (24.4%)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3,380 (55.5%)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39,371 (42.3%)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536 (32.3%)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57 (64.0%)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875 (54.1%)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2,648 (43.5%)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47,101 (50.6%)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57</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659 (39.7%)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39 (43.8%)</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1,067 (66.0%)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4,592 (75.5%)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60,220 (64.7%)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93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766 (46.2%)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67 (75.3%)</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964 (59.6%)</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3,255 (53.5%)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52,153 (56.0%)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1,658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89</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1,617</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6,086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93,115</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116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0.060345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0.875000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116</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27</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298</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-27</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-1,189</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7.0%</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30.1%</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18.4%</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1,658</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89</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1,617</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6,086</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93,115</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0.05</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0.98</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3.67</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56.16</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